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0E4" w:rsidRDefault="00E010E4">
      <w:pPr>
        <w:pStyle w:val="BodyText"/>
        <w:rPr>
          <w:b/>
          <w:sz w:val="24"/>
          <w:szCs w:val="24"/>
          <w:u w:val="single"/>
        </w:rPr>
      </w:pPr>
      <w:r>
        <w:rPr>
          <w:b/>
          <w:sz w:val="24"/>
          <w:szCs w:val="24"/>
          <w:u w:val="single"/>
        </w:rPr>
        <w:t>Navigation</w:t>
      </w:r>
    </w:p>
    <w:p w:rsidR="00E010E4" w:rsidRDefault="00E010E4">
      <w:pPr>
        <w:pStyle w:val="BodyText"/>
      </w:pPr>
      <w:r>
        <w:t>Capital markets</w:t>
      </w:r>
    </w:p>
    <w:p w:rsidR="00E010E4" w:rsidRDefault="00E010E4">
      <w:pPr>
        <w:pStyle w:val="BodyText"/>
      </w:pPr>
      <w:r>
        <w:tab/>
      </w:r>
      <w:r w:rsidR="00AA483E">
        <w:t>Execute an IPO</w:t>
      </w:r>
    </w:p>
    <w:p w:rsidR="00E010E4" w:rsidRDefault="00E010E4">
      <w:pPr>
        <w:pStyle w:val="BodyText"/>
      </w:pPr>
      <w:r>
        <w:tab/>
        <w:t>Execute a debt offering</w:t>
      </w:r>
    </w:p>
    <w:p w:rsidR="00E010E4" w:rsidRPr="00E010E4" w:rsidRDefault="00E010E4">
      <w:pPr>
        <w:pStyle w:val="BodyText"/>
      </w:pPr>
      <w:r>
        <w:tab/>
        <w:t>Capital markets research and insight</w:t>
      </w:r>
    </w:p>
    <w:p w:rsidR="00E010E4" w:rsidRDefault="00E010E4">
      <w:pPr>
        <w:pStyle w:val="BodyText"/>
        <w:rPr>
          <w:b/>
          <w:sz w:val="24"/>
          <w:szCs w:val="24"/>
          <w:u w:val="single"/>
        </w:rPr>
      </w:pPr>
    </w:p>
    <w:p w:rsidR="00F24B6F" w:rsidRDefault="00BE0D48">
      <w:pPr>
        <w:pStyle w:val="BodyText"/>
        <w:rPr>
          <w:b/>
          <w:color w:val="0070C0"/>
          <w:sz w:val="24"/>
          <w:szCs w:val="24"/>
          <w:u w:val="single"/>
        </w:rPr>
      </w:pPr>
      <w:r>
        <w:rPr>
          <w:b/>
          <w:sz w:val="24"/>
          <w:szCs w:val="24"/>
          <w:u w:val="single"/>
        </w:rPr>
        <w:t xml:space="preserve">Capital Markets </w:t>
      </w:r>
      <w:r w:rsidRPr="00BE0D48">
        <w:rPr>
          <w:b/>
          <w:color w:val="0070C0"/>
          <w:sz w:val="24"/>
          <w:szCs w:val="24"/>
          <w:u w:val="single"/>
        </w:rPr>
        <w:t>(main page)</w:t>
      </w:r>
    </w:p>
    <w:p w:rsidR="006F407F" w:rsidRPr="00F24B6F" w:rsidRDefault="006F407F">
      <w:pPr>
        <w:pStyle w:val="BodyText"/>
        <w:rPr>
          <w:b/>
          <w:sz w:val="24"/>
          <w:szCs w:val="24"/>
          <w:u w:val="single"/>
        </w:rPr>
      </w:pPr>
      <w:r w:rsidRPr="006F407F">
        <w:rPr>
          <w:b/>
          <w:sz w:val="24"/>
          <w:szCs w:val="24"/>
          <w:u w:val="single"/>
        </w:rPr>
        <w:t>http://www.pwc.com/gx/en/audit-services/capital-market/index.jhtml</w:t>
      </w:r>
    </w:p>
    <w:p w:rsidR="00772220" w:rsidRDefault="00772220">
      <w:pPr>
        <w:pStyle w:val="BodyText"/>
        <w:rPr>
          <w:b/>
        </w:rPr>
      </w:pPr>
    </w:p>
    <w:p w:rsidR="006F407F" w:rsidRDefault="006F407F">
      <w:pPr>
        <w:pStyle w:val="BodyText"/>
        <w:rPr>
          <w:b/>
        </w:rPr>
      </w:pPr>
      <w:proofErr w:type="spellStart"/>
      <w:r>
        <w:rPr>
          <w:b/>
        </w:rPr>
        <w:t>Herospace</w:t>
      </w:r>
      <w:proofErr w:type="spellEnd"/>
      <w:r>
        <w:rPr>
          <w:b/>
        </w:rPr>
        <w:t xml:space="preserve"> (3 tabs)</w:t>
      </w:r>
    </w:p>
    <w:p w:rsidR="00772220" w:rsidRDefault="00772220">
      <w:pPr>
        <w:pStyle w:val="BodyText"/>
      </w:pPr>
      <w:r>
        <w:t>On the picture we have 3 changing messages in the boxes</w:t>
      </w:r>
      <w:r w:rsidR="00BE0D48">
        <w:t xml:space="preserve"> (two boxes at a time, like on IPO Centre page right now</w:t>
      </w:r>
      <w:proofErr w:type="gramStart"/>
      <w:r w:rsidR="00BE0D48">
        <w:t xml:space="preserve">) </w:t>
      </w:r>
      <w:r>
        <w:t xml:space="preserve"> and</w:t>
      </w:r>
      <w:proofErr w:type="gramEnd"/>
      <w:r>
        <w:t xml:space="preserve"> numbers for them in the left corner</w:t>
      </w:r>
    </w:p>
    <w:p w:rsidR="00772220" w:rsidRDefault="00772220" w:rsidP="00772220">
      <w:pPr>
        <w:pStyle w:val="BodyText"/>
        <w:numPr>
          <w:ilvl w:val="0"/>
          <w:numId w:val="17"/>
        </w:numPr>
      </w:pPr>
      <w:r>
        <w:t>IPO Watch Europe 2012</w:t>
      </w:r>
      <w:r>
        <w:tab/>
      </w:r>
      <w:r>
        <w:tab/>
        <w:t>Surveys stock market listings in Europe and compares the world’s major markets</w:t>
      </w:r>
    </w:p>
    <w:p w:rsidR="006E7A24" w:rsidRDefault="006E7A24" w:rsidP="006E7A24">
      <w:pPr>
        <w:pStyle w:val="BodyText"/>
        <w:ind w:left="360" w:firstLine="360"/>
      </w:pPr>
      <w:hyperlink r:id="rId8" w:history="1">
        <w:r w:rsidRPr="00173DF3">
          <w:rPr>
            <w:rStyle w:val="Hyperlink"/>
          </w:rPr>
          <w:t>http://www.pwc.co.uk/audit-assurance/publications/ipo-watch-europe-2012.jhtml</w:t>
        </w:r>
      </w:hyperlink>
    </w:p>
    <w:p w:rsidR="00772220" w:rsidRDefault="00772220" w:rsidP="00772220">
      <w:pPr>
        <w:pStyle w:val="BodyText"/>
        <w:numPr>
          <w:ilvl w:val="0"/>
          <w:numId w:val="17"/>
        </w:numPr>
      </w:pPr>
      <w:r>
        <w:t>Cross-border IPOs and on the up</w:t>
      </w:r>
      <w:r>
        <w:tab/>
        <w:t>“Equity sans frontiers – Trends in cross-border IPOs</w:t>
      </w:r>
      <w:r w:rsidR="007B1B3C">
        <w:t xml:space="preserve"> and an outlook for the future”</w:t>
      </w:r>
    </w:p>
    <w:p w:rsidR="006E7A24" w:rsidRDefault="006E7A24" w:rsidP="006E7A24">
      <w:pPr>
        <w:pStyle w:val="BodyText"/>
        <w:ind w:left="720"/>
      </w:pPr>
      <w:r w:rsidRPr="006E7A24">
        <w:t>http://www.pwc.com/gx/en/audit-services/publications/ipo-cross-border-survey.jhtml</w:t>
      </w:r>
    </w:p>
    <w:p w:rsidR="007B1B3C" w:rsidRDefault="007B1B3C" w:rsidP="00772220">
      <w:pPr>
        <w:pStyle w:val="BodyText"/>
        <w:numPr>
          <w:ilvl w:val="0"/>
          <w:numId w:val="17"/>
        </w:numPr>
      </w:pPr>
      <w:r>
        <w:t>Executing a successful listing – London</w:t>
      </w:r>
      <w:r>
        <w:tab/>
      </w:r>
      <w:r>
        <w:tab/>
      </w:r>
      <w:proofErr w:type="gramStart"/>
      <w:r>
        <w:t>What</w:t>
      </w:r>
      <w:proofErr w:type="gramEnd"/>
      <w:r>
        <w:t xml:space="preserve"> are your options?</w:t>
      </w:r>
    </w:p>
    <w:p w:rsidR="006E7A24" w:rsidRDefault="006E7A24" w:rsidP="006E7A24">
      <w:pPr>
        <w:pStyle w:val="BodyText"/>
        <w:ind w:left="720"/>
      </w:pPr>
      <w:r w:rsidRPr="006E7A24">
        <w:t>http://www.pwc.co.uk/audit-assurance/publications/executing-a-successful-listing-london.jhtml</w:t>
      </w:r>
    </w:p>
    <w:p w:rsidR="007B1B3C" w:rsidRDefault="007B1B3C" w:rsidP="007B1B3C">
      <w:pPr>
        <w:pStyle w:val="BodyText"/>
      </w:pPr>
      <w:r>
        <w:t xml:space="preserve">The rest of the page is divided into two parts. </w:t>
      </w:r>
    </w:p>
    <w:p w:rsidR="007B1B3C" w:rsidRPr="00F24B6F" w:rsidRDefault="007B1B3C" w:rsidP="007B1B3C">
      <w:pPr>
        <w:pStyle w:val="BodyText"/>
        <w:numPr>
          <w:ilvl w:val="0"/>
          <w:numId w:val="18"/>
        </w:numPr>
        <w:rPr>
          <w:b/>
        </w:rPr>
      </w:pPr>
      <w:r w:rsidRPr="00F24B6F">
        <w:rPr>
          <w:b/>
        </w:rPr>
        <w:t>Capital markets services</w:t>
      </w:r>
    </w:p>
    <w:p w:rsidR="007B1B3C" w:rsidRDefault="007B1B3C" w:rsidP="007B1B3C">
      <w:pPr>
        <w:pStyle w:val="BodyText"/>
        <w:ind w:left="720"/>
      </w:pPr>
      <w:r>
        <w:t xml:space="preserve">Whatever transaction you are contemplating, and whatever sector or countries you </w:t>
      </w:r>
      <w:proofErr w:type="gramStart"/>
      <w:r>
        <w:t>operate  in</w:t>
      </w:r>
      <w:proofErr w:type="gramEnd"/>
      <w:r>
        <w:t>, PwC is there to support you, every step of the way.</w:t>
      </w:r>
    </w:p>
    <w:p w:rsidR="007B1B3C" w:rsidRDefault="007B1B3C" w:rsidP="007B1B3C">
      <w:pPr>
        <w:pStyle w:val="BodyText"/>
        <w:ind w:left="720"/>
      </w:pPr>
      <w:r>
        <w:t>PwC’s capital markets professionals - deployed across the world’s leading capital markets—have the knowledge and experience in cross-border listings, regulatory regimes and business processes to help you master the many challenges of your transaction. We take the time to explore your business and focus on uncovering ways for you to optimise value at every stage.</w:t>
      </w:r>
    </w:p>
    <w:p w:rsidR="007B1B3C" w:rsidRPr="00F24B6F" w:rsidRDefault="007B1B3C" w:rsidP="007B1B3C">
      <w:pPr>
        <w:pStyle w:val="BodyText"/>
        <w:ind w:left="720"/>
        <w:rPr>
          <w:u w:val="single"/>
        </w:rPr>
      </w:pPr>
      <w:r w:rsidRPr="00F24B6F">
        <w:rPr>
          <w:u w:val="single"/>
        </w:rPr>
        <w:t>Execute an IPO (link)</w:t>
      </w:r>
    </w:p>
    <w:p w:rsidR="007B1B3C" w:rsidRDefault="007B1B3C" w:rsidP="007B1B3C">
      <w:pPr>
        <w:pStyle w:val="BodyText"/>
        <w:ind w:left="720"/>
        <w:rPr>
          <w:u w:val="single"/>
        </w:rPr>
      </w:pPr>
      <w:r w:rsidRPr="00F24B6F">
        <w:rPr>
          <w:u w:val="single"/>
        </w:rPr>
        <w:t>Execute a debt offering (link)</w:t>
      </w:r>
    </w:p>
    <w:p w:rsidR="00BE0D48" w:rsidRDefault="00BE0D48" w:rsidP="007B1B3C">
      <w:pPr>
        <w:pStyle w:val="BodyText"/>
        <w:ind w:left="720"/>
        <w:rPr>
          <w:u w:val="single"/>
        </w:rPr>
      </w:pPr>
    </w:p>
    <w:p w:rsidR="00BE0D48" w:rsidRPr="00F24B6F" w:rsidRDefault="00BE0D48" w:rsidP="007B1B3C">
      <w:pPr>
        <w:pStyle w:val="BodyText"/>
        <w:ind w:left="720"/>
        <w:rPr>
          <w:u w:val="single"/>
        </w:rPr>
      </w:pPr>
    </w:p>
    <w:p w:rsidR="007B1B3C" w:rsidRPr="00BE0D48" w:rsidRDefault="007B1B3C" w:rsidP="00BE0D48">
      <w:pPr>
        <w:pStyle w:val="BodyText"/>
        <w:numPr>
          <w:ilvl w:val="0"/>
          <w:numId w:val="18"/>
        </w:numPr>
        <w:rPr>
          <w:b/>
        </w:rPr>
      </w:pPr>
      <w:r w:rsidRPr="00BE0D48">
        <w:rPr>
          <w:b/>
        </w:rPr>
        <w:lastRenderedPageBreak/>
        <w:t>IPO Centre</w:t>
      </w:r>
    </w:p>
    <w:p w:rsidR="007B1B3C" w:rsidRDefault="007B1B3C" w:rsidP="007B1B3C">
      <w:pPr>
        <w:pStyle w:val="BodyText"/>
        <w:ind w:left="720"/>
      </w:pPr>
      <w:r>
        <w:t>Our IPO Centre was created to make it easier for you to understand what you need to know and do to complete an IPO.</w:t>
      </w:r>
    </w:p>
    <w:p w:rsidR="007B1B3C" w:rsidRDefault="007B1B3C" w:rsidP="007B1B3C">
      <w:pPr>
        <w:pStyle w:val="BodyText"/>
        <w:ind w:left="720"/>
      </w:pPr>
      <w:r>
        <w:t xml:space="preserve">We bring together our sector expertise and our knowledge of local and international capital markets to help you evaluate the pros and cons of </w:t>
      </w:r>
      <w:r w:rsidR="00BE0D48">
        <w:t xml:space="preserve">an </w:t>
      </w:r>
      <w:proofErr w:type="gramStart"/>
      <w:r>
        <w:t>IPO,</w:t>
      </w:r>
      <w:proofErr w:type="gramEnd"/>
      <w:r>
        <w:t xml:space="preserve"> take you through the flotation process and prepare your business for life as a public company, regardless of the market you choose to list on.</w:t>
      </w:r>
    </w:p>
    <w:p w:rsidR="00F24B6F" w:rsidRPr="00F24B6F" w:rsidRDefault="00F24B6F" w:rsidP="007B1B3C">
      <w:pPr>
        <w:pStyle w:val="BodyText"/>
        <w:ind w:left="720"/>
        <w:rPr>
          <w:u w:val="single"/>
        </w:rPr>
      </w:pPr>
      <w:r w:rsidRPr="00F24B6F">
        <w:rPr>
          <w:u w:val="single"/>
        </w:rPr>
        <w:t>Learn about what you'll need to consider at every stage</w:t>
      </w:r>
      <w:r w:rsidR="00073407">
        <w:rPr>
          <w:u w:val="single"/>
        </w:rPr>
        <w:t xml:space="preserve"> of</w:t>
      </w:r>
      <w:r w:rsidRPr="00F24B6F">
        <w:rPr>
          <w:u w:val="single"/>
        </w:rPr>
        <w:t xml:space="preserve"> your IPO (link)</w:t>
      </w:r>
    </w:p>
    <w:p w:rsidR="00F24B6F" w:rsidRDefault="00F24B6F" w:rsidP="007B1B3C">
      <w:pPr>
        <w:pStyle w:val="BodyText"/>
        <w:ind w:left="720"/>
        <w:rPr>
          <w:u w:val="single"/>
        </w:rPr>
      </w:pPr>
      <w:r w:rsidRPr="00F24B6F">
        <w:rPr>
          <w:u w:val="single"/>
        </w:rPr>
        <w:t>Capital markets research and insights (link)</w:t>
      </w:r>
    </w:p>
    <w:p w:rsidR="00BE1E43" w:rsidRDefault="00BE1E43" w:rsidP="00F24B6F">
      <w:pPr>
        <w:pStyle w:val="BodyText"/>
        <w:spacing w:after="0"/>
        <w:ind w:left="720"/>
        <w:rPr>
          <w:b/>
          <w:sz w:val="22"/>
          <w:szCs w:val="22"/>
        </w:rPr>
      </w:pPr>
    </w:p>
    <w:p w:rsidR="00BE1E43" w:rsidRDefault="00BE1E43" w:rsidP="00F24B6F">
      <w:pPr>
        <w:pStyle w:val="BodyText"/>
        <w:spacing w:after="0"/>
        <w:ind w:left="720"/>
        <w:rPr>
          <w:b/>
          <w:sz w:val="22"/>
          <w:szCs w:val="22"/>
        </w:rPr>
      </w:pPr>
    </w:p>
    <w:p w:rsidR="00F24B6F" w:rsidRDefault="006E7A24" w:rsidP="00F24B6F">
      <w:pPr>
        <w:pStyle w:val="BodyText"/>
        <w:spacing w:after="0"/>
        <w:ind w:left="720"/>
        <w:rPr>
          <w:b/>
        </w:rPr>
      </w:pPr>
      <w:r>
        <w:rPr>
          <w:b/>
          <w:sz w:val="22"/>
          <w:szCs w:val="22"/>
        </w:rPr>
        <w:t>Contacts</w:t>
      </w:r>
    </w:p>
    <w:p w:rsidR="00F24B6F" w:rsidRPr="00F24B6F" w:rsidRDefault="00F24B6F" w:rsidP="00F24B6F">
      <w:pPr>
        <w:pStyle w:val="BodyText"/>
        <w:spacing w:after="0"/>
        <w:ind w:left="720"/>
        <w:rPr>
          <w:b/>
        </w:rPr>
      </w:pPr>
    </w:p>
    <w:p w:rsidR="00F24B6F" w:rsidRPr="00F24B6F" w:rsidRDefault="00F24B6F" w:rsidP="00F24B6F">
      <w:pPr>
        <w:pStyle w:val="BodyText"/>
        <w:spacing w:after="0"/>
        <w:ind w:left="720"/>
        <w:rPr>
          <w:b/>
        </w:rPr>
      </w:pPr>
      <w:r w:rsidRPr="00F24B6F">
        <w:rPr>
          <w:b/>
        </w:rPr>
        <w:t xml:space="preserve">Armin </w:t>
      </w:r>
      <w:proofErr w:type="spellStart"/>
      <w:r w:rsidRPr="00F24B6F">
        <w:rPr>
          <w:b/>
        </w:rPr>
        <w:t>Slotta</w:t>
      </w:r>
      <w:proofErr w:type="spellEnd"/>
    </w:p>
    <w:p w:rsidR="00F24B6F" w:rsidRPr="00F24B6F" w:rsidRDefault="00F24B6F" w:rsidP="00F24B6F">
      <w:pPr>
        <w:pStyle w:val="BodyText"/>
        <w:spacing w:after="0"/>
        <w:ind w:left="720"/>
      </w:pPr>
      <w:r w:rsidRPr="00F24B6F">
        <w:t>Europe</w:t>
      </w:r>
    </w:p>
    <w:p w:rsidR="00F24B6F" w:rsidRPr="00F24B6F" w:rsidRDefault="00F24B6F" w:rsidP="00F24B6F">
      <w:pPr>
        <w:pStyle w:val="BodyText"/>
        <w:spacing w:after="0"/>
        <w:ind w:left="720"/>
      </w:pPr>
      <w:r w:rsidRPr="00F24B6F">
        <w:t>Partner</w:t>
      </w:r>
    </w:p>
    <w:p w:rsidR="00F24B6F" w:rsidRPr="00F24B6F" w:rsidRDefault="00F24B6F" w:rsidP="00F24B6F">
      <w:pPr>
        <w:pStyle w:val="BodyText"/>
        <w:spacing w:after="0"/>
        <w:ind w:left="720"/>
      </w:pPr>
      <w:r w:rsidRPr="00F24B6F">
        <w:t>Tel: +49 69 9585 1220</w:t>
      </w:r>
    </w:p>
    <w:p w:rsidR="00F24B6F" w:rsidRDefault="00F24B6F" w:rsidP="00F24B6F">
      <w:pPr>
        <w:pStyle w:val="BodyText"/>
        <w:spacing w:after="0"/>
        <w:ind w:left="720"/>
      </w:pPr>
    </w:p>
    <w:p w:rsidR="00F24B6F" w:rsidRPr="00F24B6F" w:rsidRDefault="00F24B6F" w:rsidP="00F24B6F">
      <w:pPr>
        <w:pStyle w:val="BodyText"/>
        <w:spacing w:after="0"/>
        <w:ind w:left="720"/>
        <w:rPr>
          <w:b/>
        </w:rPr>
      </w:pPr>
      <w:r w:rsidRPr="00F24B6F">
        <w:rPr>
          <w:b/>
        </w:rPr>
        <w:t>Henri Leveque</w:t>
      </w:r>
    </w:p>
    <w:p w:rsidR="00F24B6F" w:rsidRPr="00F24B6F" w:rsidRDefault="00F24B6F" w:rsidP="00F24B6F">
      <w:pPr>
        <w:pStyle w:val="BodyText"/>
        <w:spacing w:after="0"/>
        <w:ind w:left="720"/>
      </w:pPr>
      <w:r w:rsidRPr="00F24B6F">
        <w:t>Americas</w:t>
      </w:r>
    </w:p>
    <w:p w:rsidR="00F24B6F" w:rsidRPr="00F24B6F" w:rsidRDefault="00F24B6F" w:rsidP="00F24B6F">
      <w:pPr>
        <w:pStyle w:val="BodyText"/>
        <w:spacing w:after="0"/>
        <w:ind w:left="720"/>
      </w:pPr>
      <w:r w:rsidRPr="00F24B6F">
        <w:t>Partner</w:t>
      </w:r>
    </w:p>
    <w:p w:rsidR="00F24B6F" w:rsidRPr="00F24B6F" w:rsidRDefault="00F24B6F" w:rsidP="00F24B6F">
      <w:pPr>
        <w:pStyle w:val="BodyText"/>
        <w:spacing w:after="0"/>
        <w:ind w:left="720"/>
      </w:pPr>
      <w:r w:rsidRPr="00F24B6F">
        <w:t>Tel: +1 (678) 419 3100</w:t>
      </w:r>
    </w:p>
    <w:p w:rsidR="00F24B6F" w:rsidRDefault="00F24B6F" w:rsidP="00F24B6F">
      <w:pPr>
        <w:pStyle w:val="BodyText"/>
        <w:spacing w:after="0"/>
        <w:ind w:left="720"/>
      </w:pPr>
    </w:p>
    <w:p w:rsidR="00F24B6F" w:rsidRPr="00F24B6F" w:rsidRDefault="00F24B6F" w:rsidP="00F24B6F">
      <w:pPr>
        <w:pStyle w:val="BodyText"/>
        <w:spacing w:after="0"/>
        <w:ind w:left="720"/>
        <w:rPr>
          <w:b/>
        </w:rPr>
      </w:pPr>
      <w:r w:rsidRPr="00F24B6F">
        <w:rPr>
          <w:b/>
        </w:rPr>
        <w:t>Richard Winter</w:t>
      </w:r>
    </w:p>
    <w:p w:rsidR="00F24B6F" w:rsidRPr="00F24B6F" w:rsidRDefault="00F24B6F" w:rsidP="00F24B6F">
      <w:pPr>
        <w:pStyle w:val="BodyText"/>
        <w:spacing w:after="0"/>
        <w:ind w:left="720"/>
      </w:pPr>
      <w:r w:rsidRPr="00F24B6F">
        <w:t>Europe - United Kingdom</w:t>
      </w:r>
    </w:p>
    <w:p w:rsidR="00F24B6F" w:rsidRPr="00F24B6F" w:rsidRDefault="00F24B6F" w:rsidP="00F24B6F">
      <w:pPr>
        <w:pStyle w:val="BodyText"/>
        <w:spacing w:after="0"/>
        <w:ind w:left="720"/>
      </w:pPr>
      <w:r w:rsidRPr="00F24B6F">
        <w:t>Partner</w:t>
      </w:r>
    </w:p>
    <w:p w:rsidR="00F24B6F" w:rsidRPr="00F24B6F" w:rsidRDefault="00F24B6F" w:rsidP="00F24B6F">
      <w:pPr>
        <w:pStyle w:val="BodyText"/>
        <w:spacing w:after="0"/>
        <w:ind w:left="720"/>
      </w:pPr>
      <w:r w:rsidRPr="00F24B6F">
        <w:t>Tel: +44 (0) 20 780 44668</w:t>
      </w:r>
    </w:p>
    <w:p w:rsidR="00F24B6F" w:rsidRDefault="00F24B6F" w:rsidP="00F24B6F">
      <w:pPr>
        <w:pStyle w:val="BodyText"/>
        <w:spacing w:after="0"/>
        <w:ind w:left="720"/>
      </w:pPr>
    </w:p>
    <w:p w:rsidR="00F24B6F" w:rsidRPr="00F24B6F" w:rsidRDefault="00F24B6F" w:rsidP="00F24B6F">
      <w:pPr>
        <w:pStyle w:val="BodyText"/>
        <w:spacing w:after="0"/>
        <w:ind w:left="720"/>
        <w:rPr>
          <w:b/>
        </w:rPr>
      </w:pPr>
      <w:r w:rsidRPr="00F24B6F">
        <w:rPr>
          <w:b/>
        </w:rPr>
        <w:t>Steve Derrick</w:t>
      </w:r>
    </w:p>
    <w:p w:rsidR="00F24B6F" w:rsidRPr="00F24B6F" w:rsidRDefault="00F24B6F" w:rsidP="00F24B6F">
      <w:pPr>
        <w:pStyle w:val="BodyText"/>
        <w:spacing w:after="0"/>
        <w:ind w:left="720"/>
      </w:pPr>
      <w:r w:rsidRPr="00F24B6F">
        <w:t>Asia Pacific</w:t>
      </w:r>
    </w:p>
    <w:p w:rsidR="00F24B6F" w:rsidRPr="00F24B6F" w:rsidRDefault="00F24B6F" w:rsidP="00F24B6F">
      <w:pPr>
        <w:pStyle w:val="BodyText"/>
        <w:spacing w:after="0"/>
        <w:ind w:left="720"/>
      </w:pPr>
      <w:r w:rsidRPr="00F24B6F">
        <w:t>Partner</w:t>
      </w:r>
    </w:p>
    <w:p w:rsidR="00F24B6F" w:rsidRDefault="00F24B6F" w:rsidP="00F24B6F">
      <w:pPr>
        <w:pStyle w:val="BodyText"/>
        <w:spacing w:after="0"/>
        <w:ind w:left="720"/>
      </w:pPr>
      <w:r w:rsidRPr="00F24B6F">
        <w:t xml:space="preserve">Tel: </w:t>
      </w:r>
      <w:proofErr w:type="gramStart"/>
      <w:r w:rsidRPr="00F24B6F">
        <w:t>+(</w:t>
      </w:r>
      <w:proofErr w:type="gramEnd"/>
      <w:r w:rsidRPr="00F24B6F">
        <w:t>852) 2289 1211</w:t>
      </w:r>
    </w:p>
    <w:p w:rsidR="00F24B6F" w:rsidRDefault="00F24B6F" w:rsidP="00F24B6F">
      <w:pPr>
        <w:pStyle w:val="BodyText"/>
        <w:spacing w:after="0"/>
        <w:ind w:left="720"/>
      </w:pPr>
    </w:p>
    <w:p w:rsidR="00F24B6F" w:rsidRDefault="00F24B6F" w:rsidP="00F24B6F">
      <w:pPr>
        <w:pStyle w:val="BodyText"/>
        <w:spacing w:after="0"/>
        <w:ind w:left="720"/>
        <w:rPr>
          <w:b/>
        </w:rPr>
      </w:pPr>
      <w:r w:rsidRPr="00F24B6F">
        <w:rPr>
          <w:b/>
        </w:rPr>
        <w:t>Territory contacts</w:t>
      </w:r>
      <w:r w:rsidR="00BE0D48">
        <w:rPr>
          <w:b/>
        </w:rPr>
        <w:t xml:space="preserve"> </w:t>
      </w:r>
      <w:r w:rsidR="00BE0D48" w:rsidRPr="00BE0D48">
        <w:rPr>
          <w:b/>
          <w:color w:val="0070C0"/>
        </w:rPr>
        <w:t>(see below)</w:t>
      </w:r>
      <w:r w:rsidR="006E7A24">
        <w:rPr>
          <w:b/>
          <w:color w:val="0070C0"/>
        </w:rPr>
        <w:t xml:space="preserve"> ** Greg, can we have this work like this </w:t>
      </w:r>
      <w:r w:rsidR="006E7A24" w:rsidRPr="006E7A24">
        <w:rPr>
          <w:b/>
          <w:color w:val="0070C0"/>
        </w:rPr>
        <w:t>http://www.pwc.com/gx/en/hospitality-leisure/index.jhtml</w:t>
      </w:r>
    </w:p>
    <w:p w:rsidR="00BE1E43" w:rsidRDefault="00BE1E43" w:rsidP="00F24B6F">
      <w:pPr>
        <w:pStyle w:val="BodyText"/>
        <w:spacing w:after="0"/>
        <w:ind w:left="720"/>
        <w:rPr>
          <w:b/>
        </w:rPr>
      </w:pPr>
    </w:p>
    <w:p w:rsidR="00BE1E43" w:rsidRDefault="00BE1E43" w:rsidP="00F24B6F">
      <w:pPr>
        <w:pStyle w:val="BodyText"/>
        <w:spacing w:after="0"/>
        <w:ind w:left="720"/>
        <w:rPr>
          <w:b/>
        </w:rPr>
      </w:pPr>
    </w:p>
    <w:p w:rsidR="00BE1E43" w:rsidRDefault="00BE1E43" w:rsidP="00F24B6F">
      <w:pPr>
        <w:pStyle w:val="BodyText"/>
        <w:spacing w:after="0"/>
        <w:ind w:left="720"/>
        <w:rPr>
          <w:b/>
          <w:sz w:val="24"/>
          <w:szCs w:val="24"/>
          <w:u w:val="single"/>
        </w:rPr>
      </w:pPr>
      <w:r w:rsidRPr="00BE1E43">
        <w:rPr>
          <w:b/>
          <w:sz w:val="24"/>
          <w:szCs w:val="24"/>
          <w:u w:val="single"/>
        </w:rPr>
        <w:t>Execute an IPO</w:t>
      </w:r>
    </w:p>
    <w:p w:rsidR="006E7A24" w:rsidRDefault="006E7A24" w:rsidP="00F24B6F">
      <w:pPr>
        <w:pStyle w:val="BodyText"/>
        <w:spacing w:after="0"/>
        <w:ind w:left="720"/>
        <w:rPr>
          <w:b/>
          <w:sz w:val="24"/>
          <w:szCs w:val="24"/>
          <w:u w:val="single"/>
        </w:rPr>
      </w:pPr>
      <w:r w:rsidRPr="006E7A24">
        <w:rPr>
          <w:b/>
          <w:sz w:val="24"/>
          <w:szCs w:val="24"/>
          <w:u w:val="single"/>
        </w:rPr>
        <w:t>http://www.pwc.com/gx/en/audit-services/ipo-centre/index.jhtml</w:t>
      </w:r>
    </w:p>
    <w:p w:rsidR="00BE1E43" w:rsidRDefault="00BE1E43" w:rsidP="00F24B6F">
      <w:pPr>
        <w:pStyle w:val="BodyText"/>
        <w:spacing w:after="0"/>
        <w:ind w:left="720"/>
        <w:rPr>
          <w:b/>
          <w:sz w:val="24"/>
          <w:szCs w:val="24"/>
          <w:u w:val="single"/>
        </w:rPr>
      </w:pPr>
    </w:p>
    <w:p w:rsidR="00BE1E43" w:rsidRPr="00BE1E43" w:rsidRDefault="00BE1E43" w:rsidP="00F24B6F">
      <w:pPr>
        <w:pStyle w:val="BodyText"/>
        <w:spacing w:after="0"/>
        <w:ind w:left="720"/>
        <w:rPr>
          <w:b/>
          <w:sz w:val="22"/>
          <w:szCs w:val="22"/>
        </w:rPr>
      </w:pPr>
      <w:r w:rsidRPr="00BE1E43">
        <w:rPr>
          <w:b/>
          <w:sz w:val="22"/>
          <w:szCs w:val="22"/>
        </w:rPr>
        <w:t>IPO journey</w:t>
      </w:r>
    </w:p>
    <w:p w:rsidR="00BE1E43" w:rsidRDefault="00BE1E43" w:rsidP="00F24B6F">
      <w:pPr>
        <w:pStyle w:val="BodyText"/>
        <w:spacing w:after="0"/>
        <w:ind w:left="720"/>
        <w:rPr>
          <w:b/>
        </w:rPr>
      </w:pPr>
      <w:r>
        <w:rPr>
          <w:b/>
        </w:rPr>
        <w:t>Considerations for a successful IPO</w:t>
      </w:r>
    </w:p>
    <w:p w:rsidR="00BE1E43" w:rsidRDefault="00BE1E43" w:rsidP="00F24B6F">
      <w:pPr>
        <w:pStyle w:val="BodyText"/>
        <w:spacing w:after="0"/>
        <w:ind w:left="720"/>
        <w:rPr>
          <w:b/>
        </w:rPr>
      </w:pPr>
    </w:p>
    <w:p w:rsidR="00BE1E43" w:rsidRDefault="00BE1E43" w:rsidP="00F24B6F">
      <w:pPr>
        <w:pStyle w:val="BodyText"/>
        <w:spacing w:after="0"/>
        <w:ind w:left="720"/>
      </w:pPr>
      <w:r w:rsidRPr="00BE1E43">
        <w:t>Going public is, in every sense, a transformational event. It requires significant effort and the many different parts of your business to work together towards a common goal. Learn about what you'll need to consider at every stage, before and beyond your IPO. Click on a step to start your IPO journey.</w:t>
      </w:r>
    </w:p>
    <w:p w:rsidR="00BE1E43" w:rsidRDefault="00BE1E43" w:rsidP="00F24B6F">
      <w:pPr>
        <w:pStyle w:val="BodyText"/>
        <w:spacing w:after="0"/>
        <w:ind w:left="720"/>
      </w:pPr>
    </w:p>
    <w:p w:rsidR="00BE1E43" w:rsidRDefault="00BE1E43" w:rsidP="00BE1E43">
      <w:pPr>
        <w:pStyle w:val="BodyText"/>
        <w:numPr>
          <w:ilvl w:val="0"/>
          <w:numId w:val="19"/>
        </w:numPr>
        <w:spacing w:after="0"/>
        <w:rPr>
          <w:b/>
        </w:rPr>
      </w:pPr>
      <w:r w:rsidRPr="00BE1E43">
        <w:rPr>
          <w:b/>
        </w:rPr>
        <w:t>Choosing your market</w:t>
      </w:r>
    </w:p>
    <w:p w:rsidR="00BE1E43" w:rsidRDefault="00BE1E43" w:rsidP="00BE1E43">
      <w:pPr>
        <w:pStyle w:val="BodyText"/>
        <w:spacing w:after="0"/>
        <w:ind w:left="1080"/>
      </w:pPr>
      <w:r>
        <w:t>One of the most important (and earliest) decisions you’ll have to make is the market on which to float your company. Today there are more viable options for companies than ever before — including your own domestic stock exchange, an international stock exchange, or even a dual listing.</w:t>
      </w:r>
    </w:p>
    <w:p w:rsidR="00BE1E43" w:rsidRDefault="00BE1E43" w:rsidP="00BE1E43">
      <w:pPr>
        <w:pStyle w:val="BodyText"/>
        <w:spacing w:after="0"/>
        <w:ind w:left="1080"/>
      </w:pPr>
    </w:p>
    <w:p w:rsidR="00BE1E43" w:rsidRDefault="00BE1E43" w:rsidP="00BE1E43">
      <w:pPr>
        <w:pStyle w:val="BodyText"/>
        <w:spacing w:after="0"/>
        <w:ind w:left="1080"/>
      </w:pPr>
      <w:r>
        <w:lastRenderedPageBreak/>
        <w:t xml:space="preserve">The decision you make will profoundly affect not only your valuation and </w:t>
      </w:r>
      <w:proofErr w:type="spellStart"/>
      <w:r>
        <w:t>your</w:t>
      </w:r>
      <w:proofErr w:type="spellEnd"/>
      <w:r>
        <w:t xml:space="preserve"> on-going relationship with investors — it will also impact your structure, processes and strategy into the foreseeable future. So you’ll want to choose carefully and strategically, taking into account both short and long term ambitions.</w:t>
      </w:r>
    </w:p>
    <w:p w:rsidR="00BE1E43" w:rsidRDefault="00BE1E43" w:rsidP="00BE1E43">
      <w:pPr>
        <w:pStyle w:val="BodyText"/>
        <w:spacing w:after="0"/>
        <w:ind w:left="1080"/>
      </w:pPr>
    </w:p>
    <w:p w:rsidR="00BE1E43" w:rsidRPr="00BE1E43" w:rsidRDefault="00BE1E43" w:rsidP="00BE1E43">
      <w:pPr>
        <w:pStyle w:val="BodyText"/>
        <w:spacing w:after="0"/>
        <w:ind w:left="1080"/>
        <w:rPr>
          <w:b/>
        </w:rPr>
      </w:pPr>
      <w:r w:rsidRPr="00BE1E43">
        <w:rPr>
          <w:b/>
        </w:rPr>
        <w:t>The critical factors</w:t>
      </w:r>
      <w:r>
        <w:rPr>
          <w:b/>
        </w:rPr>
        <w:t xml:space="preserve"> </w:t>
      </w:r>
      <w:r w:rsidRPr="007365A8">
        <w:rPr>
          <w:b/>
          <w:color w:val="0070C0"/>
        </w:rPr>
        <w:t>(dropping)</w:t>
      </w:r>
    </w:p>
    <w:p w:rsidR="00BE1E43" w:rsidRDefault="00BE1E43" w:rsidP="00BE1E43">
      <w:pPr>
        <w:pStyle w:val="BodyText"/>
        <w:spacing w:after="0"/>
        <w:ind w:left="1080"/>
      </w:pPr>
      <w:r>
        <w:t>Here are some of the critical issues to be evaluated across each market you consider:</w:t>
      </w:r>
    </w:p>
    <w:p w:rsidR="00BE1E43" w:rsidRDefault="00BE1E43" w:rsidP="00BE1E43">
      <w:pPr>
        <w:pStyle w:val="BodyText"/>
        <w:spacing w:after="0"/>
        <w:ind w:left="1080"/>
      </w:pPr>
    </w:p>
    <w:p w:rsidR="00BE1E43" w:rsidRDefault="00BE1E43" w:rsidP="007365A8">
      <w:pPr>
        <w:pStyle w:val="BodyText"/>
        <w:numPr>
          <w:ilvl w:val="0"/>
          <w:numId w:val="20"/>
        </w:numPr>
        <w:spacing w:after="0"/>
      </w:pPr>
      <w:r>
        <w:t>Your desired valuation</w:t>
      </w:r>
    </w:p>
    <w:p w:rsidR="00BE1E43" w:rsidRDefault="00BE1E43" w:rsidP="007365A8">
      <w:pPr>
        <w:pStyle w:val="BodyText"/>
        <w:numPr>
          <w:ilvl w:val="0"/>
          <w:numId w:val="20"/>
        </w:numPr>
        <w:spacing w:after="0"/>
      </w:pPr>
      <w:r>
        <w:t>The depth and breadth of the investor base</w:t>
      </w:r>
    </w:p>
    <w:p w:rsidR="00BE1E43" w:rsidRDefault="00BE1E43" w:rsidP="007365A8">
      <w:pPr>
        <w:pStyle w:val="BodyText"/>
        <w:numPr>
          <w:ilvl w:val="0"/>
          <w:numId w:val="20"/>
        </w:numPr>
        <w:spacing w:after="0"/>
      </w:pPr>
      <w:r>
        <w:t>Long-term liquidity trends in the market, and current appetite for new listings</w:t>
      </w:r>
    </w:p>
    <w:p w:rsidR="00BE1E43" w:rsidRDefault="00BE1E43" w:rsidP="007365A8">
      <w:pPr>
        <w:pStyle w:val="BodyText"/>
        <w:numPr>
          <w:ilvl w:val="0"/>
          <w:numId w:val="20"/>
        </w:numPr>
        <w:spacing w:after="0"/>
      </w:pPr>
      <w:r>
        <w:t>The market’s regulatory requirements, including post-listing compliance obligations</w:t>
      </w:r>
    </w:p>
    <w:p w:rsidR="00BE1E43" w:rsidRDefault="00BE1E43" w:rsidP="007365A8">
      <w:pPr>
        <w:pStyle w:val="BodyText"/>
        <w:numPr>
          <w:ilvl w:val="0"/>
          <w:numId w:val="20"/>
        </w:numPr>
        <w:spacing w:after="0"/>
      </w:pPr>
      <w:r>
        <w:t>The choices made by competitors in your peer group</w:t>
      </w:r>
    </w:p>
    <w:p w:rsidR="00BE1E43" w:rsidRDefault="00BE1E43" w:rsidP="007365A8">
      <w:pPr>
        <w:pStyle w:val="BodyText"/>
        <w:numPr>
          <w:ilvl w:val="0"/>
          <w:numId w:val="20"/>
        </w:numPr>
        <w:spacing w:after="0"/>
      </w:pPr>
      <w:r>
        <w:t>The local economic conditions of your industry</w:t>
      </w:r>
    </w:p>
    <w:p w:rsidR="00BE1E43" w:rsidRDefault="00BE1E43" w:rsidP="007365A8">
      <w:pPr>
        <w:pStyle w:val="BodyText"/>
        <w:numPr>
          <w:ilvl w:val="0"/>
          <w:numId w:val="20"/>
        </w:numPr>
        <w:spacing w:after="0"/>
      </w:pPr>
      <w:r>
        <w:t>The degree of prestige of the index</w:t>
      </w:r>
    </w:p>
    <w:p w:rsidR="00BE1E43" w:rsidRDefault="00BE1E43" w:rsidP="007365A8">
      <w:pPr>
        <w:pStyle w:val="BodyText"/>
        <w:numPr>
          <w:ilvl w:val="0"/>
          <w:numId w:val="20"/>
        </w:numPr>
        <w:spacing w:after="0"/>
      </w:pPr>
      <w:r>
        <w:t>Market timing and speed to market</w:t>
      </w:r>
    </w:p>
    <w:p w:rsidR="00BE1E43" w:rsidRDefault="00BE1E43" w:rsidP="007365A8">
      <w:pPr>
        <w:pStyle w:val="BodyText"/>
        <w:numPr>
          <w:ilvl w:val="0"/>
          <w:numId w:val="20"/>
        </w:numPr>
        <w:spacing w:after="0"/>
      </w:pPr>
      <w:r>
        <w:t>Differences in culture, language, time zone, etc.</w:t>
      </w:r>
    </w:p>
    <w:p w:rsidR="00BE1E43" w:rsidRDefault="00BE1E43" w:rsidP="007365A8">
      <w:pPr>
        <w:pStyle w:val="BodyText"/>
        <w:numPr>
          <w:ilvl w:val="0"/>
          <w:numId w:val="20"/>
        </w:numPr>
        <w:spacing w:after="0"/>
      </w:pPr>
      <w:r>
        <w:t>Cost of the listing</w:t>
      </w:r>
    </w:p>
    <w:p w:rsidR="00BE1E43" w:rsidRDefault="00BE1E43" w:rsidP="00BE1E43">
      <w:pPr>
        <w:pStyle w:val="BodyText"/>
        <w:spacing w:after="0"/>
        <w:ind w:left="1080"/>
      </w:pPr>
    </w:p>
    <w:p w:rsidR="00BE1E43" w:rsidRPr="00BE1E43" w:rsidRDefault="00BE1E43" w:rsidP="00BE1E43">
      <w:pPr>
        <w:pStyle w:val="BodyText"/>
        <w:spacing w:after="0"/>
        <w:ind w:left="1080"/>
        <w:rPr>
          <w:b/>
        </w:rPr>
      </w:pPr>
      <w:r w:rsidRPr="00BE1E43">
        <w:rPr>
          <w:b/>
        </w:rPr>
        <w:t>Why PwC?</w:t>
      </w:r>
      <w:r>
        <w:rPr>
          <w:b/>
        </w:rPr>
        <w:t xml:space="preserve"> </w:t>
      </w:r>
      <w:r w:rsidRPr="007365A8">
        <w:rPr>
          <w:b/>
          <w:color w:val="0070C0"/>
        </w:rPr>
        <w:t>(</w:t>
      </w:r>
      <w:proofErr w:type="gramStart"/>
      <w:r w:rsidRPr="007365A8">
        <w:rPr>
          <w:b/>
          <w:color w:val="0070C0"/>
        </w:rPr>
        <w:t>dropping</w:t>
      </w:r>
      <w:proofErr w:type="gramEnd"/>
      <w:r w:rsidRPr="007365A8">
        <w:rPr>
          <w:b/>
          <w:color w:val="0070C0"/>
        </w:rPr>
        <w:t>)</w:t>
      </w:r>
    </w:p>
    <w:p w:rsidR="00BE1E43" w:rsidRDefault="00BE1E43" w:rsidP="00BE1E43">
      <w:pPr>
        <w:pStyle w:val="BodyText"/>
        <w:spacing w:after="0"/>
        <w:ind w:left="1080"/>
      </w:pPr>
      <w:r>
        <w:t xml:space="preserve">We have a cohesive team of nearly 500 professionals deployed in over 30 key global capital markets. With our in-depth knowledge of the rules and regulations governing all of the world’s leading capital markets, we are well placed to help you navigate every phase of this critical and extremely complex process. </w:t>
      </w:r>
      <w:proofErr w:type="gramStart"/>
      <w:r>
        <w:t>So that you can choose the right market for your company.</w:t>
      </w:r>
      <w:proofErr w:type="gramEnd"/>
    </w:p>
    <w:p w:rsidR="00BE1E43" w:rsidRDefault="00BE1E43" w:rsidP="00BE1E43">
      <w:pPr>
        <w:pStyle w:val="BodyText"/>
        <w:spacing w:after="0"/>
        <w:ind w:left="1080"/>
      </w:pPr>
    </w:p>
    <w:p w:rsidR="00BE1E43" w:rsidRDefault="00BE1E43" w:rsidP="00BE1E43">
      <w:pPr>
        <w:pStyle w:val="BodyText"/>
        <w:spacing w:after="0"/>
        <w:ind w:left="1080"/>
      </w:pPr>
      <w:r>
        <w:t>Among the many services we can provide:</w:t>
      </w:r>
    </w:p>
    <w:p w:rsidR="00BE1E43" w:rsidRDefault="00BE1E43" w:rsidP="00BE1E43">
      <w:pPr>
        <w:pStyle w:val="BodyText"/>
        <w:spacing w:after="0"/>
        <w:ind w:left="1080"/>
      </w:pPr>
    </w:p>
    <w:p w:rsidR="00BE1E43" w:rsidRDefault="00BE1E43" w:rsidP="007365A8">
      <w:pPr>
        <w:pStyle w:val="BodyText"/>
        <w:numPr>
          <w:ilvl w:val="0"/>
          <w:numId w:val="21"/>
        </w:numPr>
        <w:spacing w:after="0"/>
      </w:pPr>
      <w:r>
        <w:t>Industry and peer group analysis</w:t>
      </w:r>
    </w:p>
    <w:p w:rsidR="00BE1E43" w:rsidRDefault="00BE1E43" w:rsidP="007365A8">
      <w:pPr>
        <w:pStyle w:val="BodyText"/>
        <w:numPr>
          <w:ilvl w:val="0"/>
          <w:numId w:val="21"/>
        </w:numPr>
        <w:spacing w:after="0"/>
      </w:pPr>
      <w:r>
        <w:t>IPO readiness assessment</w:t>
      </w:r>
    </w:p>
    <w:p w:rsidR="00BE1E43" w:rsidRDefault="00BE1E43" w:rsidP="007365A8">
      <w:pPr>
        <w:pStyle w:val="BodyText"/>
        <w:numPr>
          <w:ilvl w:val="0"/>
          <w:numId w:val="21"/>
        </w:numPr>
        <w:spacing w:after="0"/>
      </w:pPr>
      <w:r>
        <w:t>Pre-IPO valuation – financial due diligence</w:t>
      </w:r>
    </w:p>
    <w:p w:rsidR="00BE1E43" w:rsidRDefault="00BE1E43" w:rsidP="007365A8">
      <w:pPr>
        <w:pStyle w:val="BodyText"/>
        <w:numPr>
          <w:ilvl w:val="0"/>
          <w:numId w:val="21"/>
        </w:numPr>
        <w:spacing w:after="0"/>
      </w:pPr>
      <w:r>
        <w:t>Comparison of stock exchange requirements</w:t>
      </w:r>
    </w:p>
    <w:p w:rsidR="007365A8" w:rsidRDefault="007365A8" w:rsidP="007365A8">
      <w:pPr>
        <w:pStyle w:val="BodyText"/>
        <w:spacing w:after="0"/>
        <w:ind w:left="1080"/>
      </w:pPr>
    </w:p>
    <w:p w:rsidR="007365A8" w:rsidRDefault="007365A8" w:rsidP="007365A8">
      <w:pPr>
        <w:pStyle w:val="BodyText"/>
        <w:spacing w:after="0"/>
        <w:ind w:left="1440"/>
      </w:pPr>
    </w:p>
    <w:p w:rsidR="007365A8" w:rsidRPr="007365A8" w:rsidRDefault="007365A8" w:rsidP="007365A8">
      <w:pPr>
        <w:pStyle w:val="BodyText"/>
        <w:numPr>
          <w:ilvl w:val="0"/>
          <w:numId w:val="19"/>
        </w:numPr>
        <w:spacing w:after="0"/>
        <w:rPr>
          <w:b/>
        </w:rPr>
      </w:pPr>
      <w:r w:rsidRPr="007365A8">
        <w:rPr>
          <w:b/>
        </w:rPr>
        <w:t>Getting IPO ready</w:t>
      </w:r>
    </w:p>
    <w:p w:rsidR="007365A8" w:rsidRDefault="007365A8" w:rsidP="007365A8">
      <w:pPr>
        <w:pStyle w:val="BodyText"/>
        <w:spacing w:after="0"/>
        <w:ind w:left="1080"/>
      </w:pPr>
      <w:r>
        <w:t>Once you’ve decided to go public, and you’ve chosen your market(s), you need to be in the right shape to begin the process—and the sooner, the better. You’ll need to have a well-thought-out business plan and corporate structure, a compelling equity story, and appropriate governance, financial and IT systems in place. And you’ll need to be ready, from day one, to address new requirements around regulatory compliance, operations, risk management, reporting, investor relations, and much more.</w:t>
      </w:r>
    </w:p>
    <w:p w:rsidR="007365A8" w:rsidRDefault="007365A8" w:rsidP="007365A8">
      <w:pPr>
        <w:pStyle w:val="BodyText"/>
        <w:spacing w:after="0"/>
        <w:ind w:left="1080"/>
      </w:pPr>
    </w:p>
    <w:p w:rsidR="007365A8" w:rsidRDefault="007365A8" w:rsidP="007365A8">
      <w:pPr>
        <w:pStyle w:val="BodyText"/>
        <w:spacing w:after="0"/>
        <w:ind w:left="1080"/>
      </w:pPr>
      <w:r>
        <w:t>All of this, of course, while continuing to run your day-to-day business efficiently and strategically.</w:t>
      </w:r>
    </w:p>
    <w:p w:rsidR="007365A8" w:rsidRDefault="007365A8" w:rsidP="007365A8">
      <w:pPr>
        <w:pStyle w:val="BodyText"/>
        <w:spacing w:after="0"/>
        <w:ind w:left="1080"/>
      </w:pPr>
    </w:p>
    <w:p w:rsidR="007365A8" w:rsidRPr="007365A8" w:rsidRDefault="007365A8" w:rsidP="007365A8">
      <w:pPr>
        <w:pStyle w:val="BodyText"/>
        <w:spacing w:after="0"/>
        <w:ind w:left="1080"/>
        <w:rPr>
          <w:b/>
        </w:rPr>
      </w:pPr>
      <w:r w:rsidRPr="007365A8">
        <w:rPr>
          <w:b/>
        </w:rPr>
        <w:t>Are you ready to meet the market?</w:t>
      </w:r>
      <w:r w:rsidRPr="007365A8">
        <w:rPr>
          <w:b/>
          <w:color w:val="0070C0"/>
        </w:rPr>
        <w:t xml:space="preserve"> (</w:t>
      </w:r>
      <w:proofErr w:type="gramStart"/>
      <w:r w:rsidRPr="007365A8">
        <w:rPr>
          <w:b/>
          <w:color w:val="0070C0"/>
        </w:rPr>
        <w:t>dropping</w:t>
      </w:r>
      <w:proofErr w:type="gramEnd"/>
      <w:r w:rsidRPr="007365A8">
        <w:rPr>
          <w:b/>
          <w:color w:val="0070C0"/>
        </w:rPr>
        <w:t>)</w:t>
      </w:r>
    </w:p>
    <w:p w:rsidR="007365A8" w:rsidRDefault="007365A8" w:rsidP="007365A8">
      <w:pPr>
        <w:pStyle w:val="BodyText"/>
        <w:spacing w:after="0"/>
        <w:ind w:left="1080"/>
      </w:pPr>
    </w:p>
    <w:p w:rsidR="007365A8" w:rsidRDefault="007365A8" w:rsidP="007365A8">
      <w:pPr>
        <w:pStyle w:val="BodyText"/>
        <w:spacing w:after="0"/>
        <w:ind w:left="1080"/>
      </w:pPr>
      <w:r>
        <w:t>At PwC, we have the people, market presence and tools to support you through every stage of the IPO preparation process.</w:t>
      </w:r>
    </w:p>
    <w:p w:rsidR="007365A8" w:rsidRDefault="007365A8" w:rsidP="007365A8">
      <w:pPr>
        <w:pStyle w:val="BodyText"/>
        <w:spacing w:after="0"/>
        <w:ind w:left="1080"/>
      </w:pPr>
    </w:p>
    <w:p w:rsidR="007365A8" w:rsidRDefault="007365A8" w:rsidP="007365A8">
      <w:pPr>
        <w:pStyle w:val="BodyText"/>
        <w:spacing w:after="0"/>
        <w:ind w:left="1080"/>
      </w:pPr>
      <w:r>
        <w:t>In addition to overseeing the substantial documentation and administration required, we can accelerate the process by carrying out a comprehensive IPO readiness assessment for your organisation. This study will highlight potential deal breakers, unforeseen issues and other critical areas where your current processes and structures might fall short of regulatory requirements and best practices. Such issues often arise in areas such as tax, governance, internal controls, people management or compliance.</w:t>
      </w:r>
    </w:p>
    <w:p w:rsidR="007365A8" w:rsidRDefault="007365A8" w:rsidP="007365A8">
      <w:pPr>
        <w:pStyle w:val="BodyText"/>
        <w:spacing w:after="0"/>
        <w:ind w:left="1080"/>
      </w:pPr>
    </w:p>
    <w:p w:rsidR="007365A8" w:rsidRDefault="007365A8" w:rsidP="007365A8">
      <w:pPr>
        <w:pStyle w:val="BodyText"/>
        <w:spacing w:after="0"/>
        <w:ind w:left="1080"/>
      </w:pPr>
      <w:r>
        <w:lastRenderedPageBreak/>
        <w:t>We’ll then help you prioritise the key areas that need remediation—so that when you are ready to set your IPO in motion you can be confident that your processes are in line with the latest market requirements and stakeholder expectations for a listed company.</w:t>
      </w:r>
    </w:p>
    <w:p w:rsidR="007365A8" w:rsidRDefault="007365A8" w:rsidP="007365A8">
      <w:pPr>
        <w:pStyle w:val="BodyText"/>
        <w:spacing w:after="0"/>
        <w:ind w:left="1080"/>
      </w:pPr>
    </w:p>
    <w:p w:rsidR="007365A8" w:rsidRDefault="007365A8" w:rsidP="007365A8">
      <w:pPr>
        <w:pStyle w:val="BodyText"/>
        <w:numPr>
          <w:ilvl w:val="0"/>
          <w:numId w:val="19"/>
        </w:numPr>
        <w:spacing w:after="0"/>
        <w:rPr>
          <w:b/>
        </w:rPr>
      </w:pPr>
      <w:r w:rsidRPr="007365A8">
        <w:rPr>
          <w:b/>
        </w:rPr>
        <w:t>Executing your IPO</w:t>
      </w:r>
    </w:p>
    <w:p w:rsidR="009B225D" w:rsidRDefault="009B225D" w:rsidP="009B225D">
      <w:pPr>
        <w:pStyle w:val="BodyText"/>
        <w:spacing w:after="0"/>
        <w:ind w:left="1080"/>
      </w:pPr>
      <w:r>
        <w:t>Executing a successful IPO is the culmination of a long, complex process.</w:t>
      </w:r>
    </w:p>
    <w:p w:rsidR="009B225D" w:rsidRDefault="009B225D" w:rsidP="009B225D">
      <w:pPr>
        <w:pStyle w:val="BodyText"/>
        <w:spacing w:after="0"/>
        <w:ind w:left="1080"/>
      </w:pPr>
    </w:p>
    <w:p w:rsidR="009B225D" w:rsidRDefault="009B225D" w:rsidP="009B225D">
      <w:pPr>
        <w:pStyle w:val="BodyText"/>
        <w:spacing w:after="0"/>
        <w:ind w:left="1080"/>
      </w:pPr>
      <w:r>
        <w:t>From strategy, accounting, reporting, financial systems, governance, media and investor relations, to treasury and financial risk management, legal, tax, HR, technology—every piece of the puzzle must be in place and connected before you proceed.</w:t>
      </w:r>
    </w:p>
    <w:p w:rsidR="009B225D" w:rsidRDefault="009B225D" w:rsidP="009B225D">
      <w:pPr>
        <w:pStyle w:val="BodyText"/>
        <w:spacing w:after="0"/>
        <w:ind w:left="1080"/>
      </w:pPr>
    </w:p>
    <w:p w:rsidR="009B225D" w:rsidRDefault="009B225D" w:rsidP="009B225D">
      <w:pPr>
        <w:pStyle w:val="BodyText"/>
        <w:spacing w:after="0"/>
        <w:ind w:left="1080"/>
      </w:pPr>
      <w:r>
        <w:t>Each market has its own rules and its own regulatory landscape and risks to navigate. That’s why it is so important to work with an independent advisor that has the people, presence and experience to help you execute your IPO—in whatever market (or markets) you select.</w:t>
      </w:r>
    </w:p>
    <w:p w:rsidR="009B225D" w:rsidRDefault="009B225D" w:rsidP="009B225D">
      <w:pPr>
        <w:pStyle w:val="BodyText"/>
        <w:spacing w:after="0"/>
        <w:ind w:left="1080"/>
      </w:pPr>
    </w:p>
    <w:p w:rsidR="009B225D" w:rsidRPr="009B225D" w:rsidRDefault="009B225D" w:rsidP="009B225D">
      <w:pPr>
        <w:pStyle w:val="BodyText"/>
        <w:spacing w:after="0"/>
        <w:ind w:left="1080"/>
        <w:rPr>
          <w:b/>
        </w:rPr>
      </w:pPr>
      <w:r w:rsidRPr="009B225D">
        <w:rPr>
          <w:b/>
        </w:rPr>
        <w:t>PwC: ready when you are</w:t>
      </w:r>
      <w:r w:rsidR="00535A70">
        <w:rPr>
          <w:b/>
        </w:rPr>
        <w:t xml:space="preserve"> </w:t>
      </w:r>
      <w:r w:rsidRPr="007365A8">
        <w:rPr>
          <w:b/>
          <w:color w:val="0070C0"/>
        </w:rPr>
        <w:t>(dropping)</w:t>
      </w:r>
    </w:p>
    <w:p w:rsidR="009B225D" w:rsidRDefault="009B225D" w:rsidP="009B225D">
      <w:pPr>
        <w:pStyle w:val="BodyText"/>
        <w:spacing w:after="0"/>
        <w:ind w:left="1080"/>
      </w:pPr>
      <w:r>
        <w:t>Your listing will require orchestrating many key players—bankers, lawyers, auditors, accountants, underwriters, investor relations and IT professionals, among others.</w:t>
      </w:r>
    </w:p>
    <w:p w:rsidR="009B225D" w:rsidRDefault="009B225D" w:rsidP="009B225D">
      <w:pPr>
        <w:pStyle w:val="BodyText"/>
        <w:spacing w:after="0"/>
        <w:ind w:left="1080"/>
      </w:pPr>
    </w:p>
    <w:p w:rsidR="009B225D" w:rsidRDefault="009B225D" w:rsidP="009B225D">
      <w:pPr>
        <w:pStyle w:val="BodyText"/>
        <w:spacing w:after="0"/>
        <w:ind w:left="1080"/>
      </w:pPr>
      <w:r>
        <w:t>PwC’s dedicated team of capital markets professionals are here to help you master this critical task. We have deep experience and knowledge of the rules and regulations governing all major capital markets—and a successful history of working cohesively and effectively on both international and domestic IPOs.</w:t>
      </w:r>
    </w:p>
    <w:p w:rsidR="009B225D" w:rsidRDefault="009B225D" w:rsidP="009B225D">
      <w:pPr>
        <w:pStyle w:val="BodyText"/>
        <w:spacing w:after="0"/>
        <w:ind w:left="1080"/>
      </w:pPr>
    </w:p>
    <w:p w:rsidR="009B225D" w:rsidRDefault="009B225D" w:rsidP="009B225D">
      <w:pPr>
        <w:pStyle w:val="BodyText"/>
        <w:spacing w:after="0"/>
        <w:ind w:left="1080"/>
      </w:pPr>
      <w:r>
        <w:t>We can advise you with all aspects of your public offering, including:</w:t>
      </w:r>
    </w:p>
    <w:p w:rsidR="009B225D" w:rsidRDefault="009B225D" w:rsidP="009B225D">
      <w:pPr>
        <w:pStyle w:val="BodyText"/>
        <w:spacing w:after="0"/>
        <w:ind w:left="1080"/>
      </w:pPr>
    </w:p>
    <w:p w:rsidR="009B225D" w:rsidRDefault="009B225D" w:rsidP="009B225D">
      <w:pPr>
        <w:pStyle w:val="BodyText"/>
        <w:numPr>
          <w:ilvl w:val="0"/>
          <w:numId w:val="22"/>
        </w:numPr>
        <w:spacing w:after="0"/>
      </w:pPr>
      <w:r>
        <w:t>Your company’s IPO valuation</w:t>
      </w:r>
    </w:p>
    <w:p w:rsidR="009B225D" w:rsidRDefault="009B225D" w:rsidP="009B225D">
      <w:pPr>
        <w:pStyle w:val="BodyText"/>
        <w:numPr>
          <w:ilvl w:val="0"/>
          <w:numId w:val="22"/>
        </w:numPr>
        <w:spacing w:after="0"/>
      </w:pPr>
      <w:r>
        <w:t>Your prospectus or offering memorandum, and Management Discussion and Analysis</w:t>
      </w:r>
    </w:p>
    <w:p w:rsidR="009B225D" w:rsidRDefault="009B225D" w:rsidP="009B225D">
      <w:pPr>
        <w:pStyle w:val="BodyText"/>
        <w:numPr>
          <w:ilvl w:val="0"/>
          <w:numId w:val="22"/>
        </w:numPr>
        <w:spacing w:after="0"/>
      </w:pPr>
      <w:r>
        <w:t>Your optimum offering structure (including tax issues)</w:t>
      </w:r>
    </w:p>
    <w:p w:rsidR="009B225D" w:rsidRDefault="009B225D" w:rsidP="009B225D">
      <w:pPr>
        <w:pStyle w:val="BodyText"/>
        <w:numPr>
          <w:ilvl w:val="0"/>
          <w:numId w:val="22"/>
        </w:numPr>
        <w:spacing w:after="0"/>
      </w:pPr>
      <w:r>
        <w:t>Converting financial statements to IFRS, US GAAP or local reporting standards</w:t>
      </w:r>
    </w:p>
    <w:p w:rsidR="009B225D" w:rsidRDefault="009B225D" w:rsidP="009B225D">
      <w:pPr>
        <w:pStyle w:val="BodyText"/>
        <w:numPr>
          <w:ilvl w:val="0"/>
          <w:numId w:val="22"/>
        </w:numPr>
        <w:spacing w:after="0"/>
      </w:pPr>
      <w:r>
        <w:t>Disclosures required by SEC or other regulatory agencies, IFRS, US GAAP or local reporting standards</w:t>
      </w:r>
    </w:p>
    <w:p w:rsidR="009B225D" w:rsidRDefault="009B225D" w:rsidP="009B225D">
      <w:pPr>
        <w:pStyle w:val="BodyText"/>
        <w:numPr>
          <w:ilvl w:val="0"/>
          <w:numId w:val="22"/>
        </w:numPr>
        <w:spacing w:after="0"/>
      </w:pPr>
      <w:r>
        <w:t>If applicable, carve-out and pro forma financial statements</w:t>
      </w:r>
    </w:p>
    <w:p w:rsidR="009B225D" w:rsidRDefault="009B225D" w:rsidP="009B225D">
      <w:pPr>
        <w:pStyle w:val="BodyText"/>
        <w:numPr>
          <w:ilvl w:val="0"/>
          <w:numId w:val="22"/>
        </w:numPr>
        <w:spacing w:after="0"/>
      </w:pPr>
      <w:r>
        <w:t>Resolving issues raised by regulators in their review of the registration statement</w:t>
      </w:r>
    </w:p>
    <w:p w:rsidR="009B225D" w:rsidRDefault="009B225D" w:rsidP="009B225D">
      <w:pPr>
        <w:pStyle w:val="BodyText"/>
        <w:numPr>
          <w:ilvl w:val="0"/>
          <w:numId w:val="22"/>
        </w:numPr>
        <w:spacing w:after="0"/>
      </w:pPr>
      <w:r>
        <w:t>Assessing your internal controls, including during the financial reporting process</w:t>
      </w:r>
    </w:p>
    <w:p w:rsidR="009B225D" w:rsidRDefault="009B225D" w:rsidP="009B225D">
      <w:pPr>
        <w:pStyle w:val="BodyText"/>
        <w:numPr>
          <w:ilvl w:val="0"/>
          <w:numId w:val="22"/>
        </w:numPr>
        <w:spacing w:after="0"/>
      </w:pPr>
      <w:r>
        <w:t>Private due diligence reports and comfort letters</w:t>
      </w:r>
    </w:p>
    <w:p w:rsidR="009B225D" w:rsidRDefault="009B225D" w:rsidP="009B225D">
      <w:pPr>
        <w:pStyle w:val="BodyText"/>
        <w:numPr>
          <w:ilvl w:val="0"/>
          <w:numId w:val="22"/>
        </w:numPr>
        <w:spacing w:after="0"/>
      </w:pPr>
      <w:r>
        <w:t>Investor relations materials and other stakeholder communications</w:t>
      </w:r>
    </w:p>
    <w:p w:rsidR="009B225D" w:rsidRDefault="009B225D" w:rsidP="009B225D">
      <w:pPr>
        <w:pStyle w:val="BodyText"/>
        <w:numPr>
          <w:ilvl w:val="0"/>
          <w:numId w:val="22"/>
        </w:numPr>
        <w:spacing w:after="0"/>
      </w:pPr>
      <w:r>
        <w:t>Corporate governance matters</w:t>
      </w:r>
    </w:p>
    <w:p w:rsidR="00120139" w:rsidRDefault="00120139" w:rsidP="00120139">
      <w:pPr>
        <w:pStyle w:val="BodyText"/>
        <w:spacing w:after="0"/>
        <w:ind w:left="1440"/>
      </w:pPr>
    </w:p>
    <w:p w:rsidR="00120139" w:rsidRDefault="00120139" w:rsidP="00120139">
      <w:pPr>
        <w:pStyle w:val="BodyText"/>
        <w:spacing w:after="0"/>
        <w:ind w:left="1440"/>
      </w:pPr>
    </w:p>
    <w:p w:rsidR="00120139" w:rsidRPr="00120139" w:rsidRDefault="00120139" w:rsidP="00120139">
      <w:pPr>
        <w:pStyle w:val="BodyText"/>
        <w:spacing w:after="0"/>
        <w:ind w:left="1080"/>
        <w:rPr>
          <w:b/>
          <w:color w:val="0070C0"/>
        </w:rPr>
      </w:pPr>
      <w:r w:rsidRPr="00120139">
        <w:rPr>
          <w:b/>
        </w:rPr>
        <w:t>You run your business</w:t>
      </w:r>
      <w:r>
        <w:rPr>
          <w:b/>
        </w:rPr>
        <w:t xml:space="preserve"> </w:t>
      </w:r>
      <w:r w:rsidRPr="007365A8">
        <w:rPr>
          <w:b/>
          <w:color w:val="0070C0"/>
        </w:rPr>
        <w:t>(dropping)</w:t>
      </w:r>
    </w:p>
    <w:p w:rsidR="00120139" w:rsidRDefault="00120139" w:rsidP="00120139">
      <w:pPr>
        <w:pStyle w:val="BodyText"/>
        <w:spacing w:after="0"/>
        <w:ind w:left="1080"/>
      </w:pPr>
      <w:r>
        <w:t>PwC’s IPO specialists are dedicated to providing you with the technical, finance, and market support and advice you need to execute a successful listing, so you can focus on assuring the continuity of your business—even as it is being transformed into a public company.</w:t>
      </w:r>
    </w:p>
    <w:p w:rsidR="00423C71" w:rsidRDefault="00423C71" w:rsidP="00120139">
      <w:pPr>
        <w:pStyle w:val="BodyText"/>
        <w:spacing w:after="0"/>
        <w:ind w:left="1080"/>
      </w:pPr>
    </w:p>
    <w:p w:rsidR="00423C71" w:rsidRPr="00423C71" w:rsidRDefault="00423C71" w:rsidP="00423C71">
      <w:pPr>
        <w:pStyle w:val="BodyText"/>
        <w:numPr>
          <w:ilvl w:val="0"/>
          <w:numId w:val="19"/>
        </w:numPr>
        <w:spacing w:after="0"/>
        <w:rPr>
          <w:b/>
        </w:rPr>
      </w:pPr>
      <w:r w:rsidRPr="00423C71">
        <w:rPr>
          <w:b/>
        </w:rPr>
        <w:t>Being public</w:t>
      </w:r>
    </w:p>
    <w:p w:rsidR="00423C71" w:rsidRDefault="00423C71" w:rsidP="00423C71">
      <w:pPr>
        <w:pStyle w:val="BodyText"/>
        <w:spacing w:after="0"/>
        <w:ind w:left="1080"/>
      </w:pPr>
    </w:p>
    <w:p w:rsidR="007F7398" w:rsidRPr="007F7398" w:rsidRDefault="007F7398" w:rsidP="007F7398">
      <w:pPr>
        <w:pStyle w:val="BodyText"/>
        <w:spacing w:after="0"/>
        <w:ind w:left="1080"/>
      </w:pPr>
      <w:r w:rsidRPr="007F7398">
        <w:t>Your IPO is not the end of the story—it’s only the beginning. Once listed, your company will be under far greater public scrutiny than ever before, with a vastly expanded universe of stakeholders—and a significantly larger portfolio of new risks, and obligations, to manage. Any weakness in systems or failure to comply with regulations may cause a loss of investor confidence—not to mention reputational damage, and the potential for significant company and personal monetary damage as well.</w:t>
      </w:r>
    </w:p>
    <w:p w:rsidR="007F7398" w:rsidRPr="007F7398" w:rsidRDefault="007F7398" w:rsidP="007F7398">
      <w:pPr>
        <w:pStyle w:val="BodyText"/>
        <w:spacing w:after="0"/>
        <w:ind w:left="1080"/>
      </w:pPr>
    </w:p>
    <w:p w:rsidR="00423C71" w:rsidRDefault="007F7398" w:rsidP="007F7398">
      <w:pPr>
        <w:pStyle w:val="BodyText"/>
        <w:spacing w:after="0"/>
        <w:ind w:left="1080"/>
      </w:pPr>
      <w:r w:rsidRPr="007F7398">
        <w:t>In more ways than one, the public’s perception of your company will have a direct effect on the value of your stock. Fortunately, you are not alone.</w:t>
      </w:r>
    </w:p>
    <w:p w:rsidR="006D3810" w:rsidRDefault="006D3810" w:rsidP="007F7398">
      <w:pPr>
        <w:pStyle w:val="BodyText"/>
        <w:spacing w:after="0"/>
        <w:ind w:left="1080"/>
      </w:pPr>
    </w:p>
    <w:p w:rsidR="006D3810" w:rsidRPr="006D3810" w:rsidRDefault="006D3810" w:rsidP="006D3810">
      <w:pPr>
        <w:pStyle w:val="BodyText"/>
        <w:spacing w:after="0"/>
        <w:ind w:left="1080"/>
        <w:rPr>
          <w:b/>
        </w:rPr>
      </w:pPr>
      <w:r w:rsidRPr="006D3810">
        <w:rPr>
          <w:b/>
        </w:rPr>
        <w:lastRenderedPageBreak/>
        <w:t>From going public to being public: How PwC can help</w:t>
      </w:r>
      <w:r>
        <w:rPr>
          <w:b/>
        </w:rPr>
        <w:t xml:space="preserve"> </w:t>
      </w:r>
      <w:r w:rsidRPr="007365A8">
        <w:rPr>
          <w:b/>
          <w:color w:val="0070C0"/>
        </w:rPr>
        <w:t>(dropping)</w:t>
      </w:r>
    </w:p>
    <w:p w:rsidR="006D3810" w:rsidRDefault="006D3810" w:rsidP="006D3810">
      <w:pPr>
        <w:pStyle w:val="BodyText"/>
        <w:spacing w:after="0"/>
        <w:ind w:left="1080"/>
      </w:pPr>
    </w:p>
    <w:p w:rsidR="006D3810" w:rsidRDefault="006D3810" w:rsidP="006D3810">
      <w:pPr>
        <w:pStyle w:val="BodyText"/>
        <w:spacing w:after="0"/>
        <w:ind w:left="1080"/>
      </w:pPr>
      <w:r>
        <w:t>From day one of your life as a public company, we can provide advice to help you:</w:t>
      </w:r>
    </w:p>
    <w:p w:rsidR="006D3810" w:rsidRDefault="006D3810" w:rsidP="006D3810">
      <w:pPr>
        <w:pStyle w:val="BodyText"/>
        <w:spacing w:after="0"/>
        <w:ind w:left="1080"/>
      </w:pPr>
    </w:p>
    <w:p w:rsidR="006D3810" w:rsidRDefault="006D3810" w:rsidP="006D3810">
      <w:pPr>
        <w:pStyle w:val="BodyText"/>
        <w:numPr>
          <w:ilvl w:val="0"/>
          <w:numId w:val="23"/>
        </w:numPr>
        <w:spacing w:after="0"/>
      </w:pPr>
      <w:r>
        <w:t>Manage the new reporting and other regulatory requirements of a public company</w:t>
      </w:r>
    </w:p>
    <w:p w:rsidR="006D3810" w:rsidRDefault="006D3810" w:rsidP="006D3810">
      <w:pPr>
        <w:pStyle w:val="BodyText"/>
        <w:numPr>
          <w:ilvl w:val="0"/>
          <w:numId w:val="23"/>
        </w:numPr>
        <w:spacing w:after="0"/>
      </w:pPr>
      <w:r>
        <w:t>Understand how to meet market expectations and analyse market trends</w:t>
      </w:r>
    </w:p>
    <w:p w:rsidR="006D3810" w:rsidRDefault="006D3810" w:rsidP="006D3810">
      <w:pPr>
        <w:pStyle w:val="BodyText"/>
        <w:numPr>
          <w:ilvl w:val="0"/>
          <w:numId w:val="23"/>
        </w:numPr>
        <w:spacing w:after="0"/>
      </w:pPr>
      <w:r>
        <w:t>Embed systems and processes to help you streamline financial reporting processes and meet public company reporting obligations</w:t>
      </w:r>
    </w:p>
    <w:p w:rsidR="006D3810" w:rsidRDefault="006D3810" w:rsidP="006D3810">
      <w:pPr>
        <w:pStyle w:val="BodyText"/>
        <w:numPr>
          <w:ilvl w:val="0"/>
          <w:numId w:val="23"/>
        </w:numPr>
        <w:spacing w:after="0"/>
      </w:pPr>
      <w:r>
        <w:t>Manage your reputation by communicating with investors, analysts and the financial media</w:t>
      </w:r>
    </w:p>
    <w:p w:rsidR="006D3810" w:rsidRDefault="006D3810" w:rsidP="006D3810">
      <w:pPr>
        <w:pStyle w:val="BodyText"/>
        <w:numPr>
          <w:ilvl w:val="0"/>
          <w:numId w:val="23"/>
        </w:numPr>
        <w:spacing w:after="0"/>
      </w:pPr>
      <w:r>
        <w:t>Optimise your corporate governance, transparency and internal controls</w:t>
      </w:r>
    </w:p>
    <w:p w:rsidR="006D3810" w:rsidRDefault="006D3810" w:rsidP="006D3810">
      <w:pPr>
        <w:pStyle w:val="BodyText"/>
        <w:numPr>
          <w:ilvl w:val="0"/>
          <w:numId w:val="23"/>
        </w:numPr>
        <w:spacing w:after="0"/>
      </w:pPr>
      <w:r>
        <w:t>Train your people in the new compliance mind-set and practices of a public company</w:t>
      </w:r>
    </w:p>
    <w:p w:rsidR="006D3810" w:rsidRDefault="006D3810" w:rsidP="006D3810">
      <w:pPr>
        <w:pStyle w:val="BodyText"/>
        <w:numPr>
          <w:ilvl w:val="0"/>
          <w:numId w:val="23"/>
        </w:numPr>
        <w:spacing w:after="0"/>
      </w:pPr>
      <w:r>
        <w:t>Manage rounds of secondary fundraising</w:t>
      </w:r>
    </w:p>
    <w:p w:rsidR="006D3810" w:rsidRDefault="006D3810" w:rsidP="006D3810">
      <w:pPr>
        <w:pStyle w:val="BodyText"/>
        <w:numPr>
          <w:ilvl w:val="0"/>
          <w:numId w:val="23"/>
        </w:numPr>
        <w:spacing w:after="0"/>
      </w:pPr>
      <w:r>
        <w:t>Support the capital markets aspects of cross-border M&amp;A activities</w:t>
      </w:r>
    </w:p>
    <w:p w:rsidR="006D3810" w:rsidRDefault="006D3810" w:rsidP="006D3810">
      <w:pPr>
        <w:pStyle w:val="BodyText"/>
        <w:spacing w:after="0"/>
        <w:ind w:left="1080"/>
      </w:pPr>
    </w:p>
    <w:p w:rsidR="006D3810" w:rsidRDefault="006D3810" w:rsidP="006D3810">
      <w:pPr>
        <w:pStyle w:val="BodyText"/>
        <w:spacing w:after="0"/>
        <w:ind w:left="1080"/>
      </w:pPr>
      <w:r>
        <w:t>PwC’s IPO specialists are dedicated to providing you with the operational, technical, finance, and compliance support you need to survive, and thrive, as a public company—today, and into the future.</w:t>
      </w:r>
    </w:p>
    <w:p w:rsidR="007E7E3F" w:rsidRDefault="007E7E3F" w:rsidP="006D3810">
      <w:pPr>
        <w:pStyle w:val="BodyText"/>
        <w:spacing w:after="0"/>
        <w:ind w:left="1080"/>
      </w:pPr>
    </w:p>
    <w:p w:rsidR="007E7E3F" w:rsidRDefault="007E7E3F" w:rsidP="006D3810">
      <w:pPr>
        <w:pStyle w:val="BodyText"/>
        <w:spacing w:after="0"/>
        <w:ind w:left="1080"/>
      </w:pPr>
    </w:p>
    <w:p w:rsidR="007E7E3F" w:rsidRDefault="007E7E3F" w:rsidP="006D3810">
      <w:pPr>
        <w:pStyle w:val="BodyText"/>
        <w:spacing w:after="0"/>
        <w:ind w:left="1080"/>
      </w:pPr>
    </w:p>
    <w:p w:rsidR="007E7E3F" w:rsidRPr="007E7E3F" w:rsidRDefault="006E7A24" w:rsidP="00B54B1B">
      <w:pPr>
        <w:pStyle w:val="BodyText"/>
        <w:spacing w:after="0"/>
        <w:ind w:left="720"/>
        <w:rPr>
          <w:b/>
          <w:sz w:val="22"/>
          <w:szCs w:val="22"/>
        </w:rPr>
      </w:pPr>
      <w:r>
        <w:rPr>
          <w:b/>
          <w:sz w:val="22"/>
          <w:szCs w:val="22"/>
        </w:rPr>
        <w:t>Contacts</w:t>
      </w:r>
    </w:p>
    <w:p w:rsidR="007E7E3F" w:rsidRDefault="007E7E3F" w:rsidP="006D3810">
      <w:pPr>
        <w:pStyle w:val="BodyText"/>
        <w:spacing w:after="0"/>
        <w:ind w:left="1080"/>
      </w:pPr>
    </w:p>
    <w:p w:rsidR="007E7E3F" w:rsidRPr="007E7E3F" w:rsidRDefault="007E7E3F" w:rsidP="007E7E3F">
      <w:pPr>
        <w:pStyle w:val="BodyText"/>
        <w:spacing w:after="0"/>
        <w:ind w:left="1080"/>
        <w:rPr>
          <w:b/>
        </w:rPr>
      </w:pPr>
      <w:r w:rsidRPr="007E7E3F">
        <w:rPr>
          <w:b/>
        </w:rPr>
        <w:t xml:space="preserve">Clifford </w:t>
      </w:r>
      <w:proofErr w:type="spellStart"/>
      <w:r w:rsidRPr="007E7E3F">
        <w:rPr>
          <w:b/>
        </w:rPr>
        <w:t>Tompsett</w:t>
      </w:r>
      <w:proofErr w:type="spellEnd"/>
    </w:p>
    <w:p w:rsidR="007E7E3F" w:rsidRDefault="007E7E3F" w:rsidP="007E7E3F">
      <w:pPr>
        <w:pStyle w:val="BodyText"/>
        <w:spacing w:after="0"/>
        <w:ind w:left="1080"/>
      </w:pPr>
      <w:r>
        <w:t>Europe</w:t>
      </w:r>
    </w:p>
    <w:p w:rsidR="007E7E3F" w:rsidRDefault="007E7E3F" w:rsidP="007E7E3F">
      <w:pPr>
        <w:pStyle w:val="BodyText"/>
        <w:spacing w:after="0"/>
        <w:ind w:left="1080"/>
      </w:pPr>
      <w:r>
        <w:t>Head of IPO Centre</w:t>
      </w:r>
    </w:p>
    <w:p w:rsidR="007E7E3F" w:rsidRDefault="007E7E3F" w:rsidP="007E7E3F">
      <w:pPr>
        <w:pStyle w:val="BodyText"/>
        <w:spacing w:after="0"/>
        <w:ind w:left="1080"/>
      </w:pPr>
      <w:r>
        <w:t>Tel: +44 (0) 20 7804 4703</w:t>
      </w:r>
    </w:p>
    <w:p w:rsidR="007E7E3F" w:rsidRDefault="007E7E3F" w:rsidP="007E7E3F">
      <w:pPr>
        <w:pStyle w:val="BodyText"/>
        <w:spacing w:after="0"/>
        <w:ind w:left="1080"/>
      </w:pPr>
    </w:p>
    <w:p w:rsidR="007E7E3F" w:rsidRPr="007E7E3F" w:rsidRDefault="007E7E3F" w:rsidP="007E7E3F">
      <w:pPr>
        <w:pStyle w:val="BodyText"/>
        <w:spacing w:after="0"/>
        <w:ind w:left="1080"/>
        <w:rPr>
          <w:b/>
        </w:rPr>
      </w:pPr>
      <w:r w:rsidRPr="007E7E3F">
        <w:rPr>
          <w:b/>
        </w:rPr>
        <w:t>Kennedy Liu</w:t>
      </w:r>
    </w:p>
    <w:p w:rsidR="007E7E3F" w:rsidRDefault="007E7E3F" w:rsidP="007E7E3F">
      <w:pPr>
        <w:pStyle w:val="BodyText"/>
        <w:spacing w:after="0"/>
        <w:ind w:left="1080"/>
      </w:pPr>
      <w:r>
        <w:t>Asia Pacific</w:t>
      </w:r>
    </w:p>
    <w:p w:rsidR="007E7E3F" w:rsidRDefault="007E7E3F" w:rsidP="007E7E3F">
      <w:pPr>
        <w:pStyle w:val="BodyText"/>
        <w:spacing w:after="0"/>
        <w:ind w:left="1080"/>
      </w:pPr>
      <w:r>
        <w:t>Partner</w:t>
      </w:r>
      <w:r w:rsidR="00821C2A">
        <w:t>, IPO Centre</w:t>
      </w:r>
    </w:p>
    <w:p w:rsidR="007E7E3F" w:rsidRDefault="007E7E3F" w:rsidP="007E7E3F">
      <w:pPr>
        <w:pStyle w:val="BodyText"/>
        <w:spacing w:after="0"/>
        <w:ind w:left="1080"/>
      </w:pPr>
      <w:r>
        <w:t>Tel: +852 2289 1881</w:t>
      </w:r>
    </w:p>
    <w:p w:rsidR="007E7E3F" w:rsidRDefault="007E7E3F" w:rsidP="007E7E3F">
      <w:pPr>
        <w:pStyle w:val="BodyText"/>
        <w:spacing w:after="0"/>
        <w:ind w:left="1080"/>
      </w:pPr>
    </w:p>
    <w:p w:rsidR="007E7E3F" w:rsidRPr="007E7E3F" w:rsidRDefault="007E7E3F" w:rsidP="007E7E3F">
      <w:pPr>
        <w:pStyle w:val="BodyText"/>
        <w:spacing w:after="0"/>
        <w:ind w:left="1080"/>
        <w:rPr>
          <w:b/>
        </w:rPr>
      </w:pPr>
      <w:r w:rsidRPr="007E7E3F">
        <w:rPr>
          <w:b/>
        </w:rPr>
        <w:t xml:space="preserve">Neil </w:t>
      </w:r>
      <w:proofErr w:type="spellStart"/>
      <w:r w:rsidRPr="007E7E3F">
        <w:rPr>
          <w:b/>
        </w:rPr>
        <w:t>Dhar</w:t>
      </w:r>
      <w:proofErr w:type="spellEnd"/>
    </w:p>
    <w:p w:rsidR="007E7E3F" w:rsidRDefault="007E7E3F" w:rsidP="007E7E3F">
      <w:pPr>
        <w:pStyle w:val="BodyText"/>
        <w:spacing w:after="0"/>
        <w:ind w:left="1080"/>
      </w:pPr>
      <w:r>
        <w:t>Americas</w:t>
      </w:r>
    </w:p>
    <w:p w:rsidR="007E7E3F" w:rsidRDefault="007E7E3F" w:rsidP="007E7E3F">
      <w:pPr>
        <w:pStyle w:val="BodyText"/>
        <w:spacing w:after="0"/>
        <w:ind w:left="1080"/>
      </w:pPr>
      <w:r>
        <w:t>Partner</w:t>
      </w:r>
      <w:r w:rsidR="00821C2A">
        <w:t>, IPO Centre</w:t>
      </w:r>
    </w:p>
    <w:p w:rsidR="007E7E3F" w:rsidRDefault="007E7E3F" w:rsidP="007E7E3F">
      <w:pPr>
        <w:pStyle w:val="BodyText"/>
        <w:spacing w:after="0"/>
        <w:ind w:left="1080"/>
      </w:pPr>
      <w:r>
        <w:t>Tel: +1 646 471 3700</w:t>
      </w:r>
    </w:p>
    <w:p w:rsidR="00B54B1B" w:rsidRDefault="00B54B1B" w:rsidP="007E7E3F">
      <w:pPr>
        <w:pStyle w:val="BodyText"/>
        <w:spacing w:after="0"/>
        <w:ind w:left="1080"/>
      </w:pPr>
    </w:p>
    <w:p w:rsidR="006E7A24" w:rsidRDefault="006E7A24" w:rsidP="006E7A24">
      <w:pPr>
        <w:pStyle w:val="BodyText"/>
        <w:spacing w:after="0"/>
        <w:ind w:left="720"/>
        <w:rPr>
          <w:b/>
        </w:rPr>
      </w:pPr>
      <w:r w:rsidRPr="006E7A24">
        <w:rPr>
          <w:b/>
        </w:rPr>
        <w:t>Territory contacts</w:t>
      </w:r>
      <w:r>
        <w:t xml:space="preserve"> </w:t>
      </w:r>
      <w:r>
        <w:rPr>
          <w:b/>
          <w:color w:val="0070C0"/>
        </w:rPr>
        <w:t xml:space="preserve">** Greg, can we have this work like this </w:t>
      </w:r>
      <w:r w:rsidRPr="006E7A24">
        <w:rPr>
          <w:b/>
          <w:color w:val="0070C0"/>
        </w:rPr>
        <w:t>http://www.pwc.com/gx/en/hospitality-leisure/index.jhtml</w:t>
      </w:r>
    </w:p>
    <w:p w:rsidR="00B54B1B" w:rsidRDefault="00B54B1B" w:rsidP="007E7E3F">
      <w:pPr>
        <w:pStyle w:val="BodyText"/>
        <w:spacing w:after="0"/>
        <w:ind w:left="1080"/>
      </w:pPr>
    </w:p>
    <w:p w:rsidR="00B54B1B" w:rsidRDefault="00B54B1B" w:rsidP="00B54B1B">
      <w:pPr>
        <w:pStyle w:val="BodyText"/>
        <w:spacing w:after="0"/>
        <w:ind w:left="720"/>
        <w:rPr>
          <w:b/>
          <w:sz w:val="24"/>
          <w:szCs w:val="24"/>
          <w:u w:val="single"/>
        </w:rPr>
      </w:pPr>
    </w:p>
    <w:p w:rsidR="00B54B1B" w:rsidRDefault="00B54B1B" w:rsidP="00B54B1B">
      <w:pPr>
        <w:pStyle w:val="BodyText"/>
        <w:spacing w:after="0"/>
        <w:ind w:left="720"/>
        <w:rPr>
          <w:b/>
          <w:sz w:val="24"/>
          <w:szCs w:val="24"/>
          <w:u w:val="single"/>
        </w:rPr>
      </w:pPr>
      <w:r>
        <w:rPr>
          <w:b/>
          <w:sz w:val="24"/>
          <w:szCs w:val="24"/>
          <w:u w:val="single"/>
        </w:rPr>
        <w:t>Execute</w:t>
      </w:r>
      <w:r w:rsidRPr="00B54B1B">
        <w:rPr>
          <w:b/>
          <w:sz w:val="24"/>
          <w:szCs w:val="24"/>
          <w:u w:val="single"/>
        </w:rPr>
        <w:t xml:space="preserve"> a debt offering</w:t>
      </w:r>
      <w:r w:rsidR="00FA3736">
        <w:rPr>
          <w:b/>
          <w:sz w:val="24"/>
          <w:szCs w:val="24"/>
          <w:u w:val="single"/>
        </w:rPr>
        <w:t xml:space="preserve"> (This is a new page)</w:t>
      </w:r>
    </w:p>
    <w:p w:rsidR="00FA3736" w:rsidRDefault="00FA3736" w:rsidP="00B54B1B">
      <w:pPr>
        <w:pStyle w:val="BodyText"/>
        <w:spacing w:after="0"/>
        <w:ind w:left="720"/>
      </w:pPr>
      <w:hyperlink r:id="rId9" w:history="1">
        <w:r w:rsidRPr="00173DF3">
          <w:rPr>
            <w:rStyle w:val="Hyperlink"/>
          </w:rPr>
          <w:t>http://www.pwc.com/gx/en/audit-services/ipo-centre/execute-a-debt-offering.jhtml</w:t>
        </w:r>
      </w:hyperlink>
    </w:p>
    <w:p w:rsidR="00FA3736" w:rsidRDefault="00FA3736" w:rsidP="00B54B1B">
      <w:pPr>
        <w:pStyle w:val="BodyText"/>
        <w:spacing w:after="0"/>
        <w:ind w:left="720"/>
      </w:pPr>
    </w:p>
    <w:p w:rsidR="00FA3736" w:rsidRDefault="00FA3736" w:rsidP="00B54B1B">
      <w:pPr>
        <w:pStyle w:val="BodyText"/>
        <w:spacing w:after="0"/>
        <w:ind w:left="720"/>
      </w:pPr>
      <w:r>
        <w:t xml:space="preserve">** </w:t>
      </w:r>
      <w:proofErr w:type="spellStart"/>
      <w:proofErr w:type="gramStart"/>
      <w:r>
        <w:t>i</w:t>
      </w:r>
      <w:proofErr w:type="spellEnd"/>
      <w:proofErr w:type="gramEnd"/>
      <w:r>
        <w:t xml:space="preserve"> would said it up like a second level content page [</w:t>
      </w:r>
      <w:r w:rsidRPr="00FA3736">
        <w:t>http://www.pwc.com/gx/en/audit-services/capital-market/capital-market-services.jhtml</w:t>
      </w:r>
      <w:r>
        <w:t xml:space="preserve">]  not sure what to put in the banner yet. </w:t>
      </w:r>
    </w:p>
    <w:p w:rsidR="00B54B1B" w:rsidRDefault="00B54B1B" w:rsidP="00B54B1B">
      <w:pPr>
        <w:pStyle w:val="BodyText"/>
        <w:spacing w:after="0"/>
        <w:ind w:left="1080"/>
      </w:pPr>
    </w:p>
    <w:p w:rsidR="00B54B1B" w:rsidRDefault="00B54B1B" w:rsidP="00B54B1B">
      <w:pPr>
        <w:pStyle w:val="BodyText"/>
        <w:spacing w:after="0"/>
        <w:ind w:left="709"/>
      </w:pPr>
      <w:r>
        <w:t>With interest rates remaining at historic lows and ongoing uncertainty in the equity markets, debt financing continues to be a popular avenue for raising capital. Sources of debt financing are changing too. Due to the credit crunch and increasingly regulation bank lending has not recovered to its historic levels and companies have increasingly turned to the bond markets.</w:t>
      </w:r>
    </w:p>
    <w:p w:rsidR="00B54B1B" w:rsidRDefault="00B54B1B" w:rsidP="00B54B1B">
      <w:pPr>
        <w:pStyle w:val="BodyText"/>
        <w:spacing w:after="0"/>
        <w:ind w:left="709"/>
      </w:pPr>
    </w:p>
    <w:p w:rsidR="00B54B1B" w:rsidRDefault="00B54B1B" w:rsidP="00B54B1B">
      <w:pPr>
        <w:pStyle w:val="BodyText"/>
        <w:spacing w:after="0"/>
        <w:ind w:left="709"/>
      </w:pPr>
      <w:r>
        <w:t>The debt capital markets are challenging and complex to navigate and successfully completing a debt offering requires thoughtful planning and execution.</w:t>
      </w:r>
    </w:p>
    <w:p w:rsidR="00B54B1B" w:rsidRDefault="00B54B1B" w:rsidP="00B54B1B">
      <w:pPr>
        <w:pStyle w:val="BodyText"/>
        <w:spacing w:after="0"/>
        <w:ind w:left="709"/>
      </w:pPr>
    </w:p>
    <w:p w:rsidR="00B54B1B" w:rsidRPr="00B54B1B" w:rsidRDefault="00B54B1B" w:rsidP="00B54B1B">
      <w:pPr>
        <w:pStyle w:val="BodyText"/>
        <w:spacing w:after="0"/>
        <w:ind w:left="709"/>
        <w:rPr>
          <w:b/>
        </w:rPr>
      </w:pPr>
      <w:r w:rsidRPr="00B54B1B">
        <w:rPr>
          <w:b/>
        </w:rPr>
        <w:t>How we can help?</w:t>
      </w:r>
    </w:p>
    <w:p w:rsidR="00B54B1B" w:rsidRDefault="00B54B1B" w:rsidP="00B54B1B">
      <w:pPr>
        <w:pStyle w:val="BodyText"/>
        <w:numPr>
          <w:ilvl w:val="0"/>
          <w:numId w:val="24"/>
        </w:numPr>
        <w:spacing w:after="0"/>
      </w:pPr>
      <w:r>
        <w:lastRenderedPageBreak/>
        <w:t>Project management and co-ordination (issuance of debt requires significant executive attention and resources)</w:t>
      </w:r>
    </w:p>
    <w:p w:rsidR="00B54B1B" w:rsidRDefault="00B54B1B" w:rsidP="00B54B1B">
      <w:pPr>
        <w:pStyle w:val="BodyText"/>
        <w:numPr>
          <w:ilvl w:val="0"/>
          <w:numId w:val="24"/>
        </w:numPr>
        <w:spacing w:after="0"/>
      </w:pPr>
      <w:r>
        <w:t>Define financial statement requirements, non-GAAP measures, pro forma financial information and non-financial disclosures required for the offering memorandum</w:t>
      </w:r>
    </w:p>
    <w:p w:rsidR="00B54B1B" w:rsidRDefault="00B54B1B" w:rsidP="00B54B1B">
      <w:pPr>
        <w:pStyle w:val="BodyText"/>
        <w:numPr>
          <w:ilvl w:val="0"/>
          <w:numId w:val="24"/>
        </w:numPr>
        <w:spacing w:after="0"/>
      </w:pPr>
      <w:r>
        <w:t>Advice on regulatory requirements of main listing venues</w:t>
      </w:r>
    </w:p>
    <w:p w:rsidR="00B54B1B" w:rsidRDefault="00B54B1B" w:rsidP="00B54B1B">
      <w:pPr>
        <w:pStyle w:val="BodyText"/>
        <w:numPr>
          <w:ilvl w:val="0"/>
          <w:numId w:val="24"/>
        </w:numPr>
        <w:spacing w:after="0"/>
      </w:pPr>
      <w:r>
        <w:t>Assistance with the due diligence process</w:t>
      </w:r>
    </w:p>
    <w:p w:rsidR="00B54B1B" w:rsidRDefault="00B54B1B" w:rsidP="00B54B1B">
      <w:pPr>
        <w:pStyle w:val="BodyText"/>
        <w:numPr>
          <w:ilvl w:val="0"/>
          <w:numId w:val="24"/>
        </w:numPr>
        <w:spacing w:after="0"/>
      </w:pPr>
      <w:r>
        <w:t>Assistance with the drafting of financial sections of the Offering Memorandum</w:t>
      </w:r>
    </w:p>
    <w:p w:rsidR="00B54B1B" w:rsidRDefault="00B54B1B" w:rsidP="00B54B1B">
      <w:pPr>
        <w:pStyle w:val="BodyText"/>
        <w:numPr>
          <w:ilvl w:val="0"/>
          <w:numId w:val="24"/>
        </w:numPr>
        <w:spacing w:after="0"/>
      </w:pPr>
      <w:r>
        <w:t>Assistance with communications with regulators</w:t>
      </w:r>
    </w:p>
    <w:p w:rsidR="00B54B1B" w:rsidRDefault="00B54B1B" w:rsidP="00B54B1B">
      <w:pPr>
        <w:pStyle w:val="BodyText"/>
        <w:numPr>
          <w:ilvl w:val="0"/>
          <w:numId w:val="24"/>
        </w:numPr>
        <w:spacing w:after="0"/>
      </w:pPr>
      <w:r>
        <w:t>Structuring and tax advice on the issue of bonds</w:t>
      </w:r>
    </w:p>
    <w:p w:rsidR="00B54B1B" w:rsidRDefault="00B54B1B" w:rsidP="00B54B1B">
      <w:pPr>
        <w:pStyle w:val="BodyText"/>
        <w:spacing w:after="0"/>
        <w:ind w:left="709"/>
      </w:pPr>
    </w:p>
    <w:p w:rsidR="00B54B1B" w:rsidRDefault="00B54B1B" w:rsidP="00B54B1B">
      <w:pPr>
        <w:pStyle w:val="BodyText"/>
        <w:spacing w:after="0"/>
        <w:ind w:left="709"/>
      </w:pPr>
    </w:p>
    <w:p w:rsidR="00B54B1B" w:rsidRPr="00B54B1B" w:rsidRDefault="00B54B1B" w:rsidP="00B54B1B">
      <w:pPr>
        <w:pStyle w:val="BodyText"/>
        <w:spacing w:after="0"/>
        <w:ind w:left="709"/>
        <w:rPr>
          <w:b/>
        </w:rPr>
      </w:pPr>
      <w:r w:rsidRPr="00B54B1B">
        <w:rPr>
          <w:b/>
        </w:rPr>
        <w:t>PwC value proposition</w:t>
      </w:r>
      <w:r>
        <w:rPr>
          <w:b/>
        </w:rPr>
        <w:t xml:space="preserve"> </w:t>
      </w:r>
      <w:r w:rsidRPr="00B54B1B">
        <w:rPr>
          <w:b/>
          <w:color w:val="0070C0"/>
        </w:rPr>
        <w:t>(in a box)</w:t>
      </w:r>
    </w:p>
    <w:p w:rsidR="00B54B1B" w:rsidRDefault="00B54B1B" w:rsidP="00B54B1B">
      <w:pPr>
        <w:pStyle w:val="BodyText"/>
        <w:numPr>
          <w:ilvl w:val="0"/>
          <w:numId w:val="25"/>
        </w:numPr>
        <w:spacing w:after="0"/>
      </w:pPr>
      <w:r>
        <w:t>Dedicated debt capital markets team</w:t>
      </w:r>
    </w:p>
    <w:p w:rsidR="00B54B1B" w:rsidRDefault="00B54B1B" w:rsidP="00B54B1B">
      <w:pPr>
        <w:pStyle w:val="BodyText"/>
        <w:numPr>
          <w:ilvl w:val="0"/>
          <w:numId w:val="25"/>
        </w:numPr>
        <w:spacing w:after="0"/>
      </w:pPr>
      <w:r>
        <w:t>Experience in handling a wide range of complex debt offerings</w:t>
      </w:r>
    </w:p>
    <w:p w:rsidR="00B54B1B" w:rsidRDefault="00B54B1B" w:rsidP="00B54B1B">
      <w:pPr>
        <w:pStyle w:val="BodyText"/>
        <w:numPr>
          <w:ilvl w:val="0"/>
          <w:numId w:val="25"/>
        </w:numPr>
        <w:spacing w:after="0"/>
      </w:pPr>
      <w:r>
        <w:t>Client focused / solutions based approach where we look to add value</w:t>
      </w:r>
    </w:p>
    <w:p w:rsidR="00B54B1B" w:rsidRDefault="00B54B1B" w:rsidP="00B54B1B">
      <w:pPr>
        <w:pStyle w:val="BodyText"/>
        <w:numPr>
          <w:ilvl w:val="0"/>
          <w:numId w:val="25"/>
        </w:numPr>
        <w:spacing w:after="0"/>
      </w:pPr>
      <w:r>
        <w:t>Fully integrated approach, where we bring our diverse capabilities to bear</w:t>
      </w:r>
    </w:p>
    <w:p w:rsidR="00B54B1B" w:rsidRDefault="00B54B1B" w:rsidP="00B54B1B">
      <w:pPr>
        <w:pStyle w:val="BodyText"/>
        <w:numPr>
          <w:ilvl w:val="0"/>
          <w:numId w:val="25"/>
        </w:numPr>
        <w:spacing w:after="0"/>
      </w:pPr>
      <w:r>
        <w:t>Close integration with other territories – critical in cross border debt offerings</w:t>
      </w:r>
    </w:p>
    <w:p w:rsidR="00B54B1B" w:rsidRDefault="00B54B1B" w:rsidP="00B54B1B">
      <w:pPr>
        <w:pStyle w:val="BodyText"/>
        <w:spacing w:after="0"/>
      </w:pPr>
    </w:p>
    <w:p w:rsidR="00B54B1B" w:rsidRDefault="00B54B1B" w:rsidP="00B54B1B">
      <w:pPr>
        <w:pStyle w:val="BodyText"/>
        <w:spacing w:after="0"/>
      </w:pPr>
    </w:p>
    <w:p w:rsidR="00FA3736" w:rsidRDefault="00FA3736" w:rsidP="00FA3736">
      <w:pPr>
        <w:pStyle w:val="BodyText"/>
        <w:spacing w:after="0"/>
        <w:ind w:left="720"/>
        <w:rPr>
          <w:b/>
        </w:rPr>
      </w:pPr>
      <w:r>
        <w:rPr>
          <w:b/>
          <w:sz w:val="22"/>
          <w:szCs w:val="22"/>
        </w:rPr>
        <w:t>Contacts</w:t>
      </w:r>
    </w:p>
    <w:p w:rsidR="00FA3736" w:rsidRPr="00F24B6F" w:rsidRDefault="00FA3736" w:rsidP="00FA3736">
      <w:pPr>
        <w:pStyle w:val="BodyText"/>
        <w:spacing w:after="0"/>
        <w:ind w:left="720"/>
        <w:rPr>
          <w:b/>
        </w:rPr>
      </w:pPr>
    </w:p>
    <w:p w:rsidR="00FA3736" w:rsidRPr="00F24B6F" w:rsidRDefault="00FA3736" w:rsidP="00FA3736">
      <w:pPr>
        <w:pStyle w:val="BodyText"/>
        <w:spacing w:after="0"/>
        <w:ind w:left="720"/>
        <w:rPr>
          <w:b/>
        </w:rPr>
      </w:pPr>
      <w:r w:rsidRPr="00F24B6F">
        <w:rPr>
          <w:b/>
        </w:rPr>
        <w:t xml:space="preserve">Armin </w:t>
      </w:r>
      <w:proofErr w:type="spellStart"/>
      <w:r w:rsidRPr="00F24B6F">
        <w:rPr>
          <w:b/>
        </w:rPr>
        <w:t>Slotta</w:t>
      </w:r>
      <w:proofErr w:type="spellEnd"/>
    </w:p>
    <w:p w:rsidR="00FA3736" w:rsidRPr="00F24B6F" w:rsidRDefault="00FA3736" w:rsidP="00FA3736">
      <w:pPr>
        <w:pStyle w:val="BodyText"/>
        <w:spacing w:after="0"/>
        <w:ind w:left="720"/>
      </w:pPr>
      <w:r w:rsidRPr="00F24B6F">
        <w:t>Europe</w:t>
      </w:r>
    </w:p>
    <w:p w:rsidR="00FA3736" w:rsidRPr="00F24B6F" w:rsidRDefault="00FA3736" w:rsidP="00FA3736">
      <w:pPr>
        <w:pStyle w:val="BodyText"/>
        <w:spacing w:after="0"/>
        <w:ind w:left="720"/>
      </w:pPr>
      <w:r w:rsidRPr="00F24B6F">
        <w:t>Partner</w:t>
      </w:r>
    </w:p>
    <w:p w:rsidR="00FA3736" w:rsidRPr="00F24B6F" w:rsidRDefault="00FA3736" w:rsidP="00FA3736">
      <w:pPr>
        <w:pStyle w:val="BodyText"/>
        <w:spacing w:after="0"/>
        <w:ind w:left="720"/>
      </w:pPr>
      <w:r w:rsidRPr="00F24B6F">
        <w:t>Tel: +49 69 9585 1220</w:t>
      </w:r>
    </w:p>
    <w:p w:rsidR="00FA3736" w:rsidRDefault="00FA3736" w:rsidP="00FA3736">
      <w:pPr>
        <w:pStyle w:val="BodyText"/>
        <w:spacing w:after="0"/>
        <w:ind w:left="720"/>
      </w:pPr>
    </w:p>
    <w:p w:rsidR="00FA3736" w:rsidRPr="00F24B6F" w:rsidRDefault="00FA3736" w:rsidP="00FA3736">
      <w:pPr>
        <w:pStyle w:val="BodyText"/>
        <w:spacing w:after="0"/>
        <w:ind w:left="720"/>
        <w:rPr>
          <w:b/>
        </w:rPr>
      </w:pPr>
      <w:r w:rsidRPr="00F24B6F">
        <w:rPr>
          <w:b/>
        </w:rPr>
        <w:t>Henri Leveque</w:t>
      </w:r>
    </w:p>
    <w:p w:rsidR="00FA3736" w:rsidRPr="00F24B6F" w:rsidRDefault="00FA3736" w:rsidP="00FA3736">
      <w:pPr>
        <w:pStyle w:val="BodyText"/>
        <w:spacing w:after="0"/>
        <w:ind w:left="720"/>
      </w:pPr>
      <w:r w:rsidRPr="00F24B6F">
        <w:t>Americas</w:t>
      </w:r>
    </w:p>
    <w:p w:rsidR="00FA3736" w:rsidRPr="00F24B6F" w:rsidRDefault="00FA3736" w:rsidP="00FA3736">
      <w:pPr>
        <w:pStyle w:val="BodyText"/>
        <w:spacing w:after="0"/>
        <w:ind w:left="720"/>
      </w:pPr>
      <w:r w:rsidRPr="00F24B6F">
        <w:t>Partner</w:t>
      </w:r>
    </w:p>
    <w:p w:rsidR="00FA3736" w:rsidRPr="00F24B6F" w:rsidRDefault="00FA3736" w:rsidP="00FA3736">
      <w:pPr>
        <w:pStyle w:val="BodyText"/>
        <w:spacing w:after="0"/>
        <w:ind w:left="720"/>
      </w:pPr>
      <w:r w:rsidRPr="00F24B6F">
        <w:t>Tel: +1 (678) 419 3100</w:t>
      </w:r>
    </w:p>
    <w:p w:rsidR="00FA3736" w:rsidRDefault="00FA3736" w:rsidP="00FA3736">
      <w:pPr>
        <w:pStyle w:val="BodyText"/>
        <w:spacing w:after="0"/>
        <w:ind w:left="720"/>
      </w:pPr>
    </w:p>
    <w:p w:rsidR="00FA3736" w:rsidRPr="00F24B6F" w:rsidRDefault="00FA3736" w:rsidP="00FA3736">
      <w:pPr>
        <w:pStyle w:val="BodyText"/>
        <w:spacing w:after="0"/>
        <w:ind w:left="720"/>
        <w:rPr>
          <w:b/>
        </w:rPr>
      </w:pPr>
      <w:r w:rsidRPr="00F24B6F">
        <w:rPr>
          <w:b/>
        </w:rPr>
        <w:t>Richard Winter</w:t>
      </w:r>
    </w:p>
    <w:p w:rsidR="00FA3736" w:rsidRPr="00F24B6F" w:rsidRDefault="00FA3736" w:rsidP="00FA3736">
      <w:pPr>
        <w:pStyle w:val="BodyText"/>
        <w:spacing w:after="0"/>
        <w:ind w:left="720"/>
      </w:pPr>
      <w:r w:rsidRPr="00F24B6F">
        <w:t>Europe - United Kingdom</w:t>
      </w:r>
    </w:p>
    <w:p w:rsidR="00FA3736" w:rsidRPr="00F24B6F" w:rsidRDefault="00FA3736" w:rsidP="00FA3736">
      <w:pPr>
        <w:pStyle w:val="BodyText"/>
        <w:spacing w:after="0"/>
        <w:ind w:left="720"/>
      </w:pPr>
      <w:r w:rsidRPr="00F24B6F">
        <w:t>Partner</w:t>
      </w:r>
    </w:p>
    <w:p w:rsidR="00FA3736" w:rsidRPr="00F24B6F" w:rsidRDefault="00FA3736" w:rsidP="00FA3736">
      <w:pPr>
        <w:pStyle w:val="BodyText"/>
        <w:spacing w:after="0"/>
        <w:ind w:left="720"/>
      </w:pPr>
      <w:r w:rsidRPr="00F24B6F">
        <w:t>Tel: +44 (0) 20 780 44668</w:t>
      </w:r>
    </w:p>
    <w:p w:rsidR="00FA3736" w:rsidRDefault="00FA3736" w:rsidP="00FA3736">
      <w:pPr>
        <w:pStyle w:val="BodyText"/>
        <w:spacing w:after="0"/>
        <w:ind w:left="720"/>
      </w:pPr>
    </w:p>
    <w:p w:rsidR="00FA3736" w:rsidRPr="00F24B6F" w:rsidRDefault="00FA3736" w:rsidP="00FA3736">
      <w:pPr>
        <w:pStyle w:val="BodyText"/>
        <w:spacing w:after="0"/>
        <w:ind w:left="720"/>
        <w:rPr>
          <w:b/>
        </w:rPr>
      </w:pPr>
      <w:r w:rsidRPr="00F24B6F">
        <w:rPr>
          <w:b/>
        </w:rPr>
        <w:t>Steve Derrick</w:t>
      </w:r>
    </w:p>
    <w:p w:rsidR="00FA3736" w:rsidRPr="00F24B6F" w:rsidRDefault="00FA3736" w:rsidP="00FA3736">
      <w:pPr>
        <w:pStyle w:val="BodyText"/>
        <w:spacing w:after="0"/>
        <w:ind w:left="720"/>
      </w:pPr>
      <w:r w:rsidRPr="00F24B6F">
        <w:t>Asia Pacific</w:t>
      </w:r>
    </w:p>
    <w:p w:rsidR="00FA3736" w:rsidRPr="00F24B6F" w:rsidRDefault="00FA3736" w:rsidP="00FA3736">
      <w:pPr>
        <w:pStyle w:val="BodyText"/>
        <w:spacing w:after="0"/>
        <w:ind w:left="720"/>
      </w:pPr>
      <w:r w:rsidRPr="00F24B6F">
        <w:t>Partner</w:t>
      </w:r>
    </w:p>
    <w:p w:rsidR="00FA3736" w:rsidRDefault="00FA3736" w:rsidP="00FA3736">
      <w:pPr>
        <w:pStyle w:val="BodyText"/>
        <w:spacing w:after="0"/>
        <w:ind w:left="720"/>
      </w:pPr>
      <w:r w:rsidRPr="00F24B6F">
        <w:t xml:space="preserve">Tel: </w:t>
      </w:r>
      <w:proofErr w:type="gramStart"/>
      <w:r w:rsidRPr="00F24B6F">
        <w:t>+(</w:t>
      </w:r>
      <w:proofErr w:type="gramEnd"/>
      <w:r w:rsidRPr="00F24B6F">
        <w:t>852) 2289 1211</w:t>
      </w:r>
    </w:p>
    <w:p w:rsidR="00FA3736" w:rsidRDefault="00FA3736" w:rsidP="00FA3736">
      <w:pPr>
        <w:pStyle w:val="BodyText"/>
        <w:spacing w:after="0"/>
        <w:ind w:left="720"/>
      </w:pPr>
    </w:p>
    <w:p w:rsidR="00FA3736" w:rsidRDefault="00FA3736" w:rsidP="00FA3736">
      <w:pPr>
        <w:pStyle w:val="BodyText"/>
        <w:spacing w:after="0"/>
        <w:ind w:left="720"/>
        <w:rPr>
          <w:b/>
        </w:rPr>
      </w:pPr>
      <w:r w:rsidRPr="00F24B6F">
        <w:rPr>
          <w:b/>
        </w:rPr>
        <w:t>Territory contacts</w:t>
      </w:r>
      <w:r>
        <w:rPr>
          <w:b/>
        </w:rPr>
        <w:t xml:space="preserve"> </w:t>
      </w:r>
      <w:r w:rsidRPr="00BE0D48">
        <w:rPr>
          <w:b/>
          <w:color w:val="0070C0"/>
        </w:rPr>
        <w:t>(see below)</w:t>
      </w:r>
      <w:r>
        <w:rPr>
          <w:b/>
          <w:color w:val="0070C0"/>
        </w:rPr>
        <w:t xml:space="preserve"> ** Greg, can we have this work like this </w:t>
      </w:r>
      <w:r w:rsidRPr="006E7A24">
        <w:rPr>
          <w:b/>
          <w:color w:val="0070C0"/>
        </w:rPr>
        <w:t>http://www.pwc.com/gx/en/hospitality-leisure/index.jhtml</w:t>
      </w:r>
    </w:p>
    <w:p w:rsidR="00BE0D48" w:rsidRDefault="00BE0D48" w:rsidP="00B54B1B">
      <w:pPr>
        <w:pStyle w:val="BodyText"/>
        <w:spacing w:after="0"/>
        <w:ind w:left="720"/>
        <w:rPr>
          <w:b/>
          <w:sz w:val="22"/>
          <w:szCs w:val="22"/>
        </w:rPr>
      </w:pPr>
    </w:p>
    <w:p w:rsidR="00BE0D48" w:rsidRDefault="00BE0D48" w:rsidP="00B54B1B">
      <w:pPr>
        <w:pStyle w:val="BodyText"/>
        <w:spacing w:after="0"/>
        <w:ind w:left="720"/>
        <w:rPr>
          <w:b/>
          <w:sz w:val="22"/>
          <w:szCs w:val="22"/>
        </w:rPr>
      </w:pPr>
    </w:p>
    <w:p w:rsidR="00BE0D48" w:rsidRDefault="00BE0D48" w:rsidP="00B54B1B">
      <w:pPr>
        <w:pStyle w:val="BodyText"/>
        <w:spacing w:after="0"/>
        <w:ind w:left="720"/>
        <w:rPr>
          <w:b/>
          <w:sz w:val="22"/>
          <w:szCs w:val="22"/>
        </w:rPr>
      </w:pPr>
      <w:r>
        <w:rPr>
          <w:b/>
          <w:sz w:val="22"/>
          <w:szCs w:val="22"/>
        </w:rPr>
        <w:t>Territory contacts</w:t>
      </w:r>
    </w:p>
    <w:p w:rsidR="006E7A24" w:rsidRDefault="006E7A24" w:rsidP="00B54B1B">
      <w:pPr>
        <w:pStyle w:val="BodyText"/>
        <w:spacing w:after="0"/>
        <w:ind w:left="720"/>
        <w:rPr>
          <w:b/>
          <w:sz w:val="22"/>
          <w:szCs w:val="22"/>
        </w:rPr>
      </w:pPr>
      <w:hyperlink r:id="rId10" w:history="1">
        <w:r w:rsidRPr="00173DF3">
          <w:rPr>
            <w:rStyle w:val="Hyperlink"/>
            <w:b/>
            <w:sz w:val="22"/>
            <w:szCs w:val="22"/>
          </w:rPr>
          <w:t>http://www.pwc.com/en_GX/gx/audit-services/capital-market/contacts.jhtml</w:t>
        </w:r>
      </w:hyperlink>
    </w:p>
    <w:p w:rsidR="006E7A24" w:rsidRDefault="006E7A24" w:rsidP="00B54B1B">
      <w:pPr>
        <w:pStyle w:val="BodyText"/>
        <w:spacing w:after="0"/>
        <w:ind w:left="720"/>
        <w:rPr>
          <w:b/>
          <w:sz w:val="22"/>
          <w:szCs w:val="22"/>
        </w:rPr>
      </w:pPr>
    </w:p>
    <w:p w:rsidR="006E7A24" w:rsidRDefault="006E7A24" w:rsidP="006E7A24">
      <w:pPr>
        <w:spacing w:after="0" w:line="240" w:lineRule="auto"/>
        <w:ind w:firstLine="720"/>
        <w:rPr>
          <w:rFonts w:ascii="Arial" w:eastAsia="Times New Roman" w:hAnsi="Arial" w:cs="Arial"/>
          <w:color w:val="000000"/>
          <w:lang w:eastAsia="en-GB"/>
        </w:rPr>
      </w:pPr>
      <w:r>
        <w:rPr>
          <w:rFonts w:ascii="Arial" w:eastAsia="Times New Roman" w:hAnsi="Arial" w:cs="Arial"/>
          <w:color w:val="000000"/>
          <w:lang w:eastAsia="en-GB"/>
        </w:rPr>
        <w:t>** add the country web site to the appropriate contacts</w:t>
      </w:r>
    </w:p>
    <w:p w:rsidR="006E7A24" w:rsidRDefault="006E7A24" w:rsidP="00B54B1B">
      <w:pPr>
        <w:pStyle w:val="BodyText"/>
        <w:spacing w:after="0"/>
        <w:ind w:left="720"/>
        <w:rPr>
          <w:b/>
          <w:sz w:val="22"/>
          <w:szCs w:val="22"/>
        </w:rPr>
      </w:pPr>
    </w:p>
    <w:tbl>
      <w:tblPr>
        <w:tblW w:w="9388" w:type="dxa"/>
        <w:tblInd w:w="94" w:type="dxa"/>
        <w:tblLook w:val="04A0"/>
      </w:tblPr>
      <w:tblGrid>
        <w:gridCol w:w="1468"/>
        <w:gridCol w:w="7920"/>
      </w:tblGrid>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6E7A24" w:rsidRDefault="006E7A24" w:rsidP="00BE0D48">
            <w:pPr>
              <w:spacing w:after="0" w:line="240" w:lineRule="auto"/>
              <w:rPr>
                <w:rFonts w:ascii="Arial" w:eastAsia="Times New Roman" w:hAnsi="Arial" w:cs="Arial"/>
                <w:color w:val="000000"/>
                <w:lang w:eastAsia="en-GB"/>
              </w:rPr>
            </w:pPr>
          </w:p>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Canada</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1" w:history="1">
              <w:r w:rsidR="00BE0D48" w:rsidRPr="00BE0D48">
                <w:rPr>
                  <w:rFonts w:ascii="Arial" w:eastAsia="Times New Roman" w:hAnsi="Arial" w:cs="Arial"/>
                  <w:color w:val="0000FF"/>
                  <w:u w:val="single"/>
                  <w:lang w:eastAsia="en-GB"/>
                </w:rPr>
                <w:t>http://www.pwc.com/ca/en/ipo/index.jhtml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Hong Kong/China</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2" w:history="1">
              <w:r w:rsidR="00BE0D48" w:rsidRPr="00BE0D48">
                <w:rPr>
                  <w:rFonts w:ascii="Arial" w:eastAsia="Times New Roman" w:hAnsi="Arial" w:cs="Arial"/>
                  <w:color w:val="0000FF"/>
                  <w:u w:val="single"/>
                  <w:lang w:eastAsia="en-GB"/>
                </w:rPr>
                <w:t>http://www.pwchk.com/home/eng/ipo.html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Germany</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3" w:history="1">
              <w:r w:rsidR="00BE0D48" w:rsidRPr="00BE0D48">
                <w:rPr>
                  <w:rFonts w:ascii="Arial" w:eastAsia="Times New Roman" w:hAnsi="Arial" w:cs="Arial"/>
                  <w:color w:val="0000FF"/>
                  <w:u w:val="single"/>
                  <w:lang w:eastAsia="en-GB"/>
                </w:rPr>
                <w:t>http://www.pwc.de/de/kapitalmarktorientierte-unternehmen/index.jhtml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Italy</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4" w:history="1">
              <w:r w:rsidR="00BE0D48" w:rsidRPr="00BE0D48">
                <w:rPr>
                  <w:rFonts w:ascii="Arial" w:eastAsia="Times New Roman" w:hAnsi="Arial" w:cs="Arial"/>
                  <w:color w:val="0000FF"/>
                  <w:u w:val="single"/>
                  <w:lang w:eastAsia="en-GB"/>
                </w:rPr>
                <w:t>http://www.pwc.com/it/en/services/transactions/capital-markets-eng.jhtml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Middle East</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5" w:history="1">
              <w:r w:rsidR="00BE0D48" w:rsidRPr="00BE0D48">
                <w:rPr>
                  <w:rFonts w:ascii="Arial" w:eastAsia="Times New Roman" w:hAnsi="Arial" w:cs="Arial"/>
                  <w:color w:val="0000FF"/>
                  <w:u w:val="single"/>
                  <w:lang w:eastAsia="en-GB"/>
                </w:rPr>
                <w:t>http://www.pwc.com/m1/en/services/assurance/capital-markets.jhtml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lastRenderedPageBreak/>
              <w:t>Netherlands</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6" w:history="1">
              <w:r w:rsidR="00BE0D48" w:rsidRPr="00BE0D48">
                <w:rPr>
                  <w:rFonts w:ascii="Arial" w:eastAsia="Times New Roman" w:hAnsi="Arial" w:cs="Arial"/>
                  <w:color w:val="0000FF"/>
                  <w:u w:val="single"/>
                  <w:lang w:eastAsia="en-GB"/>
                </w:rPr>
                <w:t>http://www.pwc.nl/nl/internationale-kapitaalmarkt-transacties/index.jhtml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Russia</w:t>
            </w:r>
          </w:p>
        </w:tc>
        <w:tc>
          <w:tcPr>
            <w:tcW w:w="7920"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http://www.pwc.ru/en/capital-markets/index.jhtml</w:t>
            </w:r>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Singapore</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7" w:history="1">
              <w:r w:rsidR="00BE0D48" w:rsidRPr="00BE0D48">
                <w:rPr>
                  <w:rFonts w:ascii="Arial" w:eastAsia="Times New Roman" w:hAnsi="Arial" w:cs="Arial"/>
                  <w:color w:val="0000FF"/>
                  <w:u w:val="single"/>
                  <w:lang w:eastAsia="en-GB"/>
                </w:rPr>
                <w:t>http://www.pwc.com/sg/en/advisory/capital-markets.jhtml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South Korea</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8" w:history="1">
              <w:r w:rsidR="00BE0D48" w:rsidRPr="00BE0D48">
                <w:rPr>
                  <w:rFonts w:ascii="Arial" w:eastAsia="Times New Roman" w:hAnsi="Arial" w:cs="Arial"/>
                  <w:color w:val="0000FF"/>
                  <w:u w:val="single"/>
                  <w:lang w:eastAsia="en-GB"/>
                </w:rPr>
                <w:t>http://www.pwc.com/kr/en/audit/ipo_capital_markets.jhtml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Spain</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19" w:history="1">
              <w:r w:rsidR="00BE0D48" w:rsidRPr="00BE0D48">
                <w:rPr>
                  <w:rFonts w:ascii="Arial" w:eastAsia="Times New Roman" w:hAnsi="Arial" w:cs="Arial"/>
                  <w:color w:val="0000FF"/>
                  <w:u w:val="single"/>
                  <w:lang w:eastAsia="en-GB"/>
                </w:rPr>
                <w:t>http://www.pwc.es/en/capital-markets/index.jhtml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Sweden</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0" w:history="1">
              <w:r w:rsidR="00BE0D48" w:rsidRPr="00BE0D48">
                <w:rPr>
                  <w:rFonts w:ascii="Arial" w:eastAsia="Times New Roman" w:hAnsi="Arial" w:cs="Arial"/>
                  <w:color w:val="0000FF"/>
                  <w:u w:val="single"/>
                  <w:lang w:eastAsia="en-GB"/>
                </w:rPr>
                <w:t>http://www.pwc.se/sv/marknadsnotering/index.jhtml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Switzerland</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1" w:history="1">
              <w:r w:rsidR="00BE0D48" w:rsidRPr="00BE0D48">
                <w:rPr>
                  <w:rFonts w:ascii="Arial" w:eastAsia="Times New Roman" w:hAnsi="Arial" w:cs="Arial"/>
                  <w:color w:val="0000FF"/>
                  <w:u w:val="single"/>
                  <w:lang w:eastAsia="en-GB"/>
                </w:rPr>
                <w:t>http://www.pwc.ch/en/services/assurance/capital_markets_transactions.html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UK</w:t>
            </w:r>
          </w:p>
        </w:tc>
        <w:tc>
          <w:tcPr>
            <w:tcW w:w="7920"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http://www.pwc.co.uk/audit-assurance/assurance-regulatory-reporting-assurance-on-capital-market-transactions.jhtml</w:t>
            </w:r>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US</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2" w:history="1">
              <w:r w:rsidR="00BE0D48" w:rsidRPr="00BE0D48">
                <w:rPr>
                  <w:rFonts w:ascii="Arial" w:eastAsia="Times New Roman" w:hAnsi="Arial" w:cs="Arial"/>
                  <w:color w:val="0000FF"/>
                  <w:u w:val="single"/>
                  <w:lang w:eastAsia="en-GB"/>
                </w:rPr>
                <w:t>http://www.pwc.com/us/en/audit-assurance-services/capital-markets.jhtml?display=/us/en/transaction-services/</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Ukraine</w:t>
            </w:r>
          </w:p>
        </w:tc>
        <w:tc>
          <w:tcPr>
            <w:tcW w:w="7920"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http://www.pwc.com/ua/en/services/capital-markets/index.jhtml</w:t>
            </w:r>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Poland</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3" w:history="1">
              <w:r w:rsidR="00BE0D48" w:rsidRPr="00BE0D48">
                <w:rPr>
                  <w:rFonts w:ascii="Arial" w:eastAsia="Times New Roman" w:hAnsi="Arial" w:cs="Arial"/>
                  <w:color w:val="0000FF"/>
                  <w:u w:val="single"/>
                  <w:lang w:eastAsia="en-GB"/>
                </w:rPr>
                <w:t>http://www.pwc.pl/en/rynki-kapitalowe/index.jhtml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Kazakhstan</w:t>
            </w:r>
          </w:p>
        </w:tc>
        <w:tc>
          <w:tcPr>
            <w:tcW w:w="7920"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http://www.pwc.kz/en/capital-markets/index.jhtml</w:t>
            </w:r>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Belgium</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4" w:history="1">
              <w:r w:rsidR="00BE0D48" w:rsidRPr="00BE0D48">
                <w:rPr>
                  <w:rFonts w:ascii="Arial" w:eastAsia="Times New Roman" w:hAnsi="Arial" w:cs="Arial"/>
                  <w:color w:val="0000FF"/>
                  <w:u w:val="single"/>
                  <w:lang w:eastAsia="en-GB"/>
                </w:rPr>
                <w:t>http://www.pwc.be/en/capital-markets/index.jhtml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Channel Islands</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5" w:anchor="IPOs" w:history="1">
              <w:r w:rsidR="00BE0D48" w:rsidRPr="00BE0D48">
                <w:rPr>
                  <w:rFonts w:ascii="Arial" w:eastAsia="Times New Roman" w:hAnsi="Arial" w:cs="Arial"/>
                  <w:color w:val="0000FF"/>
                  <w:u w:val="single"/>
                  <w:lang w:eastAsia="en-GB"/>
                </w:rPr>
                <w:t>http://www.pwc.com/jg/en/corporate-finance/index.jhtml#IPOs</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Luxembourg</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6" w:history="1">
              <w:r w:rsidR="00BE0D48" w:rsidRPr="00BE0D48">
                <w:rPr>
                  <w:rFonts w:ascii="Arial" w:eastAsia="Times New Roman" w:hAnsi="Arial" w:cs="Arial"/>
                  <w:color w:val="0000FF"/>
                  <w:u w:val="single"/>
                  <w:lang w:eastAsia="en-GB"/>
                </w:rPr>
                <w:t>http://www.pwc.lu/en/capital-markets/index.jhtml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Turkey</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7" w:history="1">
              <w:r w:rsidR="00BE0D48" w:rsidRPr="00BE0D48">
                <w:rPr>
                  <w:rFonts w:ascii="Arial" w:eastAsia="Times New Roman" w:hAnsi="Arial" w:cs="Arial"/>
                  <w:color w:val="0000FF"/>
                  <w:u w:val="single"/>
                  <w:lang w:eastAsia="en-GB"/>
                </w:rPr>
                <w:t>http://www.pwc.com.tr/en/sermaye-piyasalari/index.jhtml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Cyprus</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8" w:history="1">
              <w:r w:rsidR="00BE0D48" w:rsidRPr="00BE0D48">
                <w:rPr>
                  <w:rFonts w:ascii="Arial" w:eastAsia="Times New Roman" w:hAnsi="Arial" w:cs="Arial"/>
                  <w:color w:val="0000FF"/>
                  <w:u w:val="single"/>
                  <w:lang w:eastAsia="en-GB"/>
                </w:rPr>
                <w:t>http://www.pwc.com.cy/en/capital-markets/index.jhtml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Mongolia</w:t>
            </w:r>
          </w:p>
        </w:tc>
        <w:tc>
          <w:tcPr>
            <w:tcW w:w="7920"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http://www.pwc.com/mn/en/capital-markets/index.jhtml</w:t>
            </w:r>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Peru</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29" w:history="1">
              <w:r w:rsidR="00BE0D48" w:rsidRPr="00BE0D48">
                <w:rPr>
                  <w:rFonts w:ascii="Arial" w:eastAsia="Times New Roman" w:hAnsi="Arial" w:cs="Arial"/>
                  <w:color w:val="0000FF"/>
                  <w:u w:val="single"/>
                  <w:lang w:eastAsia="en-GB"/>
                </w:rPr>
                <w:t>http://www.pwc.com/pe/es/asistencia-en-listados-internacionales/index.jhtml</w:t>
              </w:r>
            </w:hyperlink>
          </w:p>
        </w:tc>
      </w:tr>
      <w:tr w:rsidR="00BE0D48" w:rsidRPr="00BE0D48" w:rsidTr="00BE0D48">
        <w:trPr>
          <w:trHeight w:val="258"/>
        </w:trPr>
        <w:tc>
          <w:tcPr>
            <w:tcW w:w="1468" w:type="dxa"/>
            <w:tcBorders>
              <w:top w:val="nil"/>
              <w:left w:val="nil"/>
              <w:bottom w:val="nil"/>
              <w:right w:val="nil"/>
            </w:tcBorders>
            <w:shd w:val="clear" w:color="auto" w:fill="auto"/>
            <w:noWrap/>
            <w:vAlign w:val="bottom"/>
            <w:hideMark/>
          </w:tcPr>
          <w:p w:rsidR="00BE0D48" w:rsidRPr="00BE0D48" w:rsidRDefault="00BE0D48" w:rsidP="00BE0D48">
            <w:pPr>
              <w:spacing w:after="0" w:line="240" w:lineRule="auto"/>
              <w:rPr>
                <w:rFonts w:ascii="Arial" w:eastAsia="Times New Roman" w:hAnsi="Arial" w:cs="Arial"/>
                <w:color w:val="000000"/>
                <w:lang w:eastAsia="en-GB"/>
              </w:rPr>
            </w:pPr>
            <w:r w:rsidRPr="00BE0D48">
              <w:rPr>
                <w:rFonts w:ascii="Arial" w:eastAsia="Times New Roman" w:hAnsi="Arial" w:cs="Arial"/>
                <w:color w:val="000000"/>
                <w:lang w:eastAsia="en-GB"/>
              </w:rPr>
              <w:t>South Africa</w:t>
            </w:r>
          </w:p>
        </w:tc>
        <w:tc>
          <w:tcPr>
            <w:tcW w:w="7920" w:type="dxa"/>
            <w:tcBorders>
              <w:top w:val="nil"/>
              <w:left w:val="nil"/>
              <w:bottom w:val="nil"/>
              <w:right w:val="nil"/>
            </w:tcBorders>
            <w:shd w:val="clear" w:color="auto" w:fill="auto"/>
            <w:noWrap/>
            <w:vAlign w:val="bottom"/>
            <w:hideMark/>
          </w:tcPr>
          <w:p w:rsidR="00BE0D48" w:rsidRPr="00BE0D48" w:rsidRDefault="00B41791" w:rsidP="00BE0D48">
            <w:pPr>
              <w:spacing w:after="0" w:line="240" w:lineRule="auto"/>
              <w:rPr>
                <w:rFonts w:ascii="Arial" w:eastAsia="Times New Roman" w:hAnsi="Arial" w:cs="Arial"/>
                <w:color w:val="0000FF"/>
                <w:u w:val="single"/>
                <w:lang w:eastAsia="en-GB"/>
              </w:rPr>
            </w:pPr>
            <w:hyperlink r:id="rId30" w:history="1">
              <w:r w:rsidR="00BE0D48" w:rsidRPr="00BE0D48">
                <w:rPr>
                  <w:rFonts w:ascii="Arial" w:eastAsia="Times New Roman" w:hAnsi="Arial" w:cs="Arial"/>
                  <w:color w:val="0000FF"/>
                  <w:u w:val="single"/>
                  <w:lang w:eastAsia="en-GB"/>
                </w:rPr>
                <w:t>http://www.pwc.co.za/en/jse-regulatory-services/index.jhtml</w:t>
              </w:r>
            </w:hyperlink>
          </w:p>
        </w:tc>
      </w:tr>
    </w:tbl>
    <w:p w:rsidR="00BE0D48" w:rsidRPr="00B54B1B" w:rsidRDefault="00BE0D48" w:rsidP="00B54B1B">
      <w:pPr>
        <w:pStyle w:val="BodyText"/>
        <w:spacing w:after="0"/>
        <w:ind w:left="720"/>
        <w:rPr>
          <w:b/>
          <w:sz w:val="22"/>
          <w:szCs w:val="22"/>
        </w:rPr>
      </w:pPr>
    </w:p>
    <w:sectPr w:rsidR="00BE0D48" w:rsidRPr="00B54B1B" w:rsidSect="00FC7049">
      <w:pgSz w:w="11906" w:h="16838" w:code="9"/>
      <w:pgMar w:top="1474" w:right="1021" w:bottom="1474" w:left="102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BC9" w:rsidRDefault="006D1BC9">
      <w:pPr>
        <w:spacing w:after="0" w:line="240" w:lineRule="auto"/>
      </w:pPr>
      <w:r>
        <w:separator/>
      </w:r>
    </w:p>
  </w:endnote>
  <w:endnote w:type="continuationSeparator" w:id="0">
    <w:p w:rsidR="006D1BC9" w:rsidRDefault="006D1B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BC9" w:rsidRDefault="006D1BC9">
      <w:pPr>
        <w:spacing w:after="0" w:line="240" w:lineRule="auto"/>
      </w:pPr>
      <w:r>
        <w:separator/>
      </w:r>
    </w:p>
  </w:footnote>
  <w:footnote w:type="continuationSeparator" w:id="0">
    <w:p w:rsidR="006D1BC9" w:rsidRDefault="006D1BC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60C045A"/>
    <w:lvl w:ilvl="0">
      <w:start w:val="1"/>
      <w:numFmt w:val="decimal"/>
      <w:lvlText w:val="%1."/>
      <w:lvlJc w:val="left"/>
      <w:pPr>
        <w:tabs>
          <w:tab w:val="num" w:pos="1492"/>
        </w:tabs>
        <w:ind w:left="1492" w:hanging="360"/>
      </w:pPr>
    </w:lvl>
  </w:abstractNum>
  <w:abstractNum w:abstractNumId="1">
    <w:nsid w:val="FFFFFF7D"/>
    <w:multiLevelType w:val="singleLevel"/>
    <w:tmpl w:val="BBA8CDD6"/>
    <w:lvl w:ilvl="0">
      <w:start w:val="1"/>
      <w:numFmt w:val="decimal"/>
      <w:lvlText w:val="%1."/>
      <w:lvlJc w:val="left"/>
      <w:pPr>
        <w:tabs>
          <w:tab w:val="num" w:pos="1209"/>
        </w:tabs>
        <w:ind w:left="1209" w:hanging="360"/>
      </w:pPr>
    </w:lvl>
  </w:abstractNum>
  <w:abstractNum w:abstractNumId="2">
    <w:nsid w:val="FFFFFF7E"/>
    <w:multiLevelType w:val="singleLevel"/>
    <w:tmpl w:val="08E81040"/>
    <w:lvl w:ilvl="0">
      <w:start w:val="1"/>
      <w:numFmt w:val="decimal"/>
      <w:lvlText w:val="%1."/>
      <w:lvlJc w:val="left"/>
      <w:pPr>
        <w:tabs>
          <w:tab w:val="num" w:pos="926"/>
        </w:tabs>
        <w:ind w:left="926" w:hanging="360"/>
      </w:pPr>
    </w:lvl>
  </w:abstractNum>
  <w:abstractNum w:abstractNumId="3">
    <w:nsid w:val="FFFFFF7F"/>
    <w:multiLevelType w:val="singleLevel"/>
    <w:tmpl w:val="15FCDCBE"/>
    <w:lvl w:ilvl="0">
      <w:start w:val="1"/>
      <w:numFmt w:val="decimal"/>
      <w:lvlText w:val="%1."/>
      <w:lvlJc w:val="left"/>
      <w:pPr>
        <w:tabs>
          <w:tab w:val="num" w:pos="643"/>
        </w:tabs>
        <w:ind w:left="643" w:hanging="360"/>
      </w:pPr>
    </w:lvl>
  </w:abstractNum>
  <w:abstractNum w:abstractNumId="4">
    <w:nsid w:val="FFFFFF80"/>
    <w:multiLevelType w:val="singleLevel"/>
    <w:tmpl w:val="93EE7E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C00FDC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D28B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C3CCD0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B46994C"/>
    <w:lvl w:ilvl="0">
      <w:start w:val="1"/>
      <w:numFmt w:val="decimal"/>
      <w:lvlText w:val="%1."/>
      <w:lvlJc w:val="left"/>
      <w:pPr>
        <w:tabs>
          <w:tab w:val="num" w:pos="360"/>
        </w:tabs>
        <w:ind w:left="360" w:hanging="360"/>
      </w:pPr>
    </w:lvl>
  </w:abstractNum>
  <w:abstractNum w:abstractNumId="9">
    <w:nsid w:val="FFFFFF89"/>
    <w:multiLevelType w:val="singleLevel"/>
    <w:tmpl w:val="524ED894"/>
    <w:lvl w:ilvl="0">
      <w:start w:val="1"/>
      <w:numFmt w:val="bullet"/>
      <w:lvlText w:val=""/>
      <w:lvlJc w:val="left"/>
      <w:pPr>
        <w:tabs>
          <w:tab w:val="num" w:pos="360"/>
        </w:tabs>
        <w:ind w:left="360" w:hanging="360"/>
      </w:pPr>
      <w:rPr>
        <w:rFonts w:ascii="Symbol" w:hAnsi="Symbol" w:hint="default"/>
      </w:rPr>
    </w:lvl>
  </w:abstractNum>
  <w:abstractNum w:abstractNumId="1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11">
    <w:nsid w:val="0A760E4A"/>
    <w:multiLevelType w:val="hybridMultilevel"/>
    <w:tmpl w:val="9BB87CB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166849C4"/>
    <w:multiLevelType w:val="multilevel"/>
    <w:tmpl w:val="CD4C98AE"/>
    <w:name w:val="PwCListBullets12"/>
    <w:numStyleLink w:val="PwCListBullets1"/>
  </w:abstractNum>
  <w:abstractNum w:abstractNumId="13">
    <w:nsid w:val="1E0849F5"/>
    <w:multiLevelType w:val="multilevel"/>
    <w:tmpl w:val="EE3860A0"/>
    <w:name w:val="PwCListNumbers12"/>
    <w:numStyleLink w:val="PwCListNumbers1"/>
  </w:abstractNum>
  <w:abstractNum w:abstractNumId="14">
    <w:nsid w:val="3A57486E"/>
    <w:multiLevelType w:val="multilevel"/>
    <w:tmpl w:val="EE3860A0"/>
    <w:name w:val="PwCListNumbers13"/>
    <w:numStyleLink w:val="PwCListNumbers1"/>
  </w:abstractNum>
  <w:abstractNum w:abstractNumId="15">
    <w:nsid w:val="3BB01824"/>
    <w:multiLevelType w:val="hybridMultilevel"/>
    <w:tmpl w:val="8D3A65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503467C"/>
    <w:multiLevelType w:val="hybridMultilevel"/>
    <w:tmpl w:val="8F145A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5B34174D"/>
    <w:multiLevelType w:val="hybridMultilevel"/>
    <w:tmpl w:val="3E8CD512"/>
    <w:lvl w:ilvl="0" w:tplc="FFD051D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3D41930"/>
    <w:multiLevelType w:val="hybridMultilevel"/>
    <w:tmpl w:val="FBBABAB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nsid w:val="684145A8"/>
    <w:multiLevelType w:val="hybridMultilevel"/>
    <w:tmpl w:val="E83250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Symbol" w:hAnsi="Symbol" w:hint="default"/>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Symbol" w:hAnsi="Symbol"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21">
    <w:nsid w:val="7BA4228B"/>
    <w:multiLevelType w:val="hybridMultilevel"/>
    <w:tmpl w:val="B56213C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nsid w:val="7C56398C"/>
    <w:multiLevelType w:val="hybridMultilevel"/>
    <w:tmpl w:val="A33E1B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D8359F9"/>
    <w:multiLevelType w:val="hybridMultilevel"/>
    <w:tmpl w:val="FB64D0B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0"/>
  </w:num>
  <w:num w:numId="13">
    <w:abstractNumId w:val="12"/>
  </w:num>
  <w:num w:numId="14">
    <w:abstractNumId w:val="13"/>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22"/>
  </w:num>
  <w:num w:numId="19">
    <w:abstractNumId w:val="17"/>
  </w:num>
  <w:num w:numId="20">
    <w:abstractNumId w:val="21"/>
  </w:num>
  <w:num w:numId="21">
    <w:abstractNumId w:val="16"/>
  </w:num>
  <w:num w:numId="22">
    <w:abstractNumId w:val="11"/>
  </w:num>
  <w:num w:numId="23">
    <w:abstractNumId w:val="23"/>
  </w:num>
  <w:num w:numId="24">
    <w:abstractNumId w:val="19"/>
  </w:num>
  <w:num w:numId="2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4"/>
  <w:stylePaneSortMethod w:val="0000"/>
  <w:defaultTabStop w:val="720"/>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B1B3C"/>
    <w:rsid w:val="0001607E"/>
    <w:rsid w:val="00025E5F"/>
    <w:rsid w:val="000307A1"/>
    <w:rsid w:val="00046124"/>
    <w:rsid w:val="000649DC"/>
    <w:rsid w:val="00065253"/>
    <w:rsid w:val="0007194F"/>
    <w:rsid w:val="00073407"/>
    <w:rsid w:val="00093FFC"/>
    <w:rsid w:val="000B7B03"/>
    <w:rsid w:val="000C15C6"/>
    <w:rsid w:val="000C514D"/>
    <w:rsid w:val="000D1AE0"/>
    <w:rsid w:val="000D2B04"/>
    <w:rsid w:val="000D447A"/>
    <w:rsid w:val="001000AC"/>
    <w:rsid w:val="001041F6"/>
    <w:rsid w:val="00110350"/>
    <w:rsid w:val="00113819"/>
    <w:rsid w:val="00115047"/>
    <w:rsid w:val="00120139"/>
    <w:rsid w:val="001375FA"/>
    <w:rsid w:val="00140E15"/>
    <w:rsid w:val="0015175E"/>
    <w:rsid w:val="0015575B"/>
    <w:rsid w:val="0017344C"/>
    <w:rsid w:val="00196A27"/>
    <w:rsid w:val="001B263A"/>
    <w:rsid w:val="001B7C32"/>
    <w:rsid w:val="001D471B"/>
    <w:rsid w:val="001F5E19"/>
    <w:rsid w:val="00224988"/>
    <w:rsid w:val="002278B4"/>
    <w:rsid w:val="00235CB5"/>
    <w:rsid w:val="002610C2"/>
    <w:rsid w:val="0027155D"/>
    <w:rsid w:val="00271750"/>
    <w:rsid w:val="00273611"/>
    <w:rsid w:val="002767F6"/>
    <w:rsid w:val="002875E4"/>
    <w:rsid w:val="00294374"/>
    <w:rsid w:val="00294FDD"/>
    <w:rsid w:val="00297296"/>
    <w:rsid w:val="002A4DDA"/>
    <w:rsid w:val="002C3E83"/>
    <w:rsid w:val="002D4F26"/>
    <w:rsid w:val="002D5E0E"/>
    <w:rsid w:val="002E0F9C"/>
    <w:rsid w:val="002E449C"/>
    <w:rsid w:val="002F12EC"/>
    <w:rsid w:val="00301AEA"/>
    <w:rsid w:val="00310201"/>
    <w:rsid w:val="00344BE1"/>
    <w:rsid w:val="0036431D"/>
    <w:rsid w:val="00372272"/>
    <w:rsid w:val="00381191"/>
    <w:rsid w:val="0039160A"/>
    <w:rsid w:val="003B15A5"/>
    <w:rsid w:val="003B2107"/>
    <w:rsid w:val="003E27D3"/>
    <w:rsid w:val="0040103E"/>
    <w:rsid w:val="00423C50"/>
    <w:rsid w:val="00423C71"/>
    <w:rsid w:val="004619B6"/>
    <w:rsid w:val="0046399C"/>
    <w:rsid w:val="00467208"/>
    <w:rsid w:val="004A0AC2"/>
    <w:rsid w:val="004A5EC2"/>
    <w:rsid w:val="004B2990"/>
    <w:rsid w:val="004B59CA"/>
    <w:rsid w:val="004C6E17"/>
    <w:rsid w:val="004D6F12"/>
    <w:rsid w:val="004E45DB"/>
    <w:rsid w:val="004F239E"/>
    <w:rsid w:val="005212FB"/>
    <w:rsid w:val="00535A70"/>
    <w:rsid w:val="0053617B"/>
    <w:rsid w:val="00543262"/>
    <w:rsid w:val="005A5FA1"/>
    <w:rsid w:val="005B3B93"/>
    <w:rsid w:val="005B7796"/>
    <w:rsid w:val="005C1598"/>
    <w:rsid w:val="005C2A57"/>
    <w:rsid w:val="005E6D49"/>
    <w:rsid w:val="0060365E"/>
    <w:rsid w:val="00606E90"/>
    <w:rsid w:val="00613EAA"/>
    <w:rsid w:val="00615AEA"/>
    <w:rsid w:val="006177F4"/>
    <w:rsid w:val="006212A5"/>
    <w:rsid w:val="006312DE"/>
    <w:rsid w:val="00632D0D"/>
    <w:rsid w:val="00664AC6"/>
    <w:rsid w:val="00671380"/>
    <w:rsid w:val="006865D8"/>
    <w:rsid w:val="006B4562"/>
    <w:rsid w:val="006C0D9E"/>
    <w:rsid w:val="006D1BC9"/>
    <w:rsid w:val="006D3810"/>
    <w:rsid w:val="006D4C60"/>
    <w:rsid w:val="006E14BD"/>
    <w:rsid w:val="006E6CF4"/>
    <w:rsid w:val="006E7A24"/>
    <w:rsid w:val="006F2246"/>
    <w:rsid w:val="006F2EDD"/>
    <w:rsid w:val="006F407F"/>
    <w:rsid w:val="006F5915"/>
    <w:rsid w:val="006F6245"/>
    <w:rsid w:val="00714D8F"/>
    <w:rsid w:val="00717B6A"/>
    <w:rsid w:val="007365A8"/>
    <w:rsid w:val="0075750D"/>
    <w:rsid w:val="007607C1"/>
    <w:rsid w:val="0076252C"/>
    <w:rsid w:val="00772220"/>
    <w:rsid w:val="00776913"/>
    <w:rsid w:val="007958C1"/>
    <w:rsid w:val="007A0444"/>
    <w:rsid w:val="007A44AC"/>
    <w:rsid w:val="007A7E7D"/>
    <w:rsid w:val="007B1B3C"/>
    <w:rsid w:val="007B5E3C"/>
    <w:rsid w:val="007B7B27"/>
    <w:rsid w:val="007C386B"/>
    <w:rsid w:val="007C6753"/>
    <w:rsid w:val="007D69C5"/>
    <w:rsid w:val="007E022A"/>
    <w:rsid w:val="007E7E3F"/>
    <w:rsid w:val="007F7398"/>
    <w:rsid w:val="008020CA"/>
    <w:rsid w:val="00821269"/>
    <w:rsid w:val="00821C2A"/>
    <w:rsid w:val="00847C4A"/>
    <w:rsid w:val="00854C87"/>
    <w:rsid w:val="00873D05"/>
    <w:rsid w:val="00873DB3"/>
    <w:rsid w:val="00880F8D"/>
    <w:rsid w:val="00897B24"/>
    <w:rsid w:val="008C0008"/>
    <w:rsid w:val="008D2303"/>
    <w:rsid w:val="008E220D"/>
    <w:rsid w:val="008E4C8A"/>
    <w:rsid w:val="00907983"/>
    <w:rsid w:val="009358AC"/>
    <w:rsid w:val="00940A20"/>
    <w:rsid w:val="00942B5A"/>
    <w:rsid w:val="009456ED"/>
    <w:rsid w:val="009472A7"/>
    <w:rsid w:val="00947440"/>
    <w:rsid w:val="00956556"/>
    <w:rsid w:val="009639F5"/>
    <w:rsid w:val="009760C9"/>
    <w:rsid w:val="009B225D"/>
    <w:rsid w:val="009E1087"/>
    <w:rsid w:val="009F51D0"/>
    <w:rsid w:val="00A05A3A"/>
    <w:rsid w:val="00A15E36"/>
    <w:rsid w:val="00A17816"/>
    <w:rsid w:val="00A234C6"/>
    <w:rsid w:val="00A32C07"/>
    <w:rsid w:val="00A36B22"/>
    <w:rsid w:val="00A40ECF"/>
    <w:rsid w:val="00A52210"/>
    <w:rsid w:val="00A61ED0"/>
    <w:rsid w:val="00A728DB"/>
    <w:rsid w:val="00A7426D"/>
    <w:rsid w:val="00A903B1"/>
    <w:rsid w:val="00AA483E"/>
    <w:rsid w:val="00AB3BBE"/>
    <w:rsid w:val="00AB3E5E"/>
    <w:rsid w:val="00AC6FA2"/>
    <w:rsid w:val="00AF1EB6"/>
    <w:rsid w:val="00B0255B"/>
    <w:rsid w:val="00B02796"/>
    <w:rsid w:val="00B2087C"/>
    <w:rsid w:val="00B31AAC"/>
    <w:rsid w:val="00B34512"/>
    <w:rsid w:val="00B40501"/>
    <w:rsid w:val="00B41791"/>
    <w:rsid w:val="00B461DF"/>
    <w:rsid w:val="00B4685D"/>
    <w:rsid w:val="00B54B1B"/>
    <w:rsid w:val="00B92A37"/>
    <w:rsid w:val="00BA2A79"/>
    <w:rsid w:val="00BA3A97"/>
    <w:rsid w:val="00BA564A"/>
    <w:rsid w:val="00BA6C7F"/>
    <w:rsid w:val="00BB0A89"/>
    <w:rsid w:val="00BB1D09"/>
    <w:rsid w:val="00BB6ACD"/>
    <w:rsid w:val="00BC11DB"/>
    <w:rsid w:val="00BC33ED"/>
    <w:rsid w:val="00BD62EA"/>
    <w:rsid w:val="00BE0D48"/>
    <w:rsid w:val="00BE1E43"/>
    <w:rsid w:val="00BE411D"/>
    <w:rsid w:val="00C1798C"/>
    <w:rsid w:val="00C23719"/>
    <w:rsid w:val="00C27FB9"/>
    <w:rsid w:val="00C413A9"/>
    <w:rsid w:val="00C46003"/>
    <w:rsid w:val="00C83E2C"/>
    <w:rsid w:val="00CB2D27"/>
    <w:rsid w:val="00CB40AE"/>
    <w:rsid w:val="00CB6749"/>
    <w:rsid w:val="00CB6CBF"/>
    <w:rsid w:val="00CC4C4A"/>
    <w:rsid w:val="00CD698F"/>
    <w:rsid w:val="00CD700E"/>
    <w:rsid w:val="00CE2975"/>
    <w:rsid w:val="00CE3299"/>
    <w:rsid w:val="00D01811"/>
    <w:rsid w:val="00D03B0E"/>
    <w:rsid w:val="00D135E4"/>
    <w:rsid w:val="00D2144F"/>
    <w:rsid w:val="00D52F79"/>
    <w:rsid w:val="00D64111"/>
    <w:rsid w:val="00D86E1B"/>
    <w:rsid w:val="00D905D8"/>
    <w:rsid w:val="00D96D4A"/>
    <w:rsid w:val="00DA055F"/>
    <w:rsid w:val="00DB3985"/>
    <w:rsid w:val="00DC46BE"/>
    <w:rsid w:val="00DE09DB"/>
    <w:rsid w:val="00DF0686"/>
    <w:rsid w:val="00E010E4"/>
    <w:rsid w:val="00E2250A"/>
    <w:rsid w:val="00E272BD"/>
    <w:rsid w:val="00E30B07"/>
    <w:rsid w:val="00E42496"/>
    <w:rsid w:val="00E62AAD"/>
    <w:rsid w:val="00E7649D"/>
    <w:rsid w:val="00E9106F"/>
    <w:rsid w:val="00EA1A12"/>
    <w:rsid w:val="00EA2BC9"/>
    <w:rsid w:val="00EC0287"/>
    <w:rsid w:val="00EC13F7"/>
    <w:rsid w:val="00EC22CD"/>
    <w:rsid w:val="00ED2D44"/>
    <w:rsid w:val="00ED6434"/>
    <w:rsid w:val="00F05926"/>
    <w:rsid w:val="00F152E6"/>
    <w:rsid w:val="00F15724"/>
    <w:rsid w:val="00F24B6F"/>
    <w:rsid w:val="00F5102C"/>
    <w:rsid w:val="00F6364B"/>
    <w:rsid w:val="00F71211"/>
    <w:rsid w:val="00F71C89"/>
    <w:rsid w:val="00F7218B"/>
    <w:rsid w:val="00F75744"/>
    <w:rsid w:val="00F76068"/>
    <w:rsid w:val="00F8168E"/>
    <w:rsid w:val="00FA3736"/>
    <w:rsid w:val="00FB30D9"/>
    <w:rsid w:val="00FB3188"/>
    <w:rsid w:val="00FC21EC"/>
    <w:rsid w:val="00FC7049"/>
    <w:rsid w:val="00FD42FD"/>
    <w:rsid w:val="00FD6760"/>
    <w:rsid w:val="00FD7FC7"/>
    <w:rsid w:val="00FE64DA"/>
    <w:rsid w:val="00FF7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eorgia" w:eastAsiaTheme="minorHAnsi" w:hAnsi="Georgia" w:cstheme="minorBidi"/>
        <w:lang w:val="en-GB" w:eastAsia="en-US" w:bidi="ar-SA"/>
      </w:rPr>
    </w:rPrDefault>
    <w:pPrDefault>
      <w:pPr>
        <w:spacing w:after="24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Bullet 2" w:qFormat="1"/>
    <w:lsdException w:name="List Bullet 3" w:qFormat="1"/>
    <w:lsdException w:name="List Number 2" w:qFormat="1"/>
    <w:lsdException w:name="List Number 3" w:qFormat="1"/>
    <w:lsdException w:name="Title" w:semiHidden="0" w:uiPriority="10" w:unhideWhenUsed="0" w:qFormat="1"/>
    <w:lsdException w:name="Default Paragraph Font" w:uiPriority="1"/>
    <w:lsdException w:name="Body Text" w:uiPriority="0" w:qFormat="1"/>
    <w:lsdException w:name="List Continue" w:qFormat="1"/>
    <w:lsdException w:name="List Continue 2" w:qFormat="1"/>
    <w:lsdException w:name="List Continue 3"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uiPriority w:val="99"/>
    <w:qFormat/>
    <w:rsid w:val="00FC7049"/>
  </w:style>
  <w:style w:type="paragraph" w:styleId="Heading1">
    <w:name w:val="heading 1"/>
    <w:basedOn w:val="Normal"/>
    <w:next w:val="BodyText"/>
    <w:link w:val="Heading1Char"/>
    <w:uiPriority w:val="9"/>
    <w:qFormat/>
    <w:rsid w:val="00FC7049"/>
    <w:pPr>
      <w:keepNext/>
      <w:keepLines/>
      <w:spacing w:after="40" w:line="240" w:lineRule="auto"/>
      <w:outlineLvl w:val="0"/>
    </w:pPr>
    <w:rPr>
      <w:rFonts w:asciiTheme="majorHAnsi" w:eastAsiaTheme="majorEastAsia" w:hAnsiTheme="majorHAnsi" w:cstheme="majorBidi"/>
      <w:b/>
      <w:bCs/>
      <w:i/>
      <w:sz w:val="32"/>
      <w:szCs w:val="28"/>
    </w:rPr>
  </w:style>
  <w:style w:type="paragraph" w:styleId="Heading2">
    <w:name w:val="heading 2"/>
    <w:basedOn w:val="Normal"/>
    <w:next w:val="BodyText"/>
    <w:link w:val="Heading2Char"/>
    <w:uiPriority w:val="9"/>
    <w:unhideWhenUsed/>
    <w:qFormat/>
    <w:rsid w:val="00FC7049"/>
    <w:pPr>
      <w:keepNext/>
      <w:keepLines/>
      <w:spacing w:after="40" w:line="240" w:lineRule="auto"/>
      <w:outlineLvl w:val="1"/>
    </w:pPr>
    <w:rPr>
      <w:rFonts w:asciiTheme="majorHAnsi" w:eastAsiaTheme="majorEastAsia" w:hAnsiTheme="majorHAnsi" w:cstheme="majorBidi"/>
      <w:b/>
      <w:bCs/>
      <w:i/>
      <w:sz w:val="24"/>
      <w:szCs w:val="26"/>
    </w:rPr>
  </w:style>
  <w:style w:type="paragraph" w:styleId="Heading3">
    <w:name w:val="heading 3"/>
    <w:basedOn w:val="Normal"/>
    <w:next w:val="BodyText"/>
    <w:link w:val="Heading3Char"/>
    <w:uiPriority w:val="9"/>
    <w:unhideWhenUsed/>
    <w:qFormat/>
    <w:rsid w:val="00FC7049"/>
    <w:pPr>
      <w:keepNext/>
      <w:keepLines/>
      <w:spacing w:after="40" w:line="240" w:lineRule="auto"/>
      <w:outlineLvl w:val="2"/>
    </w:pPr>
    <w:rPr>
      <w:rFonts w:asciiTheme="majorHAnsi" w:eastAsiaTheme="majorEastAsia" w:hAnsiTheme="majorHAnsi" w:cstheme="majorBidi"/>
      <w:bCs/>
      <w:i/>
      <w:sz w:val="24"/>
    </w:rPr>
  </w:style>
  <w:style w:type="paragraph" w:styleId="Heading4">
    <w:name w:val="heading 4"/>
    <w:basedOn w:val="Normal"/>
    <w:next w:val="BodyText"/>
    <w:link w:val="Heading4Char"/>
    <w:uiPriority w:val="9"/>
    <w:unhideWhenUsed/>
    <w:qFormat/>
    <w:rsid w:val="00FC7049"/>
    <w:pPr>
      <w:keepNext/>
      <w:keepLines/>
      <w:spacing w:after="40" w:line="240" w:lineRule="auto"/>
      <w:outlineLvl w:val="3"/>
    </w:pPr>
    <w:rPr>
      <w:rFonts w:asciiTheme="majorHAnsi" w:eastAsiaTheme="majorEastAsia" w:hAnsiTheme="majorHAnsi" w:cstheme="majorBidi"/>
      <w:bCs/>
      <w:i/>
      <w:iCs/>
    </w:rPr>
  </w:style>
  <w:style w:type="paragraph" w:styleId="Heading5">
    <w:name w:val="heading 5"/>
    <w:basedOn w:val="Normal"/>
    <w:next w:val="BodyText"/>
    <w:link w:val="Heading5Char"/>
    <w:uiPriority w:val="9"/>
    <w:unhideWhenUsed/>
    <w:qFormat/>
    <w:rsid w:val="00FC7049"/>
    <w:pPr>
      <w:keepNext/>
      <w:keepLines/>
      <w:spacing w:after="40" w:line="240" w:lineRule="auto"/>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FC7049"/>
    <w:pPr>
      <w:keepNext/>
      <w:keepLines/>
      <w:spacing w:after="40" w:line="240" w:lineRule="auto"/>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unhideWhenUsed/>
    <w:qFormat/>
    <w:rsid w:val="00FC7049"/>
    <w:pPr>
      <w:keepNext/>
      <w:keepLines/>
      <w:spacing w:after="40" w:line="240" w:lineRule="auto"/>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unhideWhenUsed/>
    <w:qFormat/>
    <w:rsid w:val="00FC7049"/>
    <w:pPr>
      <w:keepNext/>
      <w:keepLines/>
      <w:spacing w:after="40" w:line="240" w:lineRule="auto"/>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FC7049"/>
    <w:pPr>
      <w:keepNext/>
      <w:keepLines/>
      <w:spacing w:after="40" w:line="240" w:lineRule="auto"/>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C7049"/>
  </w:style>
  <w:style w:type="character" w:customStyle="1" w:styleId="BodyTextChar">
    <w:name w:val="Body Text Char"/>
    <w:basedOn w:val="DefaultParagraphFont"/>
    <w:link w:val="BodyText"/>
    <w:rsid w:val="00FC7049"/>
  </w:style>
  <w:style w:type="paragraph" w:customStyle="1" w:styleId="BodySingle">
    <w:name w:val="Body Single"/>
    <w:basedOn w:val="BodyText"/>
    <w:link w:val="BodySingleChar"/>
    <w:uiPriority w:val="1"/>
    <w:qFormat/>
    <w:rsid w:val="00FC7049"/>
    <w:pPr>
      <w:spacing w:after="0"/>
    </w:pPr>
  </w:style>
  <w:style w:type="paragraph" w:styleId="Header">
    <w:name w:val="header"/>
    <w:basedOn w:val="Normal"/>
    <w:link w:val="HeaderChar"/>
    <w:uiPriority w:val="99"/>
    <w:unhideWhenUsed/>
    <w:rsid w:val="00FC7049"/>
    <w:pPr>
      <w:tabs>
        <w:tab w:val="center" w:pos="4536"/>
        <w:tab w:val="right" w:pos="9866"/>
      </w:tabs>
      <w:spacing w:after="0" w:line="240" w:lineRule="auto"/>
    </w:pPr>
    <w:rPr>
      <w:rFonts w:asciiTheme="minorHAnsi" w:hAnsiTheme="minorHAnsi"/>
      <w:sz w:val="18"/>
    </w:rPr>
  </w:style>
  <w:style w:type="character" w:customStyle="1" w:styleId="BodySingleChar">
    <w:name w:val="Body Single Char"/>
    <w:basedOn w:val="BodyTextChar"/>
    <w:link w:val="BodySingle"/>
    <w:uiPriority w:val="1"/>
    <w:rsid w:val="00FC7049"/>
  </w:style>
  <w:style w:type="character" w:customStyle="1" w:styleId="HeaderChar">
    <w:name w:val="Header Char"/>
    <w:basedOn w:val="DefaultParagraphFont"/>
    <w:link w:val="Header"/>
    <w:uiPriority w:val="99"/>
    <w:rsid w:val="00FC7049"/>
    <w:rPr>
      <w:rFonts w:asciiTheme="minorHAnsi" w:hAnsiTheme="minorHAnsi"/>
      <w:sz w:val="18"/>
    </w:rPr>
  </w:style>
  <w:style w:type="paragraph" w:styleId="Footer">
    <w:name w:val="footer"/>
    <w:basedOn w:val="Normal"/>
    <w:link w:val="FooterChar"/>
    <w:uiPriority w:val="99"/>
    <w:semiHidden/>
    <w:unhideWhenUsed/>
    <w:rsid w:val="00FC7049"/>
    <w:pPr>
      <w:tabs>
        <w:tab w:val="center" w:pos="4536"/>
        <w:tab w:val="right" w:pos="9866"/>
      </w:tabs>
      <w:spacing w:after="0" w:line="240" w:lineRule="auto"/>
    </w:pPr>
    <w:rPr>
      <w:rFonts w:asciiTheme="minorHAnsi" w:hAnsiTheme="minorHAnsi"/>
      <w:sz w:val="18"/>
    </w:rPr>
  </w:style>
  <w:style w:type="character" w:customStyle="1" w:styleId="FooterChar">
    <w:name w:val="Footer Char"/>
    <w:basedOn w:val="DefaultParagraphFont"/>
    <w:link w:val="Footer"/>
    <w:uiPriority w:val="99"/>
    <w:semiHidden/>
    <w:rsid w:val="00FC7049"/>
    <w:rPr>
      <w:rFonts w:asciiTheme="minorHAnsi" w:hAnsiTheme="minorHAnsi"/>
      <w:sz w:val="18"/>
    </w:rPr>
  </w:style>
  <w:style w:type="character" w:customStyle="1" w:styleId="Heading1Char">
    <w:name w:val="Heading 1 Char"/>
    <w:basedOn w:val="DefaultParagraphFont"/>
    <w:link w:val="Heading1"/>
    <w:uiPriority w:val="9"/>
    <w:rsid w:val="00FC7049"/>
    <w:rPr>
      <w:rFonts w:asciiTheme="majorHAnsi" w:eastAsiaTheme="majorEastAsia" w:hAnsiTheme="majorHAnsi" w:cstheme="majorBidi"/>
      <w:b/>
      <w:bCs/>
      <w:i/>
      <w:sz w:val="32"/>
      <w:szCs w:val="28"/>
    </w:rPr>
  </w:style>
  <w:style w:type="character" w:customStyle="1" w:styleId="Heading2Char">
    <w:name w:val="Heading 2 Char"/>
    <w:basedOn w:val="DefaultParagraphFont"/>
    <w:link w:val="Heading2"/>
    <w:uiPriority w:val="9"/>
    <w:rsid w:val="00FC7049"/>
    <w:rPr>
      <w:rFonts w:asciiTheme="majorHAnsi" w:eastAsiaTheme="majorEastAsia" w:hAnsiTheme="majorHAnsi" w:cstheme="majorBidi"/>
      <w:b/>
      <w:bCs/>
      <w:i/>
      <w:sz w:val="24"/>
      <w:szCs w:val="26"/>
    </w:rPr>
  </w:style>
  <w:style w:type="character" w:customStyle="1" w:styleId="Heading3Char">
    <w:name w:val="Heading 3 Char"/>
    <w:basedOn w:val="DefaultParagraphFont"/>
    <w:link w:val="Heading3"/>
    <w:uiPriority w:val="9"/>
    <w:rsid w:val="00FC7049"/>
    <w:rPr>
      <w:rFonts w:asciiTheme="majorHAnsi" w:eastAsiaTheme="majorEastAsia" w:hAnsiTheme="majorHAnsi" w:cstheme="majorBidi"/>
      <w:bCs/>
      <w:i/>
      <w:sz w:val="24"/>
    </w:rPr>
  </w:style>
  <w:style w:type="character" w:customStyle="1" w:styleId="Heading4Char">
    <w:name w:val="Heading 4 Char"/>
    <w:basedOn w:val="DefaultParagraphFont"/>
    <w:link w:val="Heading4"/>
    <w:uiPriority w:val="9"/>
    <w:rsid w:val="00FC7049"/>
    <w:rPr>
      <w:rFonts w:asciiTheme="majorHAnsi" w:eastAsiaTheme="majorEastAsia" w:hAnsiTheme="majorHAnsi" w:cstheme="majorBidi"/>
      <w:bCs/>
      <w:i/>
      <w:iCs/>
    </w:rPr>
  </w:style>
  <w:style w:type="character" w:customStyle="1" w:styleId="Heading5Char">
    <w:name w:val="Heading 5 Char"/>
    <w:basedOn w:val="DefaultParagraphFont"/>
    <w:link w:val="Heading5"/>
    <w:uiPriority w:val="9"/>
    <w:rsid w:val="00FC7049"/>
    <w:rPr>
      <w:rFonts w:asciiTheme="majorHAnsi" w:eastAsiaTheme="majorEastAsia" w:hAnsiTheme="majorHAnsi" w:cstheme="majorBidi"/>
    </w:rPr>
  </w:style>
  <w:style w:type="paragraph" w:styleId="Title">
    <w:name w:val="Title"/>
    <w:basedOn w:val="Normal"/>
    <w:next w:val="Subtitle"/>
    <w:link w:val="TitleChar"/>
    <w:uiPriority w:val="10"/>
    <w:qFormat/>
    <w:rsid w:val="00FC7049"/>
    <w:pPr>
      <w:spacing w:after="0" w:line="240" w:lineRule="auto"/>
    </w:pPr>
    <w:rPr>
      <w:rFonts w:asciiTheme="majorHAnsi" w:eastAsiaTheme="majorEastAsia" w:hAnsiTheme="majorHAnsi" w:cstheme="majorBidi"/>
      <w:b/>
      <w:i/>
      <w:spacing w:val="5"/>
      <w:kern w:val="28"/>
      <w:sz w:val="56"/>
      <w:szCs w:val="52"/>
    </w:rPr>
  </w:style>
  <w:style w:type="character" w:customStyle="1" w:styleId="TitleChar">
    <w:name w:val="Title Char"/>
    <w:basedOn w:val="DefaultParagraphFont"/>
    <w:link w:val="Title"/>
    <w:uiPriority w:val="10"/>
    <w:rsid w:val="00FC7049"/>
    <w:rPr>
      <w:rFonts w:asciiTheme="majorHAnsi" w:eastAsiaTheme="majorEastAsia" w:hAnsiTheme="majorHAnsi" w:cstheme="majorBidi"/>
      <w:b/>
      <w:i/>
      <w:spacing w:val="5"/>
      <w:kern w:val="28"/>
      <w:sz w:val="56"/>
      <w:szCs w:val="52"/>
    </w:rPr>
  </w:style>
  <w:style w:type="paragraph" w:styleId="TOCHeading">
    <w:name w:val="TOC Heading"/>
    <w:basedOn w:val="Heading1"/>
    <w:next w:val="BodyText"/>
    <w:uiPriority w:val="39"/>
    <w:unhideWhenUsed/>
    <w:qFormat/>
    <w:rsid w:val="00FC7049"/>
    <w:pPr>
      <w:spacing w:before="480"/>
      <w:outlineLvl w:val="9"/>
    </w:pPr>
    <w:rPr>
      <w:lang w:val="en-US"/>
    </w:rPr>
  </w:style>
  <w:style w:type="paragraph" w:styleId="Subtitle">
    <w:name w:val="Subtitle"/>
    <w:basedOn w:val="Normal"/>
    <w:next w:val="BodyText"/>
    <w:link w:val="SubtitleChar"/>
    <w:uiPriority w:val="11"/>
    <w:qFormat/>
    <w:rsid w:val="00FC7049"/>
    <w:pPr>
      <w:numPr>
        <w:ilvl w:val="1"/>
      </w:numPr>
      <w:spacing w:after="1200" w:line="240" w:lineRule="auto"/>
    </w:pPr>
    <w:rPr>
      <w:rFonts w:asciiTheme="majorHAnsi" w:eastAsiaTheme="majorEastAsia" w:hAnsiTheme="majorHAnsi" w:cstheme="majorBidi"/>
      <w:iCs/>
      <w:spacing w:val="15"/>
      <w:sz w:val="40"/>
      <w:szCs w:val="24"/>
    </w:rPr>
  </w:style>
  <w:style w:type="character" w:customStyle="1" w:styleId="SubtitleChar">
    <w:name w:val="Subtitle Char"/>
    <w:basedOn w:val="DefaultParagraphFont"/>
    <w:link w:val="Subtitle"/>
    <w:uiPriority w:val="11"/>
    <w:rsid w:val="00FC7049"/>
    <w:rPr>
      <w:rFonts w:asciiTheme="majorHAnsi" w:eastAsiaTheme="majorEastAsia" w:hAnsiTheme="majorHAnsi" w:cstheme="majorBidi"/>
      <w:iCs/>
      <w:spacing w:val="15"/>
      <w:sz w:val="40"/>
      <w:szCs w:val="24"/>
    </w:rPr>
  </w:style>
  <w:style w:type="paragraph" w:styleId="TOC1">
    <w:name w:val="toc 1"/>
    <w:basedOn w:val="Normal"/>
    <w:next w:val="Normal"/>
    <w:autoRedefine/>
    <w:uiPriority w:val="39"/>
    <w:unhideWhenUsed/>
    <w:rsid w:val="00FC7049"/>
    <w:pPr>
      <w:spacing w:after="100"/>
    </w:pPr>
  </w:style>
  <w:style w:type="paragraph" w:styleId="TOC2">
    <w:name w:val="toc 2"/>
    <w:basedOn w:val="Normal"/>
    <w:next w:val="Normal"/>
    <w:autoRedefine/>
    <w:uiPriority w:val="39"/>
    <w:unhideWhenUsed/>
    <w:rsid w:val="00FC7049"/>
    <w:pPr>
      <w:spacing w:after="100"/>
      <w:ind w:left="200"/>
    </w:pPr>
  </w:style>
  <w:style w:type="paragraph" w:styleId="TOC3">
    <w:name w:val="toc 3"/>
    <w:basedOn w:val="Normal"/>
    <w:next w:val="Normal"/>
    <w:autoRedefine/>
    <w:uiPriority w:val="39"/>
    <w:unhideWhenUsed/>
    <w:rsid w:val="00FC7049"/>
    <w:pPr>
      <w:spacing w:after="100"/>
      <w:ind w:left="400"/>
    </w:pPr>
  </w:style>
  <w:style w:type="character" w:styleId="Hyperlink">
    <w:name w:val="Hyperlink"/>
    <w:basedOn w:val="DefaultParagraphFont"/>
    <w:uiPriority w:val="99"/>
    <w:unhideWhenUsed/>
    <w:rsid w:val="00FC7049"/>
    <w:rPr>
      <w:color w:val="0000FF" w:themeColor="hyperlink"/>
      <w:u w:val="single"/>
    </w:rPr>
  </w:style>
  <w:style w:type="paragraph" w:styleId="BalloonText">
    <w:name w:val="Balloon Text"/>
    <w:basedOn w:val="Normal"/>
    <w:link w:val="BalloonTextChar"/>
    <w:uiPriority w:val="99"/>
    <w:semiHidden/>
    <w:unhideWhenUsed/>
    <w:rsid w:val="00FC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049"/>
    <w:rPr>
      <w:rFonts w:ascii="Tahoma" w:hAnsi="Tahoma" w:cs="Tahoma"/>
      <w:sz w:val="16"/>
      <w:szCs w:val="16"/>
    </w:rPr>
  </w:style>
  <w:style w:type="paragraph" w:styleId="ListBullet">
    <w:name w:val="List Bullet"/>
    <w:basedOn w:val="Normal"/>
    <w:uiPriority w:val="13"/>
    <w:unhideWhenUsed/>
    <w:qFormat/>
    <w:rsid w:val="00FC7049"/>
    <w:pPr>
      <w:numPr>
        <w:numId w:val="11"/>
      </w:numPr>
      <w:contextualSpacing/>
    </w:pPr>
  </w:style>
  <w:style w:type="numbering" w:customStyle="1" w:styleId="PwCListBullets1">
    <w:name w:val="PwC List Bullets 1"/>
    <w:uiPriority w:val="99"/>
    <w:rsid w:val="00FC7049"/>
    <w:pPr>
      <w:numPr>
        <w:numId w:val="11"/>
      </w:numPr>
    </w:pPr>
  </w:style>
  <w:style w:type="numbering" w:customStyle="1" w:styleId="PwCListNumbers1">
    <w:name w:val="PwC List Numbers 1"/>
    <w:uiPriority w:val="99"/>
    <w:rsid w:val="00FC7049"/>
    <w:pPr>
      <w:numPr>
        <w:numId w:val="12"/>
      </w:numPr>
    </w:pPr>
  </w:style>
  <w:style w:type="paragraph" w:styleId="ListNumber">
    <w:name w:val="List Number"/>
    <w:basedOn w:val="Normal"/>
    <w:uiPriority w:val="13"/>
    <w:unhideWhenUsed/>
    <w:qFormat/>
    <w:rsid w:val="00FC7049"/>
    <w:pPr>
      <w:numPr>
        <w:numId w:val="16"/>
      </w:numPr>
      <w:contextualSpacing/>
    </w:pPr>
  </w:style>
  <w:style w:type="paragraph" w:styleId="ListBullet2">
    <w:name w:val="List Bullet 2"/>
    <w:basedOn w:val="Normal"/>
    <w:uiPriority w:val="13"/>
    <w:unhideWhenUsed/>
    <w:qFormat/>
    <w:rsid w:val="00FC7049"/>
    <w:pPr>
      <w:numPr>
        <w:ilvl w:val="1"/>
        <w:numId w:val="11"/>
      </w:numPr>
      <w:contextualSpacing/>
    </w:pPr>
  </w:style>
  <w:style w:type="paragraph" w:styleId="ListBullet3">
    <w:name w:val="List Bullet 3"/>
    <w:basedOn w:val="Normal"/>
    <w:uiPriority w:val="13"/>
    <w:unhideWhenUsed/>
    <w:qFormat/>
    <w:rsid w:val="00FC7049"/>
    <w:pPr>
      <w:numPr>
        <w:ilvl w:val="2"/>
        <w:numId w:val="11"/>
      </w:numPr>
      <w:contextualSpacing/>
    </w:pPr>
  </w:style>
  <w:style w:type="paragraph" w:styleId="ListBullet4">
    <w:name w:val="List Bullet 4"/>
    <w:basedOn w:val="Normal"/>
    <w:uiPriority w:val="13"/>
    <w:semiHidden/>
    <w:unhideWhenUsed/>
    <w:rsid w:val="00FC7049"/>
    <w:pPr>
      <w:numPr>
        <w:ilvl w:val="3"/>
        <w:numId w:val="11"/>
      </w:numPr>
      <w:contextualSpacing/>
    </w:pPr>
  </w:style>
  <w:style w:type="paragraph" w:styleId="ListBullet5">
    <w:name w:val="List Bullet 5"/>
    <w:basedOn w:val="Normal"/>
    <w:uiPriority w:val="13"/>
    <w:semiHidden/>
    <w:unhideWhenUsed/>
    <w:rsid w:val="00FC7049"/>
    <w:pPr>
      <w:numPr>
        <w:ilvl w:val="4"/>
        <w:numId w:val="11"/>
      </w:numPr>
      <w:contextualSpacing/>
    </w:pPr>
  </w:style>
  <w:style w:type="paragraph" w:styleId="ListNumber2">
    <w:name w:val="List Number 2"/>
    <w:basedOn w:val="Normal"/>
    <w:uiPriority w:val="13"/>
    <w:unhideWhenUsed/>
    <w:qFormat/>
    <w:rsid w:val="00FC7049"/>
    <w:pPr>
      <w:numPr>
        <w:ilvl w:val="1"/>
        <w:numId w:val="16"/>
      </w:numPr>
      <w:contextualSpacing/>
    </w:pPr>
  </w:style>
  <w:style w:type="paragraph" w:styleId="ListNumber3">
    <w:name w:val="List Number 3"/>
    <w:basedOn w:val="Normal"/>
    <w:uiPriority w:val="13"/>
    <w:unhideWhenUsed/>
    <w:qFormat/>
    <w:rsid w:val="00FC7049"/>
    <w:pPr>
      <w:numPr>
        <w:ilvl w:val="2"/>
        <w:numId w:val="16"/>
      </w:numPr>
      <w:contextualSpacing/>
    </w:pPr>
  </w:style>
  <w:style w:type="paragraph" w:styleId="ListNumber4">
    <w:name w:val="List Number 4"/>
    <w:basedOn w:val="Normal"/>
    <w:uiPriority w:val="13"/>
    <w:semiHidden/>
    <w:unhideWhenUsed/>
    <w:rsid w:val="00FC7049"/>
    <w:pPr>
      <w:numPr>
        <w:ilvl w:val="3"/>
        <w:numId w:val="16"/>
      </w:numPr>
      <w:contextualSpacing/>
    </w:pPr>
  </w:style>
  <w:style w:type="paragraph" w:styleId="ListNumber5">
    <w:name w:val="List Number 5"/>
    <w:basedOn w:val="Normal"/>
    <w:uiPriority w:val="13"/>
    <w:semiHidden/>
    <w:unhideWhenUsed/>
    <w:rsid w:val="00FC7049"/>
    <w:pPr>
      <w:numPr>
        <w:ilvl w:val="4"/>
        <w:numId w:val="16"/>
      </w:numPr>
      <w:contextualSpacing/>
    </w:pPr>
  </w:style>
  <w:style w:type="paragraph" w:styleId="List">
    <w:name w:val="List"/>
    <w:basedOn w:val="Normal"/>
    <w:uiPriority w:val="99"/>
    <w:semiHidden/>
    <w:unhideWhenUsed/>
    <w:rsid w:val="00FC7049"/>
    <w:pPr>
      <w:ind w:left="567" w:hanging="567"/>
      <w:contextualSpacing/>
    </w:pPr>
  </w:style>
  <w:style w:type="paragraph" w:styleId="List2">
    <w:name w:val="List 2"/>
    <w:basedOn w:val="Normal"/>
    <w:uiPriority w:val="99"/>
    <w:semiHidden/>
    <w:unhideWhenUsed/>
    <w:rsid w:val="00FC7049"/>
    <w:pPr>
      <w:ind w:left="1134" w:hanging="567"/>
      <w:contextualSpacing/>
    </w:pPr>
  </w:style>
  <w:style w:type="paragraph" w:styleId="ListContinue">
    <w:name w:val="List Continue"/>
    <w:basedOn w:val="Normal"/>
    <w:uiPriority w:val="14"/>
    <w:unhideWhenUsed/>
    <w:qFormat/>
    <w:rsid w:val="00FC7049"/>
    <w:pPr>
      <w:spacing w:after="120"/>
      <w:ind w:left="567"/>
      <w:contextualSpacing/>
    </w:pPr>
  </w:style>
  <w:style w:type="paragraph" w:styleId="ListContinue2">
    <w:name w:val="List Continue 2"/>
    <w:basedOn w:val="Normal"/>
    <w:uiPriority w:val="14"/>
    <w:unhideWhenUsed/>
    <w:qFormat/>
    <w:rsid w:val="00FC7049"/>
    <w:pPr>
      <w:spacing w:after="120"/>
      <w:ind w:left="1134"/>
      <w:contextualSpacing/>
    </w:pPr>
  </w:style>
  <w:style w:type="paragraph" w:styleId="ListContinue3">
    <w:name w:val="List Continue 3"/>
    <w:basedOn w:val="Normal"/>
    <w:uiPriority w:val="14"/>
    <w:unhideWhenUsed/>
    <w:qFormat/>
    <w:rsid w:val="00FC7049"/>
    <w:pPr>
      <w:spacing w:after="120"/>
      <w:ind w:left="1701"/>
      <w:contextualSpacing/>
    </w:pPr>
  </w:style>
  <w:style w:type="paragraph" w:styleId="ListContinue4">
    <w:name w:val="List Continue 4"/>
    <w:basedOn w:val="Normal"/>
    <w:uiPriority w:val="14"/>
    <w:semiHidden/>
    <w:unhideWhenUsed/>
    <w:rsid w:val="00FC7049"/>
    <w:pPr>
      <w:spacing w:after="120"/>
      <w:ind w:left="2268"/>
      <w:contextualSpacing/>
    </w:pPr>
  </w:style>
  <w:style w:type="paragraph" w:styleId="ListContinue5">
    <w:name w:val="List Continue 5"/>
    <w:basedOn w:val="Normal"/>
    <w:uiPriority w:val="14"/>
    <w:semiHidden/>
    <w:unhideWhenUsed/>
    <w:rsid w:val="00FC7049"/>
    <w:pPr>
      <w:spacing w:after="120"/>
      <w:ind w:left="2835"/>
      <w:contextualSpacing/>
    </w:pPr>
  </w:style>
  <w:style w:type="paragraph" w:styleId="List3">
    <w:name w:val="List 3"/>
    <w:basedOn w:val="Normal"/>
    <w:uiPriority w:val="99"/>
    <w:semiHidden/>
    <w:unhideWhenUsed/>
    <w:rsid w:val="00FC7049"/>
    <w:pPr>
      <w:ind w:left="1701" w:hanging="567"/>
      <w:contextualSpacing/>
    </w:pPr>
  </w:style>
  <w:style w:type="paragraph" w:styleId="List4">
    <w:name w:val="List 4"/>
    <w:basedOn w:val="Normal"/>
    <w:uiPriority w:val="99"/>
    <w:semiHidden/>
    <w:unhideWhenUsed/>
    <w:rsid w:val="00FC7049"/>
    <w:pPr>
      <w:ind w:left="2268" w:hanging="567"/>
      <w:contextualSpacing/>
    </w:pPr>
  </w:style>
  <w:style w:type="paragraph" w:styleId="List5">
    <w:name w:val="List 5"/>
    <w:basedOn w:val="Normal"/>
    <w:uiPriority w:val="99"/>
    <w:semiHidden/>
    <w:unhideWhenUsed/>
    <w:rsid w:val="00FC7049"/>
    <w:pPr>
      <w:ind w:left="2835" w:hanging="567"/>
      <w:contextualSpacing/>
    </w:pPr>
  </w:style>
  <w:style w:type="table" w:styleId="TableGrid">
    <w:name w:val="Table Grid"/>
    <w:basedOn w:val="TableNormal"/>
    <w:uiPriority w:val="59"/>
    <w:rsid w:val="00FC70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wCTableText">
    <w:name w:val="PwC Table Text"/>
    <w:basedOn w:val="TableNormal"/>
    <w:uiPriority w:val="99"/>
    <w:qFormat/>
    <w:rsid w:val="00FC7049"/>
    <w:pPr>
      <w:spacing w:before="60" w:after="60" w:line="240" w:lineRule="auto"/>
    </w:pPr>
    <w:tblPr>
      <w:tblStyleRowBandSize w:val="1"/>
      <w:tblInd w:w="0" w:type="dxa"/>
      <w:tblBorders>
        <w:insideH w:val="dotted" w:sz="4" w:space="0" w:color="968C6D" w:themeColor="text2"/>
      </w:tblBorders>
      <w:tblCellMar>
        <w:top w:w="0" w:type="dxa"/>
        <w:left w:w="108" w:type="dxa"/>
        <w:bottom w:w="0" w:type="dxa"/>
        <w:right w:w="108" w:type="dxa"/>
      </w:tblCellMar>
    </w:tblPr>
    <w:tblStylePr w:type="firstRow">
      <w:rPr>
        <w:b/>
      </w:rPr>
      <w:tblPr/>
      <w:tcPr>
        <w:tcBorders>
          <w:top w:val="single" w:sz="6" w:space="0" w:color="968C6D" w:themeColor="text2"/>
          <w:bottom w:val="single" w:sz="6" w:space="0" w:color="968C6D" w:themeColor="text2"/>
        </w:tcBorders>
      </w:tcPr>
    </w:tblStylePr>
    <w:tblStylePr w:type="lastRow">
      <w:rPr>
        <w:b/>
      </w:rPr>
      <w:tblPr/>
      <w:tcPr>
        <w:tcBorders>
          <w:top w:val="single" w:sz="6" w:space="0" w:color="968C6D" w:themeColor="text2"/>
          <w:bottom w:val="single" w:sz="6" w:space="0" w:color="968C6D" w:themeColor="text2"/>
        </w:tcBorders>
      </w:tcPr>
    </w:tblStylePr>
    <w:tblStylePr w:type="band1Horz">
      <w:tblPr/>
      <w:tcPr>
        <w:tcBorders>
          <w:bottom w:val="nil"/>
        </w:tcBorders>
      </w:tcPr>
    </w:tblStylePr>
  </w:style>
  <w:style w:type="character" w:customStyle="1" w:styleId="Heading6Char">
    <w:name w:val="Heading 6 Char"/>
    <w:basedOn w:val="DefaultParagraphFont"/>
    <w:link w:val="Heading6"/>
    <w:uiPriority w:val="9"/>
    <w:semiHidden/>
    <w:rsid w:val="00FC7049"/>
    <w:rPr>
      <w:rFonts w:asciiTheme="majorHAnsi" w:eastAsiaTheme="majorEastAsia" w:hAnsiTheme="majorHAnsi" w:cstheme="majorBidi"/>
      <w:iCs/>
    </w:rPr>
  </w:style>
  <w:style w:type="character" w:customStyle="1" w:styleId="Heading7Char">
    <w:name w:val="Heading 7 Char"/>
    <w:basedOn w:val="DefaultParagraphFont"/>
    <w:link w:val="Heading7"/>
    <w:uiPriority w:val="9"/>
    <w:semiHidden/>
    <w:rsid w:val="00FC7049"/>
    <w:rPr>
      <w:rFonts w:asciiTheme="majorHAnsi" w:eastAsiaTheme="majorEastAsia" w:hAnsiTheme="majorHAnsi" w:cstheme="majorBidi"/>
      <w:iCs/>
    </w:rPr>
  </w:style>
  <w:style w:type="character" w:customStyle="1" w:styleId="Heading8Char">
    <w:name w:val="Heading 8 Char"/>
    <w:basedOn w:val="DefaultParagraphFont"/>
    <w:link w:val="Heading8"/>
    <w:uiPriority w:val="9"/>
    <w:semiHidden/>
    <w:rsid w:val="00FC7049"/>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sid w:val="00FC7049"/>
    <w:rPr>
      <w:rFonts w:asciiTheme="majorHAnsi" w:eastAsiaTheme="majorEastAsia" w:hAnsiTheme="majorHAnsi" w:cstheme="majorBidi"/>
      <w:iCs/>
    </w:rPr>
  </w:style>
  <w:style w:type="table" w:styleId="MediumShading2-Accent3">
    <w:name w:val="Medium Shading 2 Accent 3"/>
    <w:basedOn w:val="TableNormal"/>
    <w:uiPriority w:val="64"/>
    <w:rsid w:val="00FC704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232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02320" w:themeFill="accent3"/>
      </w:tcPr>
    </w:tblStylePr>
    <w:tblStylePr w:type="lastCol">
      <w:rPr>
        <w:b/>
        <w:bCs/>
        <w:color w:val="FFFFFF" w:themeColor="background1"/>
      </w:rPr>
      <w:tblPr/>
      <w:tcPr>
        <w:tcBorders>
          <w:left w:val="nil"/>
          <w:right w:val="nil"/>
          <w:insideH w:val="nil"/>
          <w:insideV w:val="nil"/>
        </w:tcBorders>
        <w:shd w:val="clear" w:color="auto" w:fill="60232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FC7049"/>
    <w:pPr>
      <w:spacing w:after="0" w:line="240" w:lineRule="auto"/>
    </w:pPr>
    <w:tblPr>
      <w:tblStyleRowBandSize w:val="1"/>
      <w:tblStyleColBandSize w:val="1"/>
      <w:tblInd w:w="0" w:type="dxa"/>
      <w:tblBorders>
        <w:top w:val="single" w:sz="8" w:space="0" w:color="E0301E" w:themeColor="accent6"/>
        <w:left w:val="single" w:sz="8" w:space="0" w:color="E0301E" w:themeColor="accent6"/>
        <w:bottom w:val="single" w:sz="8" w:space="0" w:color="E0301E" w:themeColor="accent6"/>
        <w:right w:val="single" w:sz="8" w:space="0" w:color="E0301E"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0301E" w:themeFill="accent6"/>
      </w:tcPr>
    </w:tblStylePr>
    <w:tblStylePr w:type="lastRow">
      <w:pPr>
        <w:spacing w:before="0" w:after="0" w:line="240" w:lineRule="auto"/>
      </w:pPr>
      <w:rPr>
        <w:b/>
        <w:bCs/>
      </w:rPr>
      <w:tblPr/>
      <w:tcPr>
        <w:tcBorders>
          <w:top w:val="double" w:sz="6" w:space="0" w:color="E0301E" w:themeColor="accent6"/>
          <w:left w:val="single" w:sz="8" w:space="0" w:color="E0301E" w:themeColor="accent6"/>
          <w:bottom w:val="single" w:sz="8" w:space="0" w:color="E0301E" w:themeColor="accent6"/>
          <w:right w:val="single" w:sz="8" w:space="0" w:color="E0301E" w:themeColor="accent6"/>
        </w:tcBorders>
      </w:tcPr>
    </w:tblStylePr>
    <w:tblStylePr w:type="firstCol">
      <w:rPr>
        <w:b/>
        <w:bCs/>
      </w:rPr>
    </w:tblStylePr>
    <w:tblStylePr w:type="lastCol">
      <w:rPr>
        <w:b/>
        <w:bCs/>
      </w:rPr>
    </w:tblStylePr>
    <w:tblStylePr w:type="band1Vert">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tblStylePr w:type="band1Horz">
      <w:tblPr/>
      <w:tcPr>
        <w:tcBorders>
          <w:top w:val="single" w:sz="8" w:space="0" w:color="E0301E" w:themeColor="accent6"/>
          <w:left w:val="single" w:sz="8" w:space="0" w:color="E0301E" w:themeColor="accent6"/>
          <w:bottom w:val="single" w:sz="8" w:space="0" w:color="E0301E" w:themeColor="accent6"/>
          <w:right w:val="single" w:sz="8" w:space="0" w:color="E0301E" w:themeColor="accent6"/>
        </w:tcBorders>
      </w:tcPr>
    </w:tblStylePr>
  </w:style>
</w:styles>
</file>

<file path=word/webSettings.xml><?xml version="1.0" encoding="utf-8"?>
<w:webSettings xmlns:r="http://schemas.openxmlformats.org/officeDocument/2006/relationships" xmlns:w="http://schemas.openxmlformats.org/wordprocessingml/2006/main">
  <w:divs>
    <w:div w:id="29913528">
      <w:bodyDiv w:val="1"/>
      <w:marLeft w:val="0"/>
      <w:marRight w:val="0"/>
      <w:marTop w:val="0"/>
      <w:marBottom w:val="0"/>
      <w:divBdr>
        <w:top w:val="none" w:sz="0" w:space="0" w:color="auto"/>
        <w:left w:val="none" w:sz="0" w:space="0" w:color="auto"/>
        <w:bottom w:val="none" w:sz="0" w:space="0" w:color="auto"/>
        <w:right w:val="none" w:sz="0" w:space="0" w:color="auto"/>
      </w:divBdr>
      <w:divsChild>
        <w:div w:id="2025284371">
          <w:marLeft w:val="0"/>
          <w:marRight w:val="0"/>
          <w:marTop w:val="0"/>
          <w:marBottom w:val="0"/>
          <w:divBdr>
            <w:top w:val="none" w:sz="0" w:space="0" w:color="auto"/>
            <w:left w:val="none" w:sz="0" w:space="0" w:color="auto"/>
            <w:bottom w:val="none" w:sz="0" w:space="0" w:color="auto"/>
            <w:right w:val="none" w:sz="0" w:space="0" w:color="auto"/>
          </w:divBdr>
        </w:div>
      </w:divsChild>
    </w:div>
    <w:div w:id="44500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wc.co.uk/audit-assurance/publications/ipo-watch-europe-2012.jhtml" TargetMode="External"/><Relationship Id="rId13" Type="http://schemas.openxmlformats.org/officeDocument/2006/relationships/hyperlink" Target="http://www.pwc.de/de/kapitalmarktorientierte-unternehmen/index.jhtml" TargetMode="External"/><Relationship Id="rId18" Type="http://schemas.openxmlformats.org/officeDocument/2006/relationships/hyperlink" Target="http://www.pwc.com/kr/en/audit/ipo_capital_markets.jhtml" TargetMode="External"/><Relationship Id="rId26" Type="http://schemas.openxmlformats.org/officeDocument/2006/relationships/hyperlink" Target="http://www.pwc.lu/en/capital-markets/index.jhtml" TargetMode="External"/><Relationship Id="rId3" Type="http://schemas.openxmlformats.org/officeDocument/2006/relationships/styles" Target="styles.xml"/><Relationship Id="rId21" Type="http://schemas.openxmlformats.org/officeDocument/2006/relationships/hyperlink" Target="http://www.pwc.ch/en/services/assurance/capital_markets_transactions.html" TargetMode="External"/><Relationship Id="rId7" Type="http://schemas.openxmlformats.org/officeDocument/2006/relationships/endnotes" Target="endnotes.xml"/><Relationship Id="rId12" Type="http://schemas.openxmlformats.org/officeDocument/2006/relationships/hyperlink" Target="http://www.pwchk.com/home/eng/ipo.html" TargetMode="External"/><Relationship Id="rId17" Type="http://schemas.openxmlformats.org/officeDocument/2006/relationships/hyperlink" Target="http://www.pwc.com/sg/en/advisory/capital-markets.jhtml" TargetMode="External"/><Relationship Id="rId25" Type="http://schemas.openxmlformats.org/officeDocument/2006/relationships/hyperlink" Target="http://www.pwc.com/jg/en/corporate-finance/index.jhtml" TargetMode="External"/><Relationship Id="rId2" Type="http://schemas.openxmlformats.org/officeDocument/2006/relationships/numbering" Target="numbering.xml"/><Relationship Id="rId16" Type="http://schemas.openxmlformats.org/officeDocument/2006/relationships/hyperlink" Target="http://www.pwc.nl/nl/internationale-kapitaalmarkt-transacties/index.jhtml" TargetMode="External"/><Relationship Id="rId20" Type="http://schemas.openxmlformats.org/officeDocument/2006/relationships/hyperlink" Target="http://www.pwc.se/sv/marknadsnotering/index.jhtml" TargetMode="External"/><Relationship Id="rId29" Type="http://schemas.openxmlformats.org/officeDocument/2006/relationships/hyperlink" Target="http://www.pwc.com/pe/es/asistencia-en-listados-internacionales/index.j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wc.com/ca/en/ipo/index.jhtml" TargetMode="External"/><Relationship Id="rId24" Type="http://schemas.openxmlformats.org/officeDocument/2006/relationships/hyperlink" Target="http://www.pwc.be/en/capital-markets/index.j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wc.com/m1/en/services/assurance/capital-markets.jhtml" TargetMode="External"/><Relationship Id="rId23" Type="http://schemas.openxmlformats.org/officeDocument/2006/relationships/hyperlink" Target="http://www.pwc.pl/en/rynki-kapitalowe/index.jhtml" TargetMode="External"/><Relationship Id="rId28" Type="http://schemas.openxmlformats.org/officeDocument/2006/relationships/hyperlink" Target="http://www.pwc.com.cy/en/capital-markets/index.jhtml" TargetMode="External"/><Relationship Id="rId10" Type="http://schemas.openxmlformats.org/officeDocument/2006/relationships/hyperlink" Target="http://www.pwc.com/en_GX/gx/audit-services/capital-market/contacts.jhtml" TargetMode="External"/><Relationship Id="rId19" Type="http://schemas.openxmlformats.org/officeDocument/2006/relationships/hyperlink" Target="http://www.pwc.es/en/capital-markets/index.j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wc.com/gx/en/audit-services/ipo-centre/execute-a-debt-offering.jhtml" TargetMode="External"/><Relationship Id="rId14" Type="http://schemas.openxmlformats.org/officeDocument/2006/relationships/hyperlink" Target="http://www.pwc.com/it/en/services/transactions/capital-markets-eng.jhtml" TargetMode="External"/><Relationship Id="rId22" Type="http://schemas.openxmlformats.org/officeDocument/2006/relationships/hyperlink" Target="http://www.pwc.com/us/en/audit-assurance-services/capital-markets.jhtml?display=/us/en/transaction-services/" TargetMode="External"/><Relationship Id="rId27" Type="http://schemas.openxmlformats.org/officeDocument/2006/relationships/hyperlink" Target="http://www.pwc.com.tr/en/sermaye-piyasalari/index.jhtml" TargetMode="External"/><Relationship Id="rId30" Type="http://schemas.openxmlformats.org/officeDocument/2006/relationships/hyperlink" Target="http://www.pwc.co.za/en/jse-regulatory-services/index.jhtml" TargetMode="External"/></Relationships>
</file>

<file path=word/theme/theme1.xml><?xml version="1.0" encoding="utf-8"?>
<a:theme xmlns:a="http://schemas.openxmlformats.org/drawingml/2006/main" name="PwC">
  <a:themeElements>
    <a:clrScheme name="PwC Grey">
      <a:dk1>
        <a:srgbClr val="000000"/>
      </a:dk1>
      <a:lt1>
        <a:srgbClr val="FFFFFF"/>
      </a:lt1>
      <a:dk2>
        <a:srgbClr val="968C6D"/>
      </a:dk2>
      <a:lt2>
        <a:srgbClr val="FFFFFF"/>
      </a:lt2>
      <a:accent1>
        <a:srgbClr val="968C6D"/>
      </a:accent1>
      <a:accent2>
        <a:srgbClr val="D5D1C5"/>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3B5F-6486-4859-B1D2-32816B3C6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2430</Words>
  <Characters>13854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tfulham002</cp:lastModifiedBy>
  <cp:revision>2</cp:revision>
  <dcterms:created xsi:type="dcterms:W3CDTF">2013-03-22T13:21:00Z</dcterms:created>
  <dcterms:modified xsi:type="dcterms:W3CDTF">2013-03-22T13:21:00Z</dcterms:modified>
</cp:coreProperties>
</file>