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KSP Shuttle Autopilot Detailed Algorithm Specification</w:t>
      </w:r>
    </w:p>
    <w:p>
      <w:pPr>
        <w:pStyle w:val="Heading2"/>
      </w:pPr>
      <w:r>
        <w:t>1. Deorbit Planning Algorithm</w:t>
      </w:r>
    </w:p>
    <w:p>
      <w:r>
        <w:t>Input: Orbit state, runway coordinates, configuration parameters.</w:t>
      </w:r>
    </w:p>
    <w:p>
      <w:r>
        <w:t>Step 1: Determine search window (look-ahead orbits, samples per orbit).</w:t>
      </w:r>
    </w:p>
    <w:p>
      <w:r>
        <w:t>Step 2: For each candidate burn UT, solve retrograde ΔV via bisection to reach target periapsis altitude.</w:t>
      </w:r>
    </w:p>
    <w:p>
      <w:r>
        <w:t>Step 3: Construct post-burn orbit using state vectors.</w:t>
      </w:r>
    </w:p>
    <w:p>
      <w:r>
        <w:t>Step 4: Propagate orbit to sea-level intersection (vacuum impact).</w:t>
      </w:r>
    </w:p>
    <w:p>
      <w:r>
        <w:t>Step 5: Compute great-circle distance between predicted impact and runway threshold.</w:t>
      </w:r>
    </w:p>
    <w:p>
      <w:r>
        <w:t>Step 6: Select burn with minimum miss distance.</w:t>
      </w:r>
    </w:p>
    <w:p>
      <w:pPr>
        <w:pStyle w:val="Heading2"/>
      </w:pPr>
      <w:r>
        <w:t>2. Burn Execution Algorithm</w:t>
      </w:r>
    </w:p>
    <w:p>
      <w:r>
        <w:t>Input: DeorbitPlan and execution settings.</w:t>
      </w:r>
    </w:p>
    <w:p>
      <w:r>
        <w:t>Arm burn at BurnUT - lead time.</w:t>
      </w:r>
    </w:p>
    <w:p>
      <w:r>
        <w:t>Engage SAS maneuver hold.</w:t>
      </w:r>
    </w:p>
    <w:p>
      <w:r>
        <w:t>Throttle engines to maximum during burn window.</w:t>
      </w:r>
    </w:p>
    <w:p>
      <w:r>
        <w:t>Terminate burn based on time-based duration estimate.</w:t>
      </w:r>
    </w:p>
    <w:p>
      <w:r>
        <w:t>Disarm if configured.</w:t>
      </w:r>
    </w:p>
    <w:p>
      <w:pPr>
        <w:pStyle w:val="Heading2"/>
      </w:pPr>
      <w:r>
        <w:t>3. Failure Conditions</w:t>
      </w:r>
    </w:p>
    <w:p>
      <w:r>
        <w:t>No solution found within ΔV limit.</w:t>
      </w:r>
    </w:p>
    <w:p>
      <w:r>
        <w:t>Invalid orbit state.</w:t>
      </w:r>
    </w:p>
    <w:p>
      <w:r>
        <w:t>Engine thrust unavailable.</w:t>
      </w:r>
    </w:p>
    <w:p>
      <w:r>
        <w:t>User override or vessel destroyed.</w:t>
      </w:r>
    </w:p>
    <w:p>
      <w:pPr>
        <w:pStyle w:val="Heading2"/>
      </w:pPr>
      <w:r>
        <w:t>4. Planned Future Enhancements</w:t>
      </w:r>
    </w:p>
    <w:p>
      <w:r>
        <w:t>Atmospheric corridor targeting.</w:t>
      </w:r>
    </w:p>
    <w:p>
      <w:r>
        <w:t>Dynamic bank-angle modulation.</w:t>
      </w:r>
    </w:p>
    <w:p>
      <w:r>
        <w:t>Closed-loop guidance with feedback control.</w:t>
      </w:r>
    </w:p>
    <w:p>
      <w:r>
        <w:t>Precision runway threshold targeting.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