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3D50" w14:textId="77777777" w:rsidR="00D44B0D" w:rsidRDefault="00000000" w:rsidP="00B8558A">
      <w:pPr>
        <w:spacing w:before="120" w:after="120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Live Video Enhancements using Monocular Depth Estimation</w:t>
      </w:r>
    </w:p>
    <w:p w14:paraId="2301C6DB" w14:textId="370DEDA4" w:rsidR="00B8558A" w:rsidRDefault="00B8558A" w:rsidP="00860A8A">
      <w:pPr>
        <w:spacing w:after="120" w:line="256" w:lineRule="auto"/>
        <w:jc w:val="center"/>
        <w:rPr>
          <w:bCs/>
          <w:sz w:val="32"/>
          <w:szCs w:val="32"/>
        </w:rPr>
      </w:pPr>
      <w:r w:rsidRPr="00B8558A">
        <w:rPr>
          <w:bCs/>
          <w:sz w:val="32"/>
          <w:szCs w:val="32"/>
        </w:rPr>
        <w:t>Progress Updates</w:t>
      </w:r>
    </w:p>
    <w:p w14:paraId="531C2C62" w14:textId="77777777" w:rsidR="000C3493" w:rsidRPr="00B8558A" w:rsidRDefault="000C3493" w:rsidP="00860A8A">
      <w:pPr>
        <w:spacing w:after="120" w:line="256" w:lineRule="auto"/>
        <w:jc w:val="center"/>
        <w:rPr>
          <w:bCs/>
          <w:sz w:val="32"/>
          <w:szCs w:val="32"/>
        </w:rPr>
      </w:pPr>
    </w:p>
    <w:p w14:paraId="441570DD" w14:textId="77777777" w:rsidR="004767F8" w:rsidRDefault="00DA228D" w:rsidP="004767F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Literature Review</w:t>
      </w:r>
    </w:p>
    <w:p w14:paraId="5125A741" w14:textId="16ACA930" w:rsidR="005D5CF1" w:rsidRDefault="00860A8A" w:rsidP="00075B89">
      <w:pPr>
        <w:spacing w:after="120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860A8A">
        <w:rPr>
          <w:rFonts w:ascii="Times New Roman" w:eastAsia="Times New Roman" w:hAnsi="Times New Roman" w:cs="Times New Roman"/>
          <w:bCs/>
          <w:sz w:val="24"/>
          <w:szCs w:val="24"/>
        </w:rPr>
        <w:t>Depth estimation with depth-centric cameras is not a new technology, it had reached a level of maturity where it was being used for casual gaming with Microsoft XBOX 360 Kinect [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860A8A">
        <w:rPr>
          <w:rFonts w:ascii="Times New Roman" w:eastAsia="Times New Roman" w:hAnsi="Times New Roman" w:cs="Times New Roman"/>
          <w:bCs/>
          <w:sz w:val="24"/>
          <w:szCs w:val="24"/>
        </w:rPr>
        <w:t>]. However, the usage of RGB imagery to attain depth masks is one which is catching traction as of now. Previously, pairs of RGB images (stereoscopic imagery) have been used to generate a depth map by employing the principles of binocular disparity [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860A8A">
        <w:rPr>
          <w:rFonts w:ascii="Times New Roman" w:eastAsia="Times New Roman" w:hAnsi="Times New Roman" w:cs="Times New Roman"/>
          <w:bCs/>
          <w:sz w:val="24"/>
          <w:szCs w:val="24"/>
        </w:rPr>
        <w:t>]. Current works eliminate the usage of the secondary camera by utilizing a monocular approach, thus giving rise to Monocular Depth Estimation</w:t>
      </w:r>
      <w:r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.</w:t>
      </w:r>
    </w:p>
    <w:p w14:paraId="546D8D9D" w14:textId="78E34EDB" w:rsidR="00EA6CED" w:rsidRDefault="002F064B" w:rsidP="00075B89">
      <w:pPr>
        <w:spacing w:after="120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Depth estimation on its own has many uses in </w:t>
      </w:r>
      <w:r w:rsidR="005D5CF1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5D5CF1" w:rsidRPr="005D5CF1">
        <w:rPr>
          <w:rFonts w:ascii="Times New Roman" w:eastAsia="Times New Roman" w:hAnsi="Times New Roman" w:cs="Times New Roman"/>
          <w:bCs/>
          <w:sz w:val="24"/>
          <w:szCs w:val="24"/>
        </w:rPr>
        <w:t>obotic navigation, autonomous driving, and virtual reality</w:t>
      </w:r>
      <w:r w:rsidR="005D5CF1">
        <w:rPr>
          <w:rFonts w:ascii="Times New Roman" w:eastAsia="Times New Roman" w:hAnsi="Times New Roman" w:cs="Times New Roman"/>
          <w:bCs/>
          <w:sz w:val="24"/>
          <w:szCs w:val="24"/>
        </w:rPr>
        <w:t xml:space="preserve"> [3]. </w:t>
      </w:r>
      <w:r w:rsidR="00EA6CED">
        <w:rPr>
          <w:rFonts w:ascii="Times New Roman" w:eastAsia="Times New Roman" w:hAnsi="Times New Roman" w:cs="Times New Roman"/>
          <w:bCs/>
          <w:sz w:val="24"/>
          <w:szCs w:val="24"/>
        </w:rPr>
        <w:t xml:space="preserve">Such uses cases often utilize application based sensors such as LIDAR sensors that are being used in autonomous vehicles [4,5]. Such sensors are usually not cheap and require custom pipelines to generate ground truth with annotation in the data. This often makes the collection of </w:t>
      </w:r>
      <w:r w:rsidR="00EA6CED">
        <w:rPr>
          <w:rFonts w:ascii="Times New Roman" w:eastAsia="Times New Roman" w:hAnsi="Times New Roman" w:cs="Times New Roman"/>
          <w:bCs/>
          <w:sz w:val="24"/>
          <w:szCs w:val="24"/>
        </w:rPr>
        <w:t xml:space="preserve">accurate </w:t>
      </w:r>
      <w:r w:rsidR="00EA6CED">
        <w:rPr>
          <w:rFonts w:ascii="Times New Roman" w:eastAsia="Times New Roman" w:hAnsi="Times New Roman" w:cs="Times New Roman"/>
          <w:bCs/>
          <w:sz w:val="24"/>
          <w:szCs w:val="24"/>
        </w:rPr>
        <w:t>large &amp; varied ground truths a challenging task, not to mention, requiring significant monetary efforts.</w:t>
      </w:r>
    </w:p>
    <w:p w14:paraId="70CA29A6" w14:textId="43551F25" w:rsidR="00075B89" w:rsidRDefault="00EA6CED" w:rsidP="00075B89">
      <w:pPr>
        <w:spacing w:after="120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While there may be works with depth estimation in domains related to autonomous vehicles, </w:t>
      </w:r>
      <w:r w:rsidR="005D5CF1">
        <w:rPr>
          <w:rFonts w:ascii="Times New Roman" w:eastAsia="Times New Roman" w:hAnsi="Times New Roman" w:cs="Times New Roman"/>
          <w:bCs/>
          <w:sz w:val="24"/>
          <w:szCs w:val="24"/>
        </w:rPr>
        <w:t xml:space="preserve">there exists few prior works that focus on using depth estimation for real-time video enhancements.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This again ties in with the fact that there does not exist a dataset to support this task. </w:t>
      </w:r>
      <w:r w:rsidR="00075B89">
        <w:rPr>
          <w:rFonts w:ascii="Times New Roman" w:eastAsia="Times New Roman" w:hAnsi="Times New Roman" w:cs="Times New Roman"/>
          <w:bCs/>
          <w:sz w:val="24"/>
          <w:szCs w:val="24"/>
        </w:rPr>
        <w:t xml:space="preserve">The works of </w:t>
      </w:r>
      <w:r w:rsidR="00075B89" w:rsidRPr="00075B89">
        <w:rPr>
          <w:rFonts w:ascii="Times New Roman" w:eastAsia="Times New Roman" w:hAnsi="Times New Roman" w:cs="Times New Roman"/>
          <w:bCs/>
          <w:sz w:val="24"/>
          <w:szCs w:val="24"/>
        </w:rPr>
        <w:t>Godar</w:t>
      </w:r>
      <w:r w:rsidR="00075B89">
        <w:rPr>
          <w:rFonts w:ascii="Times New Roman" w:eastAsia="Times New Roman" w:hAnsi="Times New Roman" w:cs="Times New Roman"/>
          <w:bCs/>
          <w:sz w:val="24"/>
          <w:szCs w:val="24"/>
        </w:rPr>
        <w:t xml:space="preserve">d et al. [4] focus on a self-supervised methodology for </w:t>
      </w:r>
      <w:r w:rsidR="00075B89" w:rsidRPr="00075B89">
        <w:rPr>
          <w:rFonts w:ascii="Times New Roman" w:eastAsia="Times New Roman" w:hAnsi="Times New Roman" w:cs="Times New Roman"/>
          <w:bCs/>
          <w:sz w:val="24"/>
          <w:szCs w:val="24"/>
        </w:rPr>
        <w:t>Monocular Depth Estimation</w:t>
      </w:r>
      <w:r w:rsidR="00075B89">
        <w:rPr>
          <w:rFonts w:ascii="Times New Roman" w:eastAsia="Times New Roman" w:hAnsi="Times New Roman" w:cs="Times New Roman"/>
          <w:bCs/>
          <w:sz w:val="24"/>
          <w:szCs w:val="24"/>
        </w:rPr>
        <w:t xml:space="preserve">, which aims to reduce the effort for ground truth generation. </w:t>
      </w:r>
    </w:p>
    <w:p w14:paraId="54351D34" w14:textId="386EA48C" w:rsidR="00EA6CED" w:rsidRDefault="005D5CF1" w:rsidP="00075B8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On the contrary</w:t>
      </w:r>
      <w:r w:rsidR="00075B89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depth estimation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a lot of work has been done to enhance and improve the video quality in real time.</w:t>
      </w:r>
      <w:r w:rsidR="00EE5CB7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works of Yeo et al.</w:t>
      </w:r>
      <w:r w:rsidR="002700F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A6CED">
        <w:rPr>
          <w:rFonts w:ascii="Times New Roman" w:eastAsia="Times New Roman" w:hAnsi="Times New Roman" w:cs="Times New Roman"/>
          <w:bCs/>
          <w:sz w:val="24"/>
          <w:szCs w:val="24"/>
        </w:rPr>
        <w:t xml:space="preserve">[6] </w:t>
      </w:r>
      <w:r w:rsidR="002700FC">
        <w:rPr>
          <w:rFonts w:ascii="Times New Roman" w:eastAsia="Times New Roman" w:hAnsi="Times New Roman" w:cs="Times New Roman"/>
          <w:bCs/>
          <w:sz w:val="24"/>
          <w:szCs w:val="24"/>
        </w:rPr>
        <w:t xml:space="preserve">propose a scalable neural network-based enhancement model that is able to restore video quality that is </w:t>
      </w:r>
      <w:r w:rsidR="002700FC" w:rsidRPr="002700FC">
        <w:rPr>
          <w:rFonts w:ascii="Times New Roman" w:eastAsia="Times New Roman" w:hAnsi="Times New Roman" w:cs="Times New Roman"/>
          <w:bCs/>
          <w:sz w:val="24"/>
          <w:szCs w:val="24"/>
        </w:rPr>
        <w:t>deteriorate</w:t>
      </w:r>
      <w:r w:rsidR="002700FC">
        <w:rPr>
          <w:rFonts w:ascii="Times New Roman" w:eastAsia="Times New Roman" w:hAnsi="Times New Roman" w:cs="Times New Roman"/>
          <w:bCs/>
          <w:sz w:val="24"/>
          <w:szCs w:val="24"/>
        </w:rPr>
        <w:t>d by reduced bandwidth. They also</w:t>
      </w:r>
      <w:r w:rsidR="002700FC" w:rsidRPr="002700F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E5CB7">
        <w:rPr>
          <w:rFonts w:ascii="Times New Roman" w:eastAsia="Times New Roman" w:hAnsi="Times New Roman" w:cs="Times New Roman"/>
          <w:bCs/>
          <w:sz w:val="24"/>
          <w:szCs w:val="24"/>
        </w:rPr>
        <w:t xml:space="preserve">highlight </w:t>
      </w:r>
      <w:r w:rsidR="002700FC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EE5CB7">
        <w:rPr>
          <w:rFonts w:ascii="Times New Roman" w:eastAsia="Times New Roman" w:hAnsi="Times New Roman" w:cs="Times New Roman"/>
          <w:bCs/>
          <w:sz w:val="24"/>
          <w:szCs w:val="24"/>
        </w:rPr>
        <w:t xml:space="preserve"> fact that </w:t>
      </w:r>
      <w:r w:rsidR="002700FC">
        <w:rPr>
          <w:rFonts w:ascii="Times New Roman" w:eastAsia="Times New Roman" w:hAnsi="Times New Roman" w:cs="Times New Roman"/>
          <w:bCs/>
          <w:sz w:val="24"/>
          <w:szCs w:val="24"/>
        </w:rPr>
        <w:t xml:space="preserve">around 50% of stream viewers tend to abandon a live stream when there is quality degradation for more than 90 seconds. </w:t>
      </w:r>
      <w:r w:rsidR="00A77430">
        <w:rPr>
          <w:rFonts w:ascii="Times New Roman" w:eastAsia="Times New Roman" w:hAnsi="Times New Roman" w:cs="Times New Roman"/>
          <w:bCs/>
          <w:sz w:val="24"/>
          <w:szCs w:val="24"/>
        </w:rPr>
        <w:t xml:space="preserve">The works of </w:t>
      </w:r>
      <w:proofErr w:type="spellStart"/>
      <w:r w:rsidR="00A77430" w:rsidRPr="00A77430">
        <w:rPr>
          <w:rFonts w:ascii="Times New Roman" w:eastAsia="Times New Roman" w:hAnsi="Times New Roman" w:cs="Times New Roman"/>
          <w:bCs/>
          <w:sz w:val="24"/>
          <w:szCs w:val="24"/>
        </w:rPr>
        <w:t>Valanarasu</w:t>
      </w:r>
      <w:proofErr w:type="spellEnd"/>
      <w:r w:rsidR="00A77430">
        <w:rPr>
          <w:rFonts w:ascii="Times New Roman" w:eastAsia="Times New Roman" w:hAnsi="Times New Roman" w:cs="Times New Roman"/>
          <w:bCs/>
          <w:sz w:val="24"/>
          <w:szCs w:val="24"/>
        </w:rPr>
        <w:t xml:space="preserve"> et al. [7] focus on video restoration by using a dual approach for restoration where they use a convolutional encoder for feature extraction and MLP based mixing blocks. However, they base their benchmarks on the </w:t>
      </w:r>
      <w:r w:rsidR="00A77430" w:rsidRPr="00A77430">
        <w:rPr>
          <w:rFonts w:ascii="Times New Roman" w:eastAsia="Times New Roman" w:hAnsi="Times New Roman" w:cs="Times New Roman"/>
          <w:bCs/>
          <w:sz w:val="24"/>
          <w:szCs w:val="24"/>
        </w:rPr>
        <w:t>NVIDIA A100 GPU</w:t>
      </w:r>
      <w:r w:rsidR="00A77430">
        <w:rPr>
          <w:rFonts w:ascii="Times New Roman" w:eastAsia="Times New Roman" w:hAnsi="Times New Roman" w:cs="Times New Roman"/>
          <w:bCs/>
          <w:sz w:val="24"/>
          <w:szCs w:val="24"/>
        </w:rPr>
        <w:t>, which is usually used in datacenters for research and is not available or feasible to be used by the average consumer.</w:t>
      </w:r>
    </w:p>
    <w:p w14:paraId="61933087" w14:textId="77777777" w:rsidR="000C3493" w:rsidRDefault="000C3493" w:rsidP="00075B8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14A4CE" w14:textId="77777777" w:rsidR="000C3493" w:rsidRDefault="000C3493" w:rsidP="00075B8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80E277" w14:textId="77777777" w:rsidR="000C3493" w:rsidRDefault="000C3493" w:rsidP="00075B8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6244E0" w14:textId="77777777" w:rsidR="000C3493" w:rsidRDefault="000C3493" w:rsidP="00075B8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4D41EE" w14:textId="77777777" w:rsidR="000C3493" w:rsidRDefault="000C3493" w:rsidP="00075B8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06C362" w14:textId="05B96B1F" w:rsidR="000C3493" w:rsidRDefault="000C3493" w:rsidP="00075B8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6E0947" w14:textId="70ABED6E" w:rsidR="000C3493" w:rsidRDefault="000C3493" w:rsidP="00075B8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0C5A59" w14:textId="354F4839" w:rsidR="000C3493" w:rsidRDefault="000C3493">
      <w:pPr>
        <w:numPr>
          <w:ilvl w:val="0"/>
          <w:numId w:val="1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70D96C" wp14:editId="0DEA71C0">
            <wp:simplePos x="0" y="0"/>
            <wp:positionH relativeFrom="margin">
              <wp:posOffset>199505</wp:posOffset>
            </wp:positionH>
            <wp:positionV relativeFrom="page">
              <wp:posOffset>1712248</wp:posOffset>
            </wp:positionV>
            <wp:extent cx="5943600" cy="3752850"/>
            <wp:effectExtent l="0" t="0" r="0" b="0"/>
            <wp:wrapSquare wrapText="bothSides"/>
            <wp:docPr id="117903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3385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Proposed Pipeline</w:t>
      </w:r>
    </w:p>
    <w:p w14:paraId="6C6C53A4" w14:textId="38CDE4DF" w:rsidR="000C3493" w:rsidRPr="002200F8" w:rsidRDefault="000C3493" w:rsidP="000C3493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highlight w:val="white"/>
        </w:rPr>
      </w:pPr>
    </w:p>
    <w:p w14:paraId="08DE838B" w14:textId="25EC5F2F" w:rsidR="00D44B0D" w:rsidRDefault="00DA228D">
      <w:pPr>
        <w:numPr>
          <w:ilvl w:val="0"/>
          <w:numId w:val="1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Potential Hurdles </w:t>
      </w:r>
    </w:p>
    <w:p w14:paraId="5B69312E" w14:textId="799C6D13" w:rsidR="00D44B0D" w:rsidRDefault="00C93F59" w:rsidP="00C93F59">
      <w:pPr>
        <w:pStyle w:val="ListParagraph"/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bCs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highlight w:val="white"/>
        </w:rPr>
        <w:t>Running a depth estimation model on each frame would yield performance that is not suitable for live video augmentation.</w:t>
      </w:r>
    </w:p>
    <w:p w14:paraId="52327604" w14:textId="3421EB97" w:rsidR="00FD38BD" w:rsidRDefault="00FD38BD" w:rsidP="00C93F59">
      <w:pPr>
        <w:pStyle w:val="ListParagraph"/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bCs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highlight w:val="white"/>
        </w:rPr>
        <w:t xml:space="preserve">There exists no dataset geared towards near-field depth maps, existing datasets have imagery from the streets and the indoor objects (KITTI dataset and </w:t>
      </w:r>
      <w:r w:rsidRPr="00FD38BD">
        <w:rPr>
          <w:rFonts w:ascii="Times New Roman" w:eastAsia="Times New Roman" w:hAnsi="Times New Roman" w:cs="Times New Roman"/>
          <w:bCs/>
          <w:sz w:val="26"/>
          <w:szCs w:val="26"/>
        </w:rPr>
        <w:t>NYU Depth v2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respectively). There might be issues adapting these datasets to human torsos.</w:t>
      </w:r>
    </w:p>
    <w:p w14:paraId="0B8BD8CC" w14:textId="0C1B406D" w:rsidR="00C93F59" w:rsidRDefault="00C93F59" w:rsidP="00C93F59">
      <w:pPr>
        <w:pStyle w:val="ListParagraph"/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bCs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highlight w:val="white"/>
        </w:rPr>
        <w:t>Packaging the entire codebase into a single executable may not be possible due to GPU dependencies.</w:t>
      </w:r>
    </w:p>
    <w:p w14:paraId="4BBCBE80" w14:textId="5B5A0C95" w:rsidR="00C93F59" w:rsidRPr="00C93F59" w:rsidRDefault="00C93F59" w:rsidP="00C93F59">
      <w:pPr>
        <w:pStyle w:val="ListParagraph"/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bCs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highlight w:val="white"/>
        </w:rPr>
        <w:t>There is no direct prior work for metric comparison, will have to rely on computational requirements to generate a comparison from previous models.</w:t>
      </w:r>
    </w:p>
    <w:p w14:paraId="677FB325" w14:textId="3AF9541A" w:rsidR="00D44B0D" w:rsidRDefault="00000000">
      <w:pPr>
        <w:numPr>
          <w:ilvl w:val="0"/>
          <w:numId w:val="1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Timeline</w:t>
      </w:r>
      <w:r w:rsidR="00DA228D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Adherence </w:t>
      </w:r>
    </w:p>
    <w:tbl>
      <w:tblPr>
        <w:tblStyle w:val="a"/>
        <w:tblW w:w="10065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1276"/>
        <w:gridCol w:w="6662"/>
        <w:gridCol w:w="1134"/>
      </w:tblGrid>
      <w:tr w:rsidR="00DA228D" w14:paraId="3BBCD675" w14:textId="34B1789D" w:rsidTr="008D33E3">
        <w:trPr>
          <w:trHeight w:val="440"/>
        </w:trPr>
        <w:tc>
          <w:tcPr>
            <w:tcW w:w="22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877E5" w14:textId="77777777" w:rsidR="00DA228D" w:rsidRDefault="00DA22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Timeline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C63C8" w14:textId="77777777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Task Description</w:t>
            </w:r>
          </w:p>
        </w:tc>
        <w:tc>
          <w:tcPr>
            <w:tcW w:w="1134" w:type="dxa"/>
          </w:tcPr>
          <w:p w14:paraId="176CDBCE" w14:textId="765CDDA0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Status</w:t>
            </w:r>
          </w:p>
        </w:tc>
      </w:tr>
      <w:tr w:rsidR="00DA228D" w14:paraId="2C98734B" w14:textId="46392D3A" w:rsidTr="008D33E3">
        <w:trPr>
          <w:trHeight w:val="440"/>
        </w:trPr>
        <w:tc>
          <w:tcPr>
            <w:tcW w:w="9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C286F" w14:textId="77777777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March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813AC" w14:textId="48E60C1D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March 03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79629" w14:textId="77777777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Project Proposal</w:t>
            </w:r>
          </w:p>
        </w:tc>
        <w:tc>
          <w:tcPr>
            <w:tcW w:w="1134" w:type="dxa"/>
          </w:tcPr>
          <w:p w14:paraId="1A88D72D" w14:textId="29689A43" w:rsidR="00DA228D" w:rsidRPr="00DA228D" w:rsidRDefault="00DA228D" w:rsidP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DA228D">
              <w:rPr>
                <w:rFonts w:ascii="Segoe UI Symbol" w:hAnsi="Segoe UI Symbol" w:cs="Segoe UI Symbol"/>
                <w:color w:val="202124"/>
                <w:sz w:val="32"/>
                <w:szCs w:val="32"/>
                <w:shd w:val="clear" w:color="auto" w:fill="FFFFFF"/>
              </w:rPr>
              <w:t>✔</w:t>
            </w:r>
          </w:p>
        </w:tc>
      </w:tr>
      <w:tr w:rsidR="00DA228D" w14:paraId="355AA78F" w14:textId="0EB3894E" w:rsidTr="008D33E3">
        <w:trPr>
          <w:trHeight w:val="440"/>
        </w:trPr>
        <w:tc>
          <w:tcPr>
            <w:tcW w:w="9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BDA43" w14:textId="77777777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12A42" w14:textId="77777777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March 20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F11CC" w14:textId="77777777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Review model architectures and finalize the viability of the project</w:t>
            </w:r>
          </w:p>
        </w:tc>
        <w:tc>
          <w:tcPr>
            <w:tcW w:w="1134" w:type="dxa"/>
          </w:tcPr>
          <w:p w14:paraId="18A73268" w14:textId="79AA3899" w:rsidR="00DA228D" w:rsidRPr="00DA228D" w:rsidRDefault="00DA228D" w:rsidP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A228D">
              <w:rPr>
                <w:rFonts w:ascii="Segoe UI Symbol" w:hAnsi="Segoe UI Symbol" w:cs="Segoe UI Symbol"/>
                <w:color w:val="202124"/>
                <w:sz w:val="32"/>
                <w:szCs w:val="32"/>
                <w:shd w:val="clear" w:color="auto" w:fill="FFFFFF"/>
              </w:rPr>
              <w:t>✔</w:t>
            </w:r>
          </w:p>
        </w:tc>
      </w:tr>
      <w:tr w:rsidR="00DA228D" w14:paraId="0F38FF1E" w14:textId="614574AE" w:rsidTr="008D33E3">
        <w:trPr>
          <w:trHeight w:val="440"/>
        </w:trPr>
        <w:tc>
          <w:tcPr>
            <w:tcW w:w="9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AFABA" w14:textId="3858A7C1" w:rsidR="00DA228D" w:rsidRDefault="00DA228D" w:rsidP="00DE4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April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1B358" w14:textId="3C6B84DC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April 09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A27E3" w14:textId="77777777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Project Progress Report</w:t>
            </w:r>
          </w:p>
        </w:tc>
        <w:tc>
          <w:tcPr>
            <w:tcW w:w="1134" w:type="dxa"/>
          </w:tcPr>
          <w:p w14:paraId="409A1A31" w14:textId="4AFCC08F" w:rsidR="00DA228D" w:rsidRDefault="00DA228D" w:rsidP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DA228D">
              <w:rPr>
                <w:rFonts w:ascii="Segoe UI Symbol" w:hAnsi="Segoe UI Symbol" w:cs="Segoe UI Symbol"/>
                <w:color w:val="202124"/>
                <w:sz w:val="32"/>
                <w:szCs w:val="32"/>
                <w:shd w:val="clear" w:color="auto" w:fill="FFFFFF"/>
              </w:rPr>
              <w:t>✔</w:t>
            </w:r>
          </w:p>
        </w:tc>
      </w:tr>
      <w:tr w:rsidR="00DA228D" w14:paraId="1BF0DF32" w14:textId="72EBA19D" w:rsidTr="008D33E3">
        <w:trPr>
          <w:trHeight w:val="440"/>
        </w:trPr>
        <w:tc>
          <w:tcPr>
            <w:tcW w:w="9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FD899" w14:textId="21864D85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52FFC" w14:textId="77777777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April 14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EBE8C" w14:textId="77777777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Finalize Depth Estimation based Backend</w:t>
            </w:r>
          </w:p>
        </w:tc>
        <w:tc>
          <w:tcPr>
            <w:tcW w:w="1134" w:type="dxa"/>
          </w:tcPr>
          <w:p w14:paraId="54A3FFBE" w14:textId="52546384" w:rsidR="00DA228D" w:rsidRPr="00DA228D" w:rsidRDefault="00DA228D" w:rsidP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white"/>
              </w:rPr>
            </w:pPr>
          </w:p>
        </w:tc>
      </w:tr>
      <w:tr w:rsidR="00DA228D" w14:paraId="5D8770FA" w14:textId="3296F1AB" w:rsidTr="008D33E3">
        <w:trPr>
          <w:trHeight w:val="440"/>
        </w:trPr>
        <w:tc>
          <w:tcPr>
            <w:tcW w:w="9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F4EF2" w14:textId="77777777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43BDC" w14:textId="77777777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April 15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92543" w14:textId="77777777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Start work on the pipeline that feeds into the backend</w:t>
            </w:r>
          </w:p>
        </w:tc>
        <w:tc>
          <w:tcPr>
            <w:tcW w:w="1134" w:type="dxa"/>
          </w:tcPr>
          <w:p w14:paraId="63C1F833" w14:textId="0A7A96D9" w:rsidR="00DA228D" w:rsidRPr="00DA228D" w:rsidRDefault="00DA228D" w:rsidP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white"/>
              </w:rPr>
            </w:pPr>
          </w:p>
        </w:tc>
      </w:tr>
      <w:tr w:rsidR="00DA228D" w14:paraId="1D8719A2" w14:textId="235B9685" w:rsidTr="008D33E3">
        <w:trPr>
          <w:trHeight w:val="440"/>
        </w:trPr>
        <w:tc>
          <w:tcPr>
            <w:tcW w:w="9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6078E" w14:textId="77777777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C992A" w14:textId="77777777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April 28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CE481" w14:textId="77777777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Polish the demo based on combined frontend and backend</w:t>
            </w:r>
          </w:p>
        </w:tc>
        <w:tc>
          <w:tcPr>
            <w:tcW w:w="1134" w:type="dxa"/>
          </w:tcPr>
          <w:p w14:paraId="0BAA2591" w14:textId="1BF9B8C8" w:rsidR="00DA228D" w:rsidRDefault="00DA228D" w:rsidP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DA228D" w14:paraId="0A655E91" w14:textId="196FD676" w:rsidTr="008D33E3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F1D7D" w14:textId="77777777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B22C0" w14:textId="03D4BAFA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May 05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0C729" w14:textId="77777777" w:rsidR="00DA228D" w:rsidRDefault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Project Final Presentation</w:t>
            </w:r>
          </w:p>
        </w:tc>
        <w:tc>
          <w:tcPr>
            <w:tcW w:w="1134" w:type="dxa"/>
          </w:tcPr>
          <w:p w14:paraId="72833BD7" w14:textId="5632A21A" w:rsidR="00DA228D" w:rsidRPr="00DA228D" w:rsidRDefault="00DA228D" w:rsidP="00DA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14:paraId="44DC0E88" w14:textId="77777777" w:rsidR="00D44B0D" w:rsidRDefault="00000000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sectPr w:rsidR="00D44B0D" w:rsidSect="000C3493">
          <w:pgSz w:w="12240" w:h="15840"/>
          <w:pgMar w:top="1135" w:right="1440" w:bottom="99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References</w:t>
      </w:r>
    </w:p>
    <w:p w14:paraId="0B3AE974" w14:textId="77777777" w:rsidR="00D44B0D" w:rsidRDefault="00000000">
      <w:pPr>
        <w:numPr>
          <w:ilvl w:val="0"/>
          <w:numId w:val="2"/>
        </w:numPr>
        <w:ind w:left="9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Azure Kinect DK – Develop AI Models | Microsoft Azure. (n.d.).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https://azure.microsoft.com/en-us/products/kinect-dk/</w:t>
        </w:r>
      </w:hyperlink>
    </w:p>
    <w:p w14:paraId="427BE796" w14:textId="41F1767E" w:rsidR="00D44B0D" w:rsidRDefault="00000000" w:rsidP="00860A8A">
      <w:pPr>
        <w:numPr>
          <w:ilvl w:val="0"/>
          <w:numId w:val="2"/>
        </w:numPr>
        <w:ind w:left="9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Aslam, A., &amp; Ansari, M. (2019). Depth-map generation using pixel matching in stereoscopic pair of images. arXiv preprint arXiv:1902.03471.</w:t>
      </w:r>
    </w:p>
    <w:p w14:paraId="51E2373B" w14:textId="77777777" w:rsidR="00C93F59" w:rsidRDefault="00C93F59" w:rsidP="00860A8A">
      <w:pPr>
        <w:numPr>
          <w:ilvl w:val="0"/>
          <w:numId w:val="2"/>
        </w:numPr>
        <w:ind w:left="990"/>
        <w:rPr>
          <w:rFonts w:ascii="Times New Roman" w:eastAsia="Times New Roman" w:hAnsi="Times New Roman" w:cs="Times New Roman"/>
        </w:rPr>
      </w:pPr>
      <w:r w:rsidRPr="00C93F59">
        <w:rPr>
          <w:rFonts w:ascii="Times New Roman" w:eastAsia="Times New Roman" w:hAnsi="Times New Roman" w:cs="Times New Roman"/>
        </w:rPr>
        <w:t>Ming, Y., Meng, X., Fan, C., &amp; Yu, H. (2021). Deep learning for monocular depth estimation: A review. Neurocomputing, 438, 14-33.</w:t>
      </w:r>
    </w:p>
    <w:p w14:paraId="52C0F645" w14:textId="77777777" w:rsidR="00C93F59" w:rsidRDefault="00C93F59" w:rsidP="00860A8A">
      <w:pPr>
        <w:numPr>
          <w:ilvl w:val="0"/>
          <w:numId w:val="2"/>
        </w:numPr>
        <w:ind w:left="990"/>
        <w:rPr>
          <w:rFonts w:ascii="Times New Roman" w:eastAsia="Times New Roman" w:hAnsi="Times New Roman" w:cs="Times New Roman"/>
        </w:rPr>
      </w:pPr>
      <w:r w:rsidRPr="00C93F59">
        <w:rPr>
          <w:rFonts w:ascii="Times New Roman" w:eastAsia="Times New Roman" w:hAnsi="Times New Roman" w:cs="Times New Roman"/>
        </w:rPr>
        <w:t xml:space="preserve">Godard, C., Mac </w:t>
      </w:r>
      <w:proofErr w:type="spellStart"/>
      <w:r w:rsidRPr="00C93F59">
        <w:rPr>
          <w:rFonts w:ascii="Times New Roman" w:eastAsia="Times New Roman" w:hAnsi="Times New Roman" w:cs="Times New Roman"/>
        </w:rPr>
        <w:t>Aodha</w:t>
      </w:r>
      <w:proofErr w:type="spellEnd"/>
      <w:r w:rsidRPr="00C93F59">
        <w:rPr>
          <w:rFonts w:ascii="Times New Roman" w:eastAsia="Times New Roman" w:hAnsi="Times New Roman" w:cs="Times New Roman"/>
        </w:rPr>
        <w:t xml:space="preserve">, O., </w:t>
      </w:r>
      <w:proofErr w:type="spellStart"/>
      <w:r w:rsidRPr="00C93F59">
        <w:rPr>
          <w:rFonts w:ascii="Times New Roman" w:eastAsia="Times New Roman" w:hAnsi="Times New Roman" w:cs="Times New Roman"/>
        </w:rPr>
        <w:t>Firman</w:t>
      </w:r>
      <w:proofErr w:type="spellEnd"/>
      <w:r w:rsidRPr="00C93F59">
        <w:rPr>
          <w:rFonts w:ascii="Times New Roman" w:eastAsia="Times New Roman" w:hAnsi="Times New Roman" w:cs="Times New Roman"/>
        </w:rPr>
        <w:t xml:space="preserve">, M., &amp; </w:t>
      </w:r>
      <w:proofErr w:type="spellStart"/>
      <w:r w:rsidRPr="00C93F59">
        <w:rPr>
          <w:rFonts w:ascii="Times New Roman" w:eastAsia="Times New Roman" w:hAnsi="Times New Roman" w:cs="Times New Roman"/>
        </w:rPr>
        <w:t>Brostow</w:t>
      </w:r>
      <w:proofErr w:type="spellEnd"/>
      <w:r w:rsidRPr="00C93F59">
        <w:rPr>
          <w:rFonts w:ascii="Times New Roman" w:eastAsia="Times New Roman" w:hAnsi="Times New Roman" w:cs="Times New Roman"/>
        </w:rPr>
        <w:t>, G. J. (2019). Digging into self-supervised monocular depth estimation. In Proceedings of the IEEE/CVF international conference on computer vision (pp. 3828-3838).</w:t>
      </w:r>
    </w:p>
    <w:p w14:paraId="2A1AB733" w14:textId="171111FB" w:rsidR="00EA6CED" w:rsidRDefault="00C93F59" w:rsidP="00860A8A">
      <w:pPr>
        <w:numPr>
          <w:ilvl w:val="0"/>
          <w:numId w:val="2"/>
        </w:numPr>
        <w:ind w:left="990"/>
        <w:rPr>
          <w:rFonts w:ascii="Times New Roman" w:eastAsia="Times New Roman" w:hAnsi="Times New Roman" w:cs="Times New Roman"/>
        </w:rPr>
      </w:pPr>
      <w:r w:rsidRPr="00C93F59">
        <w:rPr>
          <w:rFonts w:ascii="Times New Roman" w:eastAsia="Times New Roman" w:hAnsi="Times New Roman" w:cs="Times New Roman"/>
        </w:rPr>
        <w:t xml:space="preserve">Geiger, A., Lenz, P., Stiller, C., &amp; Urtasun, R. (2013). Vision meets robotics: The </w:t>
      </w:r>
      <w:proofErr w:type="spellStart"/>
      <w:r w:rsidRPr="00C93F59">
        <w:rPr>
          <w:rFonts w:ascii="Times New Roman" w:eastAsia="Times New Roman" w:hAnsi="Times New Roman" w:cs="Times New Roman"/>
        </w:rPr>
        <w:t>kitti</w:t>
      </w:r>
      <w:proofErr w:type="spellEnd"/>
      <w:r w:rsidRPr="00C93F59">
        <w:rPr>
          <w:rFonts w:ascii="Times New Roman" w:eastAsia="Times New Roman" w:hAnsi="Times New Roman" w:cs="Times New Roman"/>
        </w:rPr>
        <w:t xml:space="preserve"> dataset. The International Journal of Robotics Research, 32(11), 1231-1237.</w:t>
      </w:r>
    </w:p>
    <w:p w14:paraId="059A9DE1" w14:textId="77777777" w:rsidR="00C93F59" w:rsidRDefault="00C93F59" w:rsidP="00860A8A">
      <w:pPr>
        <w:numPr>
          <w:ilvl w:val="0"/>
          <w:numId w:val="2"/>
        </w:numPr>
        <w:ind w:left="990"/>
        <w:rPr>
          <w:rFonts w:ascii="Times New Roman" w:eastAsia="Times New Roman" w:hAnsi="Times New Roman" w:cs="Times New Roman"/>
        </w:rPr>
      </w:pPr>
      <w:r w:rsidRPr="00C93F59">
        <w:rPr>
          <w:rFonts w:ascii="Times New Roman" w:eastAsia="Times New Roman" w:hAnsi="Times New Roman" w:cs="Times New Roman"/>
        </w:rPr>
        <w:t xml:space="preserve">Yeo, H., Lim, H., Kim, J., Jung, Y., Ye, J., &amp; Han, D. (2022, August). </w:t>
      </w:r>
      <w:proofErr w:type="spellStart"/>
      <w:r w:rsidRPr="00C93F59">
        <w:rPr>
          <w:rFonts w:ascii="Times New Roman" w:eastAsia="Times New Roman" w:hAnsi="Times New Roman" w:cs="Times New Roman"/>
        </w:rPr>
        <w:t>NeuroScaler</w:t>
      </w:r>
      <w:proofErr w:type="spellEnd"/>
      <w:r w:rsidRPr="00C93F59">
        <w:rPr>
          <w:rFonts w:ascii="Times New Roman" w:eastAsia="Times New Roman" w:hAnsi="Times New Roman" w:cs="Times New Roman"/>
        </w:rPr>
        <w:t>: neural video enhancement at scale. In Proceedings of the ACM SIGCOMM 2022 Conference (pp. 795-811).</w:t>
      </w:r>
    </w:p>
    <w:p w14:paraId="2CAA5237" w14:textId="368FACF6" w:rsidR="00A77430" w:rsidRPr="00860A8A" w:rsidRDefault="00C93F59" w:rsidP="00C93F59">
      <w:pPr>
        <w:numPr>
          <w:ilvl w:val="0"/>
          <w:numId w:val="2"/>
        </w:numPr>
        <w:ind w:left="990"/>
        <w:rPr>
          <w:rFonts w:ascii="Times New Roman" w:eastAsia="Times New Roman" w:hAnsi="Times New Roman" w:cs="Times New Roman"/>
        </w:rPr>
      </w:pPr>
      <w:proofErr w:type="spellStart"/>
      <w:r w:rsidRPr="00C93F59">
        <w:rPr>
          <w:rFonts w:ascii="Times New Roman" w:eastAsia="Times New Roman" w:hAnsi="Times New Roman" w:cs="Times New Roman"/>
        </w:rPr>
        <w:t>Valanarasu</w:t>
      </w:r>
      <w:proofErr w:type="spellEnd"/>
      <w:r w:rsidRPr="00C93F59">
        <w:rPr>
          <w:rFonts w:ascii="Times New Roman" w:eastAsia="Times New Roman" w:hAnsi="Times New Roman" w:cs="Times New Roman"/>
        </w:rPr>
        <w:t xml:space="preserve">, J. M. J., Garg, R., Toor, A., Tong, X., Xi, W., </w:t>
      </w:r>
      <w:proofErr w:type="spellStart"/>
      <w:r w:rsidRPr="00C93F59">
        <w:rPr>
          <w:rFonts w:ascii="Times New Roman" w:eastAsia="Times New Roman" w:hAnsi="Times New Roman" w:cs="Times New Roman"/>
        </w:rPr>
        <w:t>Lugmayr</w:t>
      </w:r>
      <w:proofErr w:type="spellEnd"/>
      <w:r w:rsidRPr="00C93F59">
        <w:rPr>
          <w:rFonts w:ascii="Times New Roman" w:eastAsia="Times New Roman" w:hAnsi="Times New Roman" w:cs="Times New Roman"/>
        </w:rPr>
        <w:t xml:space="preserve">, A., ... &amp; </w:t>
      </w:r>
      <w:proofErr w:type="spellStart"/>
      <w:r w:rsidRPr="00C93F59">
        <w:rPr>
          <w:rFonts w:ascii="Times New Roman" w:eastAsia="Times New Roman" w:hAnsi="Times New Roman" w:cs="Times New Roman"/>
        </w:rPr>
        <w:t>Menini</w:t>
      </w:r>
      <w:proofErr w:type="spellEnd"/>
      <w:r w:rsidRPr="00C93F59">
        <w:rPr>
          <w:rFonts w:ascii="Times New Roman" w:eastAsia="Times New Roman" w:hAnsi="Times New Roman" w:cs="Times New Roman"/>
        </w:rPr>
        <w:t xml:space="preserve">, A. (2023). </w:t>
      </w:r>
      <w:proofErr w:type="spellStart"/>
      <w:r w:rsidRPr="00C93F59">
        <w:rPr>
          <w:rFonts w:ascii="Times New Roman" w:eastAsia="Times New Roman" w:hAnsi="Times New Roman" w:cs="Times New Roman"/>
        </w:rPr>
        <w:t>ReBotNet</w:t>
      </w:r>
      <w:proofErr w:type="spellEnd"/>
      <w:r w:rsidRPr="00C93F59">
        <w:rPr>
          <w:rFonts w:ascii="Times New Roman" w:eastAsia="Times New Roman" w:hAnsi="Times New Roman" w:cs="Times New Roman"/>
        </w:rPr>
        <w:t>: Fast Real-time Video Enhancement. arXiv preprint arXiv:2303.13504.</w:t>
      </w:r>
    </w:p>
    <w:sectPr w:rsidR="00A77430" w:rsidRPr="00860A8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D39"/>
    <w:multiLevelType w:val="multilevel"/>
    <w:tmpl w:val="ABCEAE80"/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CA53E6F"/>
    <w:multiLevelType w:val="multilevel"/>
    <w:tmpl w:val="E0560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384533"/>
    <w:multiLevelType w:val="hybridMultilevel"/>
    <w:tmpl w:val="DEBA44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D75050"/>
    <w:multiLevelType w:val="multilevel"/>
    <w:tmpl w:val="B890F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1286722">
    <w:abstractNumId w:val="3"/>
  </w:num>
  <w:num w:numId="2" w16cid:durableId="1407460608">
    <w:abstractNumId w:val="1"/>
  </w:num>
  <w:num w:numId="3" w16cid:durableId="737289977">
    <w:abstractNumId w:val="0"/>
  </w:num>
  <w:num w:numId="4" w16cid:durableId="422606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B0D"/>
    <w:rsid w:val="00075B89"/>
    <w:rsid w:val="000C3493"/>
    <w:rsid w:val="002200F8"/>
    <w:rsid w:val="002700FC"/>
    <w:rsid w:val="002F064B"/>
    <w:rsid w:val="004767F8"/>
    <w:rsid w:val="005D5CF1"/>
    <w:rsid w:val="00635DC8"/>
    <w:rsid w:val="00860A8A"/>
    <w:rsid w:val="008D33E3"/>
    <w:rsid w:val="00A77430"/>
    <w:rsid w:val="00B8558A"/>
    <w:rsid w:val="00C93F59"/>
    <w:rsid w:val="00D44B0D"/>
    <w:rsid w:val="00DA228D"/>
    <w:rsid w:val="00EA6CED"/>
    <w:rsid w:val="00EE5CB7"/>
    <w:rsid w:val="00FD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AA83"/>
  <w15:docId w15:val="{49F9D5F5-6FE4-4A23-8DA8-249926A1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93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0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products/kinect-dk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Samyak Prajapati</cp:lastModifiedBy>
  <cp:revision>9</cp:revision>
  <dcterms:created xsi:type="dcterms:W3CDTF">2023-04-09T08:25:00Z</dcterms:created>
  <dcterms:modified xsi:type="dcterms:W3CDTF">2023-04-10T04:48:00Z</dcterms:modified>
</cp:coreProperties>
</file>