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r4ak6pxbs7iq" w:id="0"/>
      <w:bookmarkEnd w:id="0"/>
      <w:r w:rsidDel="00000000" w:rsidR="00000000" w:rsidRPr="00000000">
        <w:rPr>
          <w:rtl w:val="0"/>
        </w:rPr>
        <w:t xml:space="preserve">Upstage: A Computational Framework for Cross-Play Dramatic Character Transplantation</w:t>
      </w:r>
    </w:p>
    <w:p w:rsidR="00000000" w:rsidDel="00000000" w:rsidP="00000000" w:rsidRDefault="00000000" w:rsidRPr="00000000" w14:paraId="00000002">
      <w:pPr>
        <w:rPr/>
      </w:pPr>
      <w:hyperlink r:id="rId6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270000" cy="1270000"/>
              <wp:effectExtent b="0" l="0" r="0" t="0"/>
              <wp:docPr descr="Python 3.10+" id="2" name="image2.png"/>
              <a:graphic>
                <a:graphicData uri="http://schemas.openxmlformats.org/drawingml/2006/picture">
                  <pic:pic>
                    <pic:nvPicPr>
                      <pic:cNvPr descr="Python 3.10+" id="0" name="image2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00" cy="12700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  <w:t xml:space="preserve"> </w:t>
      </w:r>
      <w:hyperlink r:id="rId8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270000" cy="1270000"/>
              <wp:effectExtent b="0" l="0" r="0" t="0"/>
              <wp:docPr descr="License: MIT" id="3" name="image3.png"/>
              <a:graphic>
                <a:graphicData uri="http://schemas.openxmlformats.org/drawingml/2006/picture">
                  <pic:pic>
                    <pic:nvPicPr>
                      <pic:cNvPr descr="License: MIT" id="0" name="image3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00" cy="12700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  <w:t xml:space="preserve"> </w:t>
      </w:r>
      <w:hyperlink r:id="rId9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270000" cy="1270000"/>
              <wp:effectExtent b="0" l="0" r="0" t="0"/>
              <wp:docPr descr="CLS: Burrows Delta" id="4" name="image4.png"/>
              <a:graphic>
                <a:graphicData uri="http://schemas.openxmlformats.org/drawingml/2006/picture">
                  <pic:pic>
                    <pic:nvPicPr>
                      <pic:cNvPr descr="CLS: Burrows Delta" id="0" name="image4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00" cy="12700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  <w:t xml:space="preserve"> </w:t>
      </w:r>
      <w:hyperlink r:id="rId10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270000" cy="1270000"/>
              <wp:effectExtent b="0" l="0" r="0" t="0"/>
              <wp:docPr descr="DraCor: Shakespeare 37" id="1" name="image1.png"/>
              <a:graphic>
                <a:graphicData uri="http://schemas.openxmlformats.org/drawingml/2006/picture">
                  <pic:pic>
                    <pic:nvPicPr>
                      <pic:cNvPr descr="DraCor: Shakespeare 37" id="0" name="image1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00" cy="12700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Upstage</w:t>
      </w:r>
      <w:r w:rsidDel="00000000" w:rsidR="00000000" w:rsidRPr="00000000">
        <w:rPr>
          <w:rtl w:val="0"/>
        </w:rPr>
        <w:t xml:space="preserve"> is an end-to-end computational framework for dramatic counterfactual simulation. It formalizes and executes </w:t>
      </w:r>
      <w:r w:rsidDel="00000000" w:rsidR="00000000" w:rsidRPr="00000000">
        <w:rPr>
          <w:b w:val="1"/>
          <w:bCs w:val="1"/>
          <w:rtl w:val="0"/>
        </w:rPr>
        <w:t xml:space="preserve">cross-play character transplantation</w:t>
      </w:r>
      <w:r w:rsidDel="00000000" w:rsidR="00000000" w:rsidRPr="00000000">
        <w:rPr>
          <w:rtl w:val="0"/>
        </w:rPr>
        <w:t xml:space="preserve">—the insertion of a dramatic persona from a </w:t>
      </w:r>
      <w:r w:rsidDel="00000000" w:rsidR="00000000" w:rsidRPr="00000000">
        <w:rPr>
          <w:i w:val="1"/>
          <w:iCs w:val="1"/>
          <w:rtl w:val="0"/>
        </w:rPr>
        <w:t xml:space="preserve">donor</w:t>
      </w:r>
      <w:r w:rsidDel="00000000" w:rsidR="00000000" w:rsidRPr="00000000">
        <w:rPr>
          <w:rtl w:val="0"/>
        </w:rPr>
        <w:t xml:space="preserve"> play into the functional actantial slot of a </w:t>
      </w:r>
      <w:r w:rsidDel="00000000" w:rsidR="00000000" w:rsidRPr="00000000">
        <w:rPr>
          <w:i w:val="1"/>
          <w:iCs w:val="1"/>
          <w:rtl w:val="0"/>
        </w:rPr>
        <w:t xml:space="preserve">target</w:t>
      </w:r>
      <w:r w:rsidDel="00000000" w:rsidR="00000000" w:rsidRPr="00000000">
        <w:rPr>
          <w:rtl w:val="0"/>
        </w:rPr>
        <w:t xml:space="preserve"> play (e.g., Sir John Falstaff replacing the Fool in </w:t>
      </w:r>
      <w:r w:rsidDel="00000000" w:rsidR="00000000" w:rsidRPr="00000000">
        <w:rPr>
          <w:i w:val="1"/>
          <w:iCs w:val="1"/>
          <w:rtl w:val="0"/>
        </w:rPr>
        <w:t xml:space="preserve">King Lear</w:t>
      </w:r>
      <w:r w:rsidDel="00000000" w:rsidR="00000000" w:rsidRPr="00000000">
        <w:rPr>
          <w:rtl w:val="0"/>
        </w:rPr>
        <w:t xml:space="preserve">; Iago replacing Polonius in </w:t>
      </w:r>
      <w:r w:rsidDel="00000000" w:rsidR="00000000" w:rsidRPr="00000000">
        <w:rPr>
          <w:i w:val="1"/>
          <w:iCs w:val="1"/>
          <w:rtl w:val="0"/>
        </w:rPr>
        <w:t xml:space="preserve">Hamlet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By integrating co-presence social network graphs from the </w:t>
      </w:r>
      <w:r w:rsidDel="00000000" w:rsidR="00000000" w:rsidRPr="00000000">
        <w:rPr>
          <w:b w:val="1"/>
          <w:bCs w:val="1"/>
          <w:rtl w:val="0"/>
        </w:rPr>
        <w:t xml:space="preserve">Drama Corpora Project (DraCor)</w:t>
      </w:r>
      <w:r w:rsidDel="00000000" w:rsidR="00000000" w:rsidRPr="00000000">
        <w:rPr>
          <w:rtl w:val="0"/>
        </w:rPr>
        <w:t xml:space="preserve">, a </w:t>
      </w:r>
      <w:r w:rsidDel="00000000" w:rsidR="00000000" w:rsidRPr="00000000">
        <w:rPr>
          <w:b w:val="1"/>
          <w:bCs w:val="1"/>
          <w:rtl w:val="0"/>
        </w:rPr>
        <w:t xml:space="preserve">Dual-Stream Epistemic Store</w:t>
      </w:r>
      <w:r w:rsidDel="00000000" w:rsidR="00000000" w:rsidRPr="00000000">
        <w:rPr>
          <w:rtl w:val="0"/>
        </w:rPr>
        <w:t xml:space="preserve">, and an automated </w:t>
      </w:r>
      <w:r w:rsidDel="00000000" w:rsidR="00000000" w:rsidRPr="00000000">
        <w:rPr>
          <w:b w:val="1"/>
          <w:bCs w:val="1"/>
          <w:rtl w:val="0"/>
        </w:rPr>
        <w:t xml:space="preserve">Critic-Reflection Self-Correction Loop</w:t>
      </w:r>
      <w:r w:rsidDel="00000000" w:rsidR="00000000" w:rsidRPr="00000000">
        <w:rPr>
          <w:rtl w:val="0"/>
        </w:rPr>
        <w:t xml:space="preserve">, Upstage resolves the triad of failure modes common to unconstrained LLMs: anachronistic narrative leakage, socio-pragmatic breakdown, and plot-teleological drift.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k6hle32b2suf" w:id="1"/>
      <w:bookmarkEnd w:id="1"/>
      <w:r w:rsidDel="00000000" w:rsidR="00000000" w:rsidRPr="00000000">
        <w:rPr>
          <w:rtl w:val="0"/>
        </w:rPr>
        <w:t xml:space="preserve">Table of Contents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</w:pPr>
      <w:hyperlink w:anchor="key-features">
        <w:r w:rsidDel="00000000" w:rsidR="00000000" w:rsidRPr="00000000">
          <w:rPr>
            <w:color w:val="1155cc"/>
            <w:u w:val="single"/>
            <w:rtl w:val="0"/>
          </w:rPr>
          <w:t xml:space="preserve">Key Features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</w:pPr>
      <w:hyperlink w:anchor="system-architecture">
        <w:r w:rsidDel="00000000" w:rsidR="00000000" w:rsidRPr="00000000">
          <w:rPr>
            <w:color w:val="1155cc"/>
            <w:u w:val="single"/>
            <w:rtl w:val="0"/>
          </w:rPr>
          <w:t xml:space="preserve">System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</w:pPr>
      <w:hyperlink w:anchor="canonical-benchmarks">
        <w:r w:rsidDel="00000000" w:rsidR="00000000" w:rsidRPr="00000000">
          <w:rPr>
            <w:color w:val="1155cc"/>
            <w:u w:val="single"/>
            <w:rtl w:val="0"/>
          </w:rPr>
          <w:t xml:space="preserve">Canonical Benchmarks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</w:pPr>
      <w:hyperlink w:anchor="quantitative-performance">
        <w:r w:rsidDel="00000000" w:rsidR="00000000" w:rsidRPr="00000000">
          <w:rPr>
            <w:color w:val="1155cc"/>
            <w:u w:val="single"/>
            <w:rtl w:val="0"/>
          </w:rPr>
          <w:t xml:space="preserve">Quantitative Performance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</w:pPr>
      <w:hyperlink w:anchor="repository-structure">
        <w:r w:rsidDel="00000000" w:rsidR="00000000" w:rsidRPr="00000000">
          <w:rPr>
            <w:color w:val="1155cc"/>
            <w:u w:val="single"/>
            <w:rtl w:val="0"/>
          </w:rPr>
          <w:t xml:space="preserve">Repository Structure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</w:pPr>
      <w:hyperlink w:anchor="quick-start">
        <w:r w:rsidDel="00000000" w:rsidR="00000000" w:rsidRPr="00000000">
          <w:rPr>
            <w:color w:val="1155cc"/>
            <w:u w:val="single"/>
            <w:rtl w:val="0"/>
          </w:rPr>
          <w:t xml:space="preserve">Quick Start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ind w:left="1440" w:hanging="360"/>
      </w:pPr>
      <w:hyperlink w:anchor="prerequisites">
        <w:r w:rsidDel="00000000" w:rsidR="00000000" w:rsidRPr="00000000">
          <w:rPr>
            <w:color w:val="1155cc"/>
            <w:u w:val="single"/>
            <w:rtl w:val="0"/>
          </w:rPr>
          <w:t xml:space="preserve">Prerequisites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ind w:left="1440" w:hanging="360"/>
      </w:pPr>
      <w:hyperlink w:anchor="running-tests--benchmarks">
        <w:r w:rsidDel="00000000" w:rsidR="00000000" w:rsidRPr="00000000">
          <w:rPr>
            <w:color w:val="1155cc"/>
            <w:u w:val="single"/>
            <w:rtl w:val="0"/>
          </w:rPr>
          <w:t xml:space="preserve">Running Tests &amp; Benchmarks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ind w:left="1440" w:hanging="360"/>
      </w:pPr>
      <w:hyperlink w:anchor="launching-the-interactive-local-ui">
        <w:r w:rsidDel="00000000" w:rsidR="00000000" w:rsidRPr="00000000">
          <w:rPr>
            <w:color w:val="1155cc"/>
            <w:u w:val="single"/>
            <w:rtl w:val="0"/>
          </w:rPr>
          <w:t xml:space="preserve">Launching the Interactive Local UI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hyperlink w:anchor="rest-api-reference">
        <w:r w:rsidDel="00000000" w:rsidR="00000000" w:rsidRPr="00000000">
          <w:rPr>
            <w:color w:val="1155cc"/>
            <w:u w:val="single"/>
            <w:rtl w:val="0"/>
          </w:rPr>
          <w:t xml:space="preserve">REST API Reference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hyperlink w:anchor="citation">
        <w:r w:rsidDel="00000000" w:rsidR="00000000" w:rsidRPr="00000000">
          <w:rPr>
            <w:color w:val="1155cc"/>
            <w:u w:val="single"/>
            <w:rtl w:val="0"/>
          </w:rPr>
          <w:t xml:space="preserve">Citation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hyperlink w:anchor="license">
        <w:r w:rsidDel="00000000" w:rsidR="00000000" w:rsidRPr="00000000">
          <w:rPr>
            <w:color w:val="1155cc"/>
            <w:u w:val="single"/>
            <w:rtl w:val="0"/>
          </w:rPr>
          <w:t xml:space="preserve">License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9h8873z4l3ur" w:id="2"/>
      <w:bookmarkEnd w:id="2"/>
      <w:r w:rsidDel="00000000" w:rsidR="00000000" w:rsidRPr="00000000">
        <w:rPr>
          <w:rtl w:val="0"/>
        </w:rPr>
        <w:t xml:space="preserve">Key Features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DraCor 37-Play Shakespearean Knowledge Base: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Parsed TEI-XML representations of all 37 canonical Shakespeare plays into an optimized SQLite database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dracor_shakespeare.db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B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Computes social network metrics (degree centrality, betweenness centrality, clustering coefficients, graph density) across all dramatis personae.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Actantial Topology &amp; Role Matching: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Evaluates role compatibility using the Centrality Gap metric: $\Delta_{\text{centrality}}(D, T) = |C_D - C_T| + \lambda |B_D - B_T|$.</w:t>
      </w:r>
    </w:p>
    <w:p w:rsidR="00000000" w:rsidDel="00000000" w:rsidP="00000000" w:rsidRDefault="00000000" w:rsidRPr="00000000" w14:paraId="0000001E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Prevents structural misalignment by matching characters with comparable narrative agency and social connectivity.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Dual-Stream Epistemic Isolation: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Separates character voice (morpho-syntactic habits, tropes, idiolect) from episodic target knowledge.</w:t>
      </w:r>
    </w:p>
    <w:p w:rsidR="00000000" w:rsidDel="00000000" w:rsidP="00000000" w:rsidRDefault="00000000" w:rsidRPr="00000000" w14:paraId="00000021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Compiles dynamic negative ban-lists $\mathcal{B}</w:t>
      </w:r>
      <w:r w:rsidDel="00000000" w:rsidR="00000000" w:rsidRPr="00000000">
        <w:rPr>
          <w:i w:val="1"/>
          <w:iCs w:val="1"/>
          <w:rtl w:val="0"/>
        </w:rPr>
        <w:t xml:space="preserve">D$ to enforce strict zero-leakage constraints ($L</w:t>
      </w:r>
      <w:r w:rsidDel="00000000" w:rsidR="00000000" w:rsidRPr="00000000">
        <w:rPr>
          <w:rtl w:val="0"/>
        </w:rPr>
        <w:t xml:space="preserve">{\text{leak}} = 0.0%$).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4-Tier Prompt Envelope: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System Persona $\rightarrow$ Epistemic Isolation $\rightarrow$ Preceding Context $\rightarrow$ Actantial Directives.</w:t>
      </w:r>
    </w:p>
    <w:p w:rsidR="00000000" w:rsidDel="00000000" w:rsidP="00000000" w:rsidRDefault="00000000" w:rsidRPr="00000000" w14:paraId="00000024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Enforces Early Modern English (EME) sociolinguistic $T/V$ address rules (</w:t>
      </w:r>
      <w:r w:rsidDel="00000000" w:rsidR="00000000" w:rsidRPr="00000000">
        <w:rPr>
          <w:i w:val="1"/>
          <w:iCs w:val="1"/>
          <w:rtl w:val="0"/>
        </w:rPr>
        <w:t xml:space="preserve">thou/thee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i w:val="1"/>
          <w:iCs w:val="1"/>
          <w:rtl w:val="0"/>
        </w:rPr>
        <w:t xml:space="preserve">you/ye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Automated Critic-Reflection Loop: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Multi-turn self-correction auditing draft utterances for narrative leakage, post-1616 anachronisms, and pronominal hierarchy violations before final emission.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Zero-Dependency Local Architecture: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Built entirely using Python's standard library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http.server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urllib</w:t>
      </w:r>
      <w:r w:rsidDel="00000000" w:rsidR="00000000" w:rsidRPr="00000000">
        <w:rPr>
          <w:rtl w:val="0"/>
        </w:rPr>
        <w:t xml:space="preserve">). No complex pip/npm dependency chains required.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llg0gxsob3pe" w:id="3"/>
      <w:bookmarkEnd w:id="3"/>
      <w:r w:rsidDel="00000000" w:rsidR="00000000" w:rsidRPr="00000000">
        <w:rPr>
          <w:rtl w:val="0"/>
        </w:rPr>
        <w:t xml:space="preserve">System Architecture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          +----------------------------------------------+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            |         DONOR PLAY &amp; TARGET PLAY             |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          +----------------------+-----------------------+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               [DraCor Social Network Matching]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               (Centrality Gap: |C_D - C_T| &lt;= 0.15)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                                   v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+----------------------------------------+----------------------------------------+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|   STREAM A: VOICE &amp; IDIOLECT           |   STREAM B: EPISTEMIC CONTEXT          |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|   - Morpho-syntactic profile           |   - Dynamic knowledge base (K_T, &lt;= s) |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|   - Early Modern English markers       |   - Negative entity ban-list (B_D)     |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|   - Rhetorical tropes &amp; idioms         |   - Scene actantial goal A(T, s)       |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+----------------------------------------+----------------------------------------+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                                   v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                 +-------------------------------+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                 |    4-TIER PROMPT ENVELOPE     |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                   |   (Persona / Bounds / Ctx)    |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               +---------------+---------------+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                                 v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                 +-------------------------------+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                   |     GENERATIVE INFERENCE      |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                   +---------------+---------------+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                    +----------------+---------------+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                  |                                |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           [Pass Audit?]                     [Violations?]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                    |                                |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                    v                                v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           [Final Utterance]             [Critic-Reflection Loop]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           (Burrows' Delta &lt;= 0.8)       - Epistemic Leakage Ban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           (Leakage = 0.0%)              - Anachronism Filter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                                         - Sociolinguistic T/V Check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rPr/>
      </w:pPr>
      <w:bookmarkStart w:colFirst="0" w:colLast="0" w:name="_tle80ngoe36o" w:id="4"/>
      <w:bookmarkEnd w:id="4"/>
      <w:r w:rsidDel="00000000" w:rsidR="00000000" w:rsidRPr="00000000">
        <w:rPr>
          <w:rtl w:val="0"/>
        </w:rPr>
        <w:t xml:space="preserve">Canonical Benchmarks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The framework evaluates four canonical cross-genre transplantation pairs: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Donor Character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Donor Play (Genre)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 Slot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 Play (Genre)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 Theatrical Tension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Sir John Falstaff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Henry IV, Part 1</w:t>
            </w:r>
            <w:r w:rsidDel="00000000" w:rsidR="00000000" w:rsidRPr="00000000">
              <w:rPr>
                <w:rtl w:val="0"/>
              </w:rPr>
              <w:t xml:space="preserve"> (History)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The Fool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King Lear</w:t>
            </w:r>
            <w:r w:rsidDel="00000000" w:rsidR="00000000" w:rsidRPr="00000000">
              <w:rPr>
                <w:rtl w:val="0"/>
              </w:rPr>
              <w:t xml:space="preserve"> (Tragedy)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Bodily survival philosophy vs. tragic fatalism on the stormy heath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Othello</w:t>
            </w:r>
            <w:r w:rsidDel="00000000" w:rsidR="00000000" w:rsidRPr="00000000">
              <w:rPr>
                <w:rtl w:val="0"/>
              </w:rPr>
              <w:t xml:space="preserve"> (Tragedy)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Polonius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Hamlet</w:t>
            </w:r>
            <w:r w:rsidDel="00000000" w:rsidR="00000000" w:rsidRPr="00000000">
              <w:rPr>
                <w:rtl w:val="0"/>
              </w:rPr>
              <w:t xml:space="preserve"> (Tragedy)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Malicious Machiavellianism vs. garrulous, pedantic court counsel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Viola (Cesario)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Twelfth Night</w:t>
            </w:r>
            <w:r w:rsidDel="00000000" w:rsidR="00000000" w:rsidRPr="00000000">
              <w:rPr>
                <w:rtl w:val="0"/>
              </w:rPr>
              <w:t xml:space="preserve"> (Comedy)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Portia (Balthazar)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The Merchant of Venice</w:t>
            </w:r>
            <w:r w:rsidDel="00000000" w:rsidR="00000000" w:rsidRPr="00000000">
              <w:rPr>
                <w:rtl w:val="0"/>
              </w:rPr>
              <w:t xml:space="preserve"> (Comedy)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Romantic empathy &amp; vulnerability vs. forensic legal eloquence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Lady Macbeth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Macbeth</w:t>
            </w:r>
            <w:r w:rsidDel="00000000" w:rsidR="00000000" w:rsidRPr="00000000">
              <w:rPr>
                <w:rtl w:val="0"/>
              </w:rPr>
              <w:t xml:space="preserve"> (Tragedy)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Lady Anne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Richard III</w:t>
            </w:r>
            <w:r w:rsidDel="00000000" w:rsidR="00000000" w:rsidRPr="00000000">
              <w:rPr>
                <w:rtl w:val="0"/>
              </w:rPr>
              <w:t xml:space="preserve"> (History)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Ruthless ambition &amp; psychological fury vs. vulnerable grief in wooing scene</w:t>
            </w:r>
          </w:p>
        </w:tc>
      </w:tr>
    </w:tbl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rPr/>
      </w:pPr>
      <w:bookmarkStart w:colFirst="0" w:colLast="0" w:name="_d5fhrp1gj3id" w:id="5"/>
      <w:bookmarkEnd w:id="5"/>
      <w:r w:rsidDel="00000000" w:rsidR="00000000" w:rsidRPr="00000000">
        <w:rPr>
          <w:rtl w:val="0"/>
        </w:rPr>
        <w:t xml:space="preserve">Quantitative Performance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Across 37 canonical plays evaluated against Burrows' Delta ($\Delta$), Cosine Delta, and Epistemic Leakage ($L_{\text{leak}}$):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+---------------------------------------------------------------------------------+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| Benchmark Pair               | Pipeline Mode        | Burrows' Delta | Leakage  |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| Falstaff -&gt; The Fool         | Baseline (Zero-Shot) | 1.42           | 42.5%    |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| (1H4 -&gt; Lear 1.4, 3.2)       | Upstage Full         | 0.68 (-52.1%)  | 0.0%     |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| Iago -&gt; Polonius             | Baseline (Zero-Shot) | 1.38           | 38.0%    |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| (Othello -&gt; Hamlet 2.2)      | Upstage Full         | 0.74 (-46.4%)  | 0.0%     |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| Viola -&gt; Portia              | Baseline (Zero-Shot) | 1.35           | 31.0%    |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| (Twelfth Night -&gt; MV 4.1)    | Upstage Full         | 0.71 (-47.4%)  | 0.0%     |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| Lady Macbeth -&gt; Lady Anne    | Baseline (Zero-Shot) | 1.45           | 45.2%    |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| (Macbeth -&gt; R3 1.2)          | Upstage Full         | 0.79 (-45.5%)  | 0.0%     |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Stylometric Proximity:</w:t>
      </w:r>
      <w:r w:rsidDel="00000000" w:rsidR="00000000" w:rsidRPr="00000000">
        <w:rPr>
          <w:rtl w:val="0"/>
        </w:rPr>
        <w:t xml:space="preserve"> Average Burrows' Delta dropped from </w:t>
      </w:r>
      <w:r w:rsidDel="00000000" w:rsidR="00000000" w:rsidRPr="00000000">
        <w:rPr>
          <w:b w:val="1"/>
          <w:bCs w:val="1"/>
          <w:rtl w:val="0"/>
        </w:rPr>
        <w:t xml:space="preserve">1.40</w:t>
      </w:r>
      <w:r w:rsidDel="00000000" w:rsidR="00000000" w:rsidRPr="00000000">
        <w:rPr>
          <w:rtl w:val="0"/>
        </w:rPr>
        <w:t xml:space="preserve"> down to </w:t>
      </w:r>
      <w:r w:rsidDel="00000000" w:rsidR="00000000" w:rsidRPr="00000000">
        <w:rPr>
          <w:b w:val="1"/>
          <w:bCs w:val="1"/>
          <w:rtl w:val="0"/>
        </w:rPr>
        <w:t xml:space="preserve">0.73</w:t>
      </w:r>
      <w:r w:rsidDel="00000000" w:rsidR="00000000" w:rsidRPr="00000000">
        <w:rPr>
          <w:rtl w:val="0"/>
        </w:rPr>
        <w:t xml:space="preserve"> ($48.2%$ improvement), well within the recognized authorial threshold ($\Delta \le 0.80$).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Epistemic Integrity:</w:t>
      </w:r>
      <w:r w:rsidDel="00000000" w:rsidR="00000000" w:rsidRPr="00000000">
        <w:rPr>
          <w:rtl w:val="0"/>
        </w:rPr>
        <w:t xml:space="preserve"> Narrative leakage was reduced from </w:t>
      </w:r>
      <w:r w:rsidDel="00000000" w:rsidR="00000000" w:rsidRPr="00000000">
        <w:rPr>
          <w:b w:val="1"/>
          <w:bCs w:val="1"/>
          <w:rtl w:val="0"/>
        </w:rPr>
        <w:t xml:space="preserve">$39.2%$</w:t>
      </w:r>
      <w:r w:rsidDel="00000000" w:rsidR="00000000" w:rsidRPr="00000000">
        <w:rPr>
          <w:rtl w:val="0"/>
        </w:rPr>
        <w:t xml:space="preserve"> to </w:t>
      </w:r>
      <w:r w:rsidDel="00000000" w:rsidR="00000000" w:rsidRPr="00000000">
        <w:rPr>
          <w:b w:val="1"/>
          <w:bCs w:val="1"/>
          <w:rtl w:val="0"/>
        </w:rPr>
        <w:t xml:space="preserve">$0.0%$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Lexical Accuracy:</w:t>
      </w:r>
      <w:r w:rsidDel="00000000" w:rsidR="00000000" w:rsidRPr="00000000">
        <w:rPr>
          <w:rtl w:val="0"/>
        </w:rPr>
        <w:t xml:space="preserve"> Anachronisms were reduced from $3.0 / \text{1k words}$ to $0.0 / \text{1k words}$.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rPr/>
      </w:pPr>
      <w:bookmarkStart w:colFirst="0" w:colLast="0" w:name="_vslyhphogkou" w:id="6"/>
      <w:bookmarkEnd w:id="6"/>
      <w:r w:rsidDel="00000000" w:rsidR="00000000" w:rsidRPr="00000000">
        <w:rPr>
          <w:rtl w:val="0"/>
        </w:rPr>
        <w:t xml:space="preserve">Repository Structure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upstage/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├── README.md                      # Primary project documentation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├── AGENT.md                       # Autonomous agent &amp; LLM developer guide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├── dracor_shakespeare.db          # SQLite database containing 37 canonical plays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├── canonical_corpus_builder.py    # DraCor TEI-XML parser &amp; database compiler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├── tei_dracor_parser.py           # Stage event &amp; character network extractor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├── network_analysis.py            # Degree &amp; betweenness centrality calculator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├── epistemic_store.py             # Dual-Stream Epistemic Store &amp; negative ban-lists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├── knowledge_masking.py           # Leakage detection &amp; entity masking utilities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├── actantial_matcher.py           # Cross-play role recommendation engine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├── stylometrics.py                # Burrows' Delta, Cosine Delta &amp; T/V pronoun auditor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├── dialogue_generator.py          # 4-tier prompt envelope compiler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├── critic_reflection.py           # Self-healing reflection &amp; critique loop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├── pipeline.py                    # End-to-end transplantation orchestrator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├── run_full_evaluation.py         # Comprehensive evaluation suite across all 4 benchmarks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├── upstage_ui.py                  # Standalone local HTTP server with REST API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├── upstage_web_app.html           # Portable single-page interactive UI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├── test_ui_server.py              # Automated unit tests for UI server &amp; API endpoints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├── generate_latex_figures.py      # Publication vector plot generation script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└── latex_manuscript/              # Camera-ready conference manuscript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    ├── main.tex                   # Two-column publication source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  ├── main.pdf                   # Compiled 5-page research paper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    ├── upstage_references.bib     # Formatted BibTeX bibliography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└── figures/                   # High-resolution publication figures (PNG/PDF)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rPr/>
      </w:pPr>
      <w:bookmarkStart w:colFirst="0" w:colLast="0" w:name="_6p4im3gt46i4" w:id="7"/>
      <w:bookmarkEnd w:id="7"/>
      <w:r w:rsidDel="00000000" w:rsidR="00000000" w:rsidRPr="00000000">
        <w:rPr>
          <w:rtl w:val="0"/>
        </w:rPr>
        <w:t xml:space="preserve">Quick Start</w:t>
      </w:r>
    </w:p>
    <w:p w:rsidR="00000000" w:rsidDel="00000000" w:rsidP="00000000" w:rsidRDefault="00000000" w:rsidRPr="00000000" w14:paraId="000000EF">
      <w:pPr>
        <w:pStyle w:val="Heading3"/>
        <w:rPr/>
      </w:pPr>
      <w:bookmarkStart w:colFirst="0" w:colLast="0" w:name="_snjdw166pyqk" w:id="8"/>
      <w:bookmarkEnd w:id="8"/>
      <w:r w:rsidDel="00000000" w:rsidR="00000000" w:rsidRPr="00000000">
        <w:rPr>
          <w:rtl w:val="0"/>
        </w:rPr>
        <w:t xml:space="preserve">Prerequisites</w:t>
      </w:r>
    </w:p>
    <w:p w:rsidR="00000000" w:rsidDel="00000000" w:rsidP="00000000" w:rsidRDefault="00000000" w:rsidRPr="00000000" w14:paraId="000000F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Python 3.10 or higher.</w:t>
      </w:r>
    </w:p>
    <w:p w:rsidR="00000000" w:rsidDel="00000000" w:rsidP="00000000" w:rsidRDefault="00000000" w:rsidRPr="00000000" w14:paraId="000000F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Standard libraries: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http.server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Optional (for figure generation):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matplotlib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numpy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pypdf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3">
      <w:pPr>
        <w:pStyle w:val="Heading3"/>
        <w:rPr/>
      </w:pPr>
      <w:bookmarkStart w:colFirst="0" w:colLast="0" w:name="_a5kckt452cug" w:id="9"/>
      <w:bookmarkEnd w:id="9"/>
      <w:r w:rsidDel="00000000" w:rsidR="00000000" w:rsidRPr="00000000">
        <w:rPr>
          <w:rtl w:val="0"/>
        </w:rPr>
        <w:t xml:space="preserve">Running Tests &amp; Benchmarks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Run the complete evaluation suite across all four canonical benchmarks: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python3 run_full_evaluation.py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Run unit tests for individual components: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python3 test_actantial_matcher.py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python3 test_epistemic_store.py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python3 test_stylometrics.py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python3 test_ui_server.py</w:t>
      </w:r>
    </w:p>
    <w:p w:rsidR="00000000" w:rsidDel="00000000" w:rsidP="00000000" w:rsidRDefault="00000000" w:rsidRPr="00000000" w14:paraId="00000101">
      <w:pPr>
        <w:pStyle w:val="Heading3"/>
        <w:rPr/>
      </w:pPr>
      <w:bookmarkStart w:colFirst="0" w:colLast="0" w:name="_ilu224ngfjct" w:id="10"/>
      <w:bookmarkEnd w:id="10"/>
      <w:r w:rsidDel="00000000" w:rsidR="00000000" w:rsidRPr="00000000">
        <w:rPr>
          <w:rtl w:val="0"/>
        </w:rPr>
        <w:t xml:space="preserve">Launching the Interactive Local UI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You can interact with the virtual theater studio in two modes: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Dynamic Local Server (REST API + UI):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left="720" w:firstLine="0"/>
        <w:rPr/>
      </w:pPr>
      <w:r w:rsidDel="00000000" w:rsidR="00000000" w:rsidRPr="00000000">
        <w:rPr>
          <w:rtl w:val="0"/>
        </w:rPr>
        <w:t xml:space="preserve">python3 upstage_ui.py --port 8080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ind w:left="720" w:firstLine="0"/>
        <w:rPr/>
      </w:pPr>
      <w:r w:rsidDel="00000000" w:rsidR="00000000" w:rsidRPr="00000000">
        <w:rPr>
          <w:rtl w:val="0"/>
        </w:rPr>
        <w:t xml:space="preserve">Open your browser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http://localhost:8080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Portable Offline Web Application:</w:t>
      </w:r>
      <w:r w:rsidDel="00000000" w:rsidR="00000000" w:rsidRPr="00000000">
        <w:rPr>
          <w:rtl w:val="0"/>
        </w:rPr>
        <w:t xml:space="preserve"> Open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upstage_web_app.html</w:t>
      </w:r>
      <w:r w:rsidDel="00000000" w:rsidR="00000000" w:rsidRPr="00000000">
        <w:rPr>
          <w:rtl w:val="0"/>
        </w:rPr>
        <w:t xml:space="preserve"> directly in any web browser without starting a server: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ind w:left="720" w:firstLine="0"/>
        <w:rPr/>
      </w:pPr>
      <w:r w:rsidDel="00000000" w:rsidR="00000000" w:rsidRPr="00000000">
        <w:rPr>
          <w:rtl w:val="0"/>
        </w:rPr>
        <w:t xml:space="preserve">open upstage_web_app.html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2"/>
        <w:rPr/>
      </w:pPr>
      <w:bookmarkStart w:colFirst="0" w:colLast="0" w:name="_wor155nrbojd" w:id="11"/>
      <w:bookmarkEnd w:id="11"/>
      <w:r w:rsidDel="00000000" w:rsidR="00000000" w:rsidRPr="00000000">
        <w:rPr>
          <w:rtl w:val="0"/>
        </w:rPr>
        <w:t xml:space="preserve">REST API Reference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The local server exposes the following endpoints: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Parameters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Serves the interactive Single-Page Application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/api/benchmarks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Returns scenes, counterfactual turns, and CLS audits for all 4 benchmarks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/api/plays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Lists all 37 canonical plays with word counts, speaker counts, and network metrics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/api/recommender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donor=NAME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Recommends top target roles minimizing $\Delta_{\text{centrality}}$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/api/simulate_turn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JSON payload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Executes prompt compilation, LLM simulation, and CLS auditing</w:t>
            </w:r>
          </w:p>
        </w:tc>
      </w:tr>
    </w:tbl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rPr/>
      </w:pPr>
      <w:bookmarkStart w:colFirst="0" w:colLast="0" w:name="_ac8h3vgd5hg5" w:id="12"/>
      <w:bookmarkEnd w:id="12"/>
      <w:r w:rsidDel="00000000" w:rsidR="00000000" w:rsidRPr="00000000">
        <w:rPr>
          <w:rtl w:val="0"/>
        </w:rPr>
        <w:t xml:space="preserve">Citation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If you use Upstage in your research, please cite our conference manuscript: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@inproceedings{khan2026upstage,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  title={Upstage: A Computational Framework for Cross-Play Dramatic Character Transplantation via Large Language Models and Computational Literary Studies},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  author={Khan, Shaji},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  author_address={Assistant Professor, Department of English, Govt SPMR College of Commerce Jammu, J&amp;K, India},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  email={research@shaji.in},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  url={https://shaji.in/research},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  year={2026},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  booktitle={Proceedings of the Digital Humanities Conference (DH 2026) / Computational Literary Studies},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  note={Preprint available in project repository}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rPr/>
      </w:pPr>
      <w:bookmarkStart w:colFirst="0" w:colLast="0" w:name="_g9zphmsnulw8" w:id="13"/>
      <w:bookmarkEnd w:id="13"/>
      <w:r w:rsidDel="00000000" w:rsidR="00000000" w:rsidRPr="00000000">
        <w:rPr>
          <w:rtl w:val="0"/>
        </w:rPr>
        <w:t xml:space="preserve">License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This project is licensed under the MIT License. See the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LICENSE</w:t>
        </w:r>
      </w:hyperlink>
      <w:r w:rsidDel="00000000" w:rsidR="00000000" w:rsidRPr="00000000">
        <w:rPr>
          <w:rtl w:val="0"/>
        </w:rPr>
        <w:t xml:space="preserve"> file for details.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iterat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terata" w:cs="Literata" w:eastAsia="Literata" w:hAnsi="Literata"/>
        <w:sz w:val="24"/>
        <w:szCs w:val="24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license" TargetMode="External"/><Relationship Id="rId10" Type="http://schemas.openxmlformats.org/officeDocument/2006/relationships/hyperlink" Target="https://dracor.org/shake" TargetMode="External"/><Relationship Id="rId9" Type="http://schemas.openxmlformats.org/officeDocument/2006/relationships/hyperlink" Target="https://dracor.org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python.org/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opensource.org/licenses/M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terata-regular.ttf"/><Relationship Id="rId2" Type="http://schemas.openxmlformats.org/officeDocument/2006/relationships/font" Target="fonts/Literata-bold.ttf"/><Relationship Id="rId3" Type="http://schemas.openxmlformats.org/officeDocument/2006/relationships/font" Target="fonts/Literata-italic.ttf"/><Relationship Id="rId4" Type="http://schemas.openxmlformats.org/officeDocument/2006/relationships/font" Target="fonts/Literat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