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convincing a whole company to adhere to cybersecurity guidelines and hints requires a multifaceted technique encompassing training, communication, management, and technology. First and foremost, cybersecurity control specialists must teach all personnel about the risks related to cyber threats and the potential results for the business enterprise. Utilizing real-world examples and case studies can illustrate the effect of cyber threats on similar corporations, assisting in underscoring the urgency of cybersecurity measures. Moreover, it's critical to spotlight any regulatory requirements or industry standards mandating adherence to cybersecurity recommendations. By emphasizing the legal repercussions, fines, or harm to the agency's reputation that could result from non-compliance, employees gain a deeper understanding of the significance of cybersecurity protocols.</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Tailoring training initiatives to various departments and stages in the organization is critical. Customized training periods should deal with the precise cybersecurity challenges and duties every worker faces. Promoting a culture of protection where cybersecurity is visible is paramount as everyone's obligation (Marotta &amp; Madnick, 2021). Employees should be encouraged to record suspicious activities and vulnerabilities without fear of retribution. For instance, to ensure a culture of security within organizations, simulated phishing exercises can be adopted, including sharing phishing emails with workers and gauging their sustainability to phishing threats. Leadership should lead by example, actively collaborating in training programs, following safety protocols, and assisting tasks to reinforce the business enterprise's security posture. A transparent verbal exchange of cybersecurity regulations, approaches, and suggestions is vital. These must be effortlessly understandable and on hand to all employees, with regular updates reflecting emerging threats and acceptable practices.</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incentive programs can motivate personnel to comply with cybersecurity protocols. Recognizing and rewarding individuals or groups that adhere to security recommendations fosters an incredible protection culture. Investing in cybersecurity technologies such as firewalls, encryption tools, and worker monitoring software programs reinforces security features and mitigates risks. Regular cybersecurity checks and audits are vital to identify weaknesses and compliance ranges and track development (Srinivas et al., 2019). Findings from these evaluations should be used to refine protection regulations and prioritize improvement areas. Additionally, fostering collaboration and communication between exceptional departments, IT groups, and cybersecurity specialists helps identify and mitigate protection vulnerabilities efficiently. In conclusion, adopting a holistic method combining training, leadership, communication, technology, and ongoing evaluation is essential to convince a corporation to follow cybersecurity policies and guidelines. By fostering a lifestyle of safety wherein cybersecurity is ingrained in the organization's culture, groups can better shield themselves against evolving cyber threats.</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thinking about cybersecurity on a global scale, it is obvious that while many companies try to secure their data and information, a few prioritize a comprehensive "Good Governance" method. Good governance in cybersecurity includes imposing guidelines, procedures, and practices that ensure the confidentiality, integrity, and availability of information property while aligning with regulatory and industry requirements. In my view, a number of the most important elements of suitable governance that consist of cybersecurity are:</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Fonts w:ascii="Times New Roman" w:cs="Times New Roman" w:eastAsia="Times New Roman" w:hAnsi="Times New Roman"/>
          <w:sz w:val="24"/>
          <w:szCs w:val="24"/>
          <w:rtl w:val="0"/>
        </w:rPr>
        <w:t xml:space="preserve"> Effective governance requires a robust risk management framework that identifies, assesses, and mitigates cybersecurity risks. This entails accomplishing everyday danger tests, prioritizing threats primarily based on their potential effect, and imposing appropriate controls to reduce those dangers. For instance, a financial organization may identify the risk of records breaches due to previous software and mitigate it by imposing continuous software updates and patches.</w:t>
      </w: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Regulations</w:t>
      </w:r>
      <w:r w:rsidDel="00000000" w:rsidR="00000000" w:rsidRPr="00000000">
        <w:rPr>
          <w:rFonts w:ascii="Times New Roman" w:cs="Times New Roman" w:eastAsia="Times New Roman" w:hAnsi="Times New Roman"/>
          <w:sz w:val="24"/>
          <w:szCs w:val="24"/>
          <w:rtl w:val="0"/>
        </w:rPr>
        <w:t xml:space="preserve">: Adhering to applicable laws, rules, and enterprise requirements is crucial for excellent governance. Companies should stay informed about evolving regulatory requirements and ensure their cybersecurity measures align with those mandates (Harris &amp; Martin, 2019). For instance, the General Data Protection Regulation (GDPR) within the European Union mandates stringent facts and safety measures, requiring agencies to enforce sturdy cybersecurity controls to protect private records.</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Board Oversight and Leadership</w:t>
      </w:r>
      <w:r w:rsidDel="00000000" w:rsidR="00000000" w:rsidRPr="00000000">
        <w:rPr>
          <w:rFonts w:ascii="Times New Roman" w:cs="Times New Roman" w:eastAsia="Times New Roman" w:hAnsi="Times New Roman"/>
          <w:sz w:val="24"/>
          <w:szCs w:val="24"/>
          <w:rtl w:val="0"/>
        </w:rPr>
        <w:t xml:space="preserve">: Boards of administrators play a critical function in cybersecurity governance by offering oversight, placing strategic direction, and allocating assets to cybersecurity initiatives. Board participants want to understand the cybersecurity risks dealing with the enterprise and actively interact with management to cope with these risks. A lack of board oversight can bring about insufficient investment in cybersecurity measures, leaving the organization susceptible to cyber threats.</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Cybersecurity Awareness and Training</w:t>
      </w:r>
      <w:r w:rsidDel="00000000" w:rsidR="00000000" w:rsidRPr="00000000">
        <w:rPr>
          <w:rFonts w:ascii="Times New Roman" w:cs="Times New Roman" w:eastAsia="Times New Roman" w:hAnsi="Times New Roman"/>
          <w:sz w:val="24"/>
          <w:szCs w:val="24"/>
          <w:rtl w:val="0"/>
        </w:rPr>
        <w:t xml:space="preserve">: Educating personnel about cybersecurity risks and effective practices is critical for precise governance. Employees are often the weakest hyperlink in an employer's cybersecurity defenses, making them prone to phishing assaults, social engineering procedures, and cyber threats  (Renaud et al., 2018). Regular cybersecurity focus education helps empower personnel to apprehend and respond accurately to capability safety threats. For instance, engaging in simulated phishing exercises can boost consciousness and take a look at personnel's potential to identify phishing tries.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Response and Recovery:</w:t>
      </w:r>
      <w:r w:rsidDel="00000000" w:rsidR="00000000" w:rsidRPr="00000000">
        <w:rPr>
          <w:rFonts w:ascii="Times New Roman" w:cs="Times New Roman" w:eastAsia="Times New Roman" w:hAnsi="Times New Roman"/>
          <w:sz w:val="24"/>
          <w:szCs w:val="24"/>
          <w:rtl w:val="0"/>
        </w:rPr>
        <w:t xml:space="preserve"> Despite nice efforts to prevent cyber incidents, corporations should be prepared to reply correctly when breaches arise. A properly defined incident response plan outlines the steps to take during a cyber incident, such as containment, investigation, remediation, and recovery. Regular testing and updating the incident response plan ensure the readiness to handle cyber incidents effectively.</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Competing interests in appropriate governance in cybersecurity can also arise from different factors, including budget constraints, competing business priorities, and resistance to alternatives. For example, companies can prioritize sales-producing projects over cybersecurity investments, especially if they understand cybersecurity as a cost instead of a strategic precedence. Additionally, competing interests between different departments inside a company, which include IT, finance, and operations, may also avert powerful collaboration and alignment in cybersecurity governance efforts.</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0">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Harris, M. A., &amp; Martin, R. (2019). Promoting cybersecurity compliance. In </w:t>
      </w:r>
      <w:r w:rsidDel="00000000" w:rsidR="00000000" w:rsidRPr="00000000">
        <w:rPr>
          <w:rFonts w:ascii="Times New Roman" w:cs="Times New Roman" w:eastAsia="Times New Roman" w:hAnsi="Times New Roman"/>
          <w:i w:val="1"/>
          <w:color w:val="222222"/>
          <w:sz w:val="24"/>
          <w:szCs w:val="24"/>
          <w:highlight w:val="white"/>
          <w:rtl w:val="0"/>
        </w:rPr>
        <w:t xml:space="preserve">Cybersecurity education for awareness and compliance</w:t>
      </w:r>
      <w:r w:rsidDel="00000000" w:rsidR="00000000" w:rsidRPr="00000000">
        <w:rPr>
          <w:rFonts w:ascii="Times New Roman" w:cs="Times New Roman" w:eastAsia="Times New Roman" w:hAnsi="Times New Roman"/>
          <w:color w:val="222222"/>
          <w:sz w:val="24"/>
          <w:szCs w:val="24"/>
          <w:highlight w:val="white"/>
          <w:rtl w:val="0"/>
        </w:rPr>
        <w:t xml:space="preserve"> (pp. 54-71). IGI Global.</w:t>
      </w:r>
    </w:p>
    <w:p w:rsidR="00000000" w:rsidDel="00000000" w:rsidP="00000000" w:rsidRDefault="00000000" w:rsidRPr="00000000" w14:paraId="00000011">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Marotta, A., &amp; Madnick, S. (2021). Convergence and divergence of regulatory compliance and cybersecurity. </w:t>
      </w:r>
      <w:r w:rsidDel="00000000" w:rsidR="00000000" w:rsidRPr="00000000">
        <w:rPr>
          <w:rFonts w:ascii="Times New Roman" w:cs="Times New Roman" w:eastAsia="Times New Roman" w:hAnsi="Times New Roman"/>
          <w:i w:val="1"/>
          <w:color w:val="222222"/>
          <w:sz w:val="24"/>
          <w:szCs w:val="24"/>
          <w:highlight w:val="white"/>
          <w:rtl w:val="0"/>
        </w:rPr>
        <w:t xml:space="preserve">Issues in Information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22</w:t>
      </w:r>
      <w:r w:rsidDel="00000000" w:rsidR="00000000" w:rsidRPr="00000000">
        <w:rPr>
          <w:rFonts w:ascii="Times New Roman" w:cs="Times New Roman" w:eastAsia="Times New Roman" w:hAnsi="Times New Roman"/>
          <w:color w:val="222222"/>
          <w:sz w:val="24"/>
          <w:szCs w:val="24"/>
          <w:highlight w:val="white"/>
          <w:rtl w:val="0"/>
        </w:rPr>
        <w:t xml:space="preserve">(1).</w:t>
      </w:r>
    </w:p>
    <w:p w:rsidR="00000000" w:rsidDel="00000000" w:rsidP="00000000" w:rsidRDefault="00000000" w:rsidRPr="00000000" w14:paraId="00000012">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Renaud, K., Flowerday, S., Warkentin, M., Cockshott, P., &amp; Orgeron, C. (2018). Is the responsibility of the cybersecurity risk reasonable and judicious? </w:t>
      </w:r>
      <w:r w:rsidDel="00000000" w:rsidR="00000000" w:rsidRPr="00000000">
        <w:rPr>
          <w:rFonts w:ascii="Times New Roman" w:cs="Times New Roman" w:eastAsia="Times New Roman" w:hAnsi="Times New Roman"/>
          <w:i w:val="1"/>
          <w:color w:val="222222"/>
          <w:sz w:val="24"/>
          <w:szCs w:val="24"/>
          <w:highlight w:val="white"/>
          <w:rtl w:val="0"/>
        </w:rPr>
        <w:t xml:space="preserve">Computers &amp; Security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78</w:t>
      </w:r>
      <w:r w:rsidDel="00000000" w:rsidR="00000000" w:rsidRPr="00000000">
        <w:rPr>
          <w:rFonts w:ascii="Times New Roman" w:cs="Times New Roman" w:eastAsia="Times New Roman" w:hAnsi="Times New Roman"/>
          <w:color w:val="222222"/>
          <w:sz w:val="24"/>
          <w:szCs w:val="24"/>
          <w:highlight w:val="white"/>
          <w:rtl w:val="0"/>
        </w:rPr>
        <w:t xml:space="preserve">, 198-211.</w:t>
      </w:r>
    </w:p>
    <w:p w:rsidR="00000000" w:rsidDel="00000000" w:rsidP="00000000" w:rsidRDefault="00000000" w:rsidRPr="00000000" w14:paraId="00000013">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Srinivas, J., Das, A. K., &amp; Kumar, N. (2019). Government regulations in cyber security: Framework, standards and recommendations. </w:t>
      </w:r>
      <w:r w:rsidDel="00000000" w:rsidR="00000000" w:rsidRPr="00000000">
        <w:rPr>
          <w:rFonts w:ascii="Times New Roman" w:cs="Times New Roman" w:eastAsia="Times New Roman" w:hAnsi="Times New Roman"/>
          <w:i w:val="1"/>
          <w:color w:val="222222"/>
          <w:sz w:val="24"/>
          <w:szCs w:val="24"/>
          <w:highlight w:val="white"/>
          <w:rtl w:val="0"/>
        </w:rPr>
        <w:t xml:space="preserve">Future generation computer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92</w:t>
      </w:r>
      <w:r w:rsidDel="00000000" w:rsidR="00000000" w:rsidRPr="00000000">
        <w:rPr>
          <w:rFonts w:ascii="Times New Roman" w:cs="Times New Roman" w:eastAsia="Times New Roman" w:hAnsi="Times New Roman"/>
          <w:color w:val="222222"/>
          <w:sz w:val="24"/>
          <w:szCs w:val="24"/>
          <w:highlight w:val="white"/>
          <w:rtl w:val="0"/>
        </w:rPr>
        <w:t xml:space="preserve">, 178-188.</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