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Roboto Mono" w:cs="Roboto Mono" w:eastAsia="Roboto Mono" w:hAnsi="Roboto Mono"/>
          <w:color w:val="188038"/>
          <w:rtl w:val="0"/>
        </w:rPr>
        <w:t xml:space="preserve">ramenrater_big_list</w:t>
      </w:r>
      <w:r w:rsidDel="00000000" w:rsidR="00000000" w:rsidRPr="00000000">
        <w:rPr>
          <w:rFonts w:ascii="Roboto Mono" w:cs="Roboto Mono" w:eastAsia="Roboto Mono" w:hAnsi="Roboto Mono"/>
          <w:color w:val="188038"/>
          <w:rtl w:val="0"/>
        </w:rPr>
        <w:t xml:space="preserve">.csv</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The Big List has grown in popularity, which may seem surprising at first, but many have found it to be a valuable resource for exploring different approaches to interpreting data. Academic institutions have even integrated it into their curriculum—an appropriate fit, given the long-standing connection between college life and instant ramen.</w:t>
      </w:r>
    </w:p>
    <w:p w:rsidR="00000000" w:rsidDel="00000000" w:rsidP="00000000" w:rsidRDefault="00000000" w:rsidRPr="00000000" w14:paraId="00000007">
      <w:pPr>
        <w:spacing w:after="240" w:before="240" w:lineRule="auto"/>
        <w:rPr/>
      </w:pPr>
      <w:r w:rsidDel="00000000" w:rsidR="00000000" w:rsidRPr="00000000">
        <w:rPr>
          <w:rtl w:val="0"/>
        </w:rPr>
        <w:t xml:space="preserve">Users of this dataset are asked to credit</w:t>
      </w:r>
      <w:r w:rsidDel="00000000" w:rsidR="00000000" w:rsidRPr="00000000">
        <w:rPr>
          <w:rtl w:val="0"/>
        </w:rPr>
        <w:t xml:space="preserve"> The Ramen Rater.</w:t>
      </w:r>
      <w:r w:rsidDel="00000000" w:rsidR="00000000" w:rsidRPr="00000000">
        <w:rPr>
          <w:rtl w:val="0"/>
        </w:rPr>
        <w:t xml:space="preserve"> For those intending to incorporate it into educational curricula, a formal request for permission is encouraged. The creator is interested in knowing who is using the dataset and where, primarily out of personal curiosity.</w:t>
      </w:r>
    </w:p>
    <w:p w:rsidR="00000000" w:rsidDel="00000000" w:rsidP="00000000" w:rsidRDefault="00000000" w:rsidRPr="00000000" w14:paraId="00000008">
      <w:pPr>
        <w:spacing w:after="240" w:before="240" w:lineRule="auto"/>
        <w:rPr/>
      </w:pPr>
      <w:r w:rsidDel="00000000" w:rsidR="00000000" w:rsidRPr="00000000">
        <w:rPr>
          <w:rtl w:val="0"/>
        </w:rPr>
        <w:t xml:space="preserve">As context, the reviews are based solely on the creator’s personal preferences and not on sales data or overall popularity. Scores are assigned in increments of 0.25, and rounding is discouraged. To illustrate, a rating of 3.5 out of 5 translates to (3.5 × 2) × 10 = 70, which corresponds to a letter grade of C. Rounding this to a 4.0 would misrepresent the intended evaluation.</w:t>
      </w:r>
    </w:p>
    <w:p w:rsidR="00000000" w:rsidDel="00000000" w:rsidP="00000000" w:rsidRDefault="00000000" w:rsidRPr="00000000" w14:paraId="00000009">
      <w:pPr>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260"/>
        <w:tblGridChange w:id="0">
          <w:tblGrid>
            <w:gridCol w:w="2190"/>
            <w:gridCol w:w="726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center"/>
          </w:tcPr>
          <w:p w:rsidR="00000000" w:rsidDel="00000000" w:rsidP="00000000" w:rsidRDefault="00000000" w:rsidRPr="00000000" w14:paraId="0000000B">
            <w:pPr>
              <w:spacing w:line="240" w:lineRule="auto"/>
              <w:rPr>
                <w:b w:val="1"/>
              </w:rPr>
            </w:pPr>
            <w:r w:rsidDel="00000000" w:rsidR="00000000" w:rsidRPr="00000000">
              <w:rPr>
                <w:b w:val="1"/>
                <w:rtl w:val="0"/>
              </w:rPr>
              <w:t xml:space="preserve">Name</w:t>
            </w:r>
          </w:p>
        </w:tc>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C">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rPr>
                <w:rFonts w:ascii="Consolas" w:cs="Consolas" w:eastAsia="Consolas" w:hAnsi="Consolas"/>
              </w:rPr>
            </w:pPr>
            <w:r w:rsidDel="00000000" w:rsidR="00000000" w:rsidRPr="00000000">
              <w:rPr>
                <w:rFonts w:ascii="Roboto Mono" w:cs="Roboto Mono" w:eastAsia="Roboto Mono" w:hAnsi="Roboto Mono"/>
                <w:color w:val="188038"/>
                <w:rtl w:val="0"/>
              </w:rPr>
              <w:t xml:space="preserve">variety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The variety of the noodles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rPr/>
            </w:pPr>
            <w:r w:rsidDel="00000000" w:rsidR="00000000" w:rsidRPr="00000000">
              <w:rPr>
                <w:rFonts w:ascii="Roboto Mono" w:cs="Roboto Mono" w:eastAsia="Roboto Mono" w:hAnsi="Roboto Mono"/>
                <w:color w:val="188038"/>
                <w:rtl w:val="0"/>
              </w:rPr>
              <w:t xml:space="preserve">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The type of packaging (e.g., Bowl, Cup, Pack, Tray)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rPr>
                <w:rFonts w:ascii="Consolas" w:cs="Consolas" w:eastAsia="Consolas" w:hAnsi="Consolas"/>
              </w:rPr>
            </w:pPr>
            <w:r w:rsidDel="00000000" w:rsidR="00000000" w:rsidRPr="00000000">
              <w:rPr>
                <w:rFonts w:ascii="Roboto Mono" w:cs="Roboto Mono" w:eastAsia="Roboto Mono" w:hAnsi="Roboto Mono"/>
                <w:color w:val="188038"/>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The country where the noodles are manufactured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rPr>
                <w:rFonts w:ascii="Consolas" w:cs="Consolas" w:eastAsia="Consolas" w:hAnsi="Consolas"/>
              </w:rPr>
            </w:pPr>
            <w:r w:rsidDel="00000000" w:rsidR="00000000" w:rsidRPr="00000000">
              <w:rPr>
                <w:rFonts w:ascii="Roboto Mono" w:cs="Roboto Mono" w:eastAsia="Roboto Mono" w:hAnsi="Roboto Mono"/>
                <w:color w:val="188038"/>
                <w:rtl w:val="0"/>
              </w:rPr>
              <w:t xml:space="preserve">stars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The number of stars given as a rating</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Source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Zimmerman, H. (</w:t>
      </w:r>
      <w:r w:rsidDel="00000000" w:rsidR="00000000" w:rsidRPr="00000000">
        <w:rPr>
          <w:rtl w:val="0"/>
        </w:rPr>
        <w:t xml:space="preserve">n.d.). </w:t>
      </w:r>
      <w:r w:rsidDel="00000000" w:rsidR="00000000" w:rsidRPr="00000000">
        <w:rPr>
          <w:i w:val="1"/>
          <w:rtl w:val="0"/>
        </w:rPr>
        <w:t xml:space="preserve">The List – The Ramen Rater</w:t>
      </w:r>
      <w:r w:rsidDel="00000000" w:rsidR="00000000" w:rsidRPr="00000000">
        <w:rPr>
          <w:rtl w:val="0"/>
        </w:rPr>
        <w:t xml:space="preserve">. Retrieved April 2, 2025,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https://www.theramenrater.com/resources-2/the-list/</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Notes</w:t>
      </w:r>
    </w:p>
    <w:p w:rsidR="00000000" w:rsidDel="00000000" w:rsidP="00000000" w:rsidRDefault="00000000" w:rsidRPr="00000000" w14:paraId="0000001B">
      <w:pPr>
        <w:numPr>
          <w:ilvl w:val="0"/>
          <w:numId w:val="2"/>
        </w:numPr>
        <w:spacing w:after="240" w:before="240" w:lineRule="auto"/>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column was removed from the dataset. It indicated the years in which the noodles appeared on the Top 10 list.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ramenrater.com/resources-2/the-list/" TargetMode="External"/><Relationship Id="rId7" Type="http://schemas.openxmlformats.org/officeDocument/2006/relationships/hyperlink" Target="https://www.theramenrater.com/resources-2/the-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