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6"/>
        </w:rPr>
        <w:t>CONCEPTION DE LA CAISSE</w:t>
        <w:br/>
        <w:t>ET DES FLUX FINANCIERS</w:t>
      </w:r>
    </w:p>
    <w:p>
      <w:pPr>
        <w:pStyle w:val="Subtitle"/>
        <w:jc w:val="center"/>
      </w:pPr>
      <w:r>
        <w:t>Plateforme de commerce numérique</w:t>
      </w:r>
    </w:p>
    <w:p>
      <w:pPr>
        <w:jc w:val="center"/>
      </w:pPr>
      <w:r>
        <w:br/>
        <w:t>Architecture financière — Niveau 1 : gestion interne du commerce</w:t>
      </w:r>
    </w:p>
    <w:p>
      <w:pPr>
        <w:jc w:val="center"/>
      </w:pPr>
      <w:r>
        <w:br/>
        <w:t>Document technique de référence</w:t>
        <w:br/>
        <w:t>Octobre 2026</w:t>
      </w:r>
    </w:p>
    <w:p>
      <w:r>
        <w:br w:type="page"/>
      </w:r>
    </w:p>
    <w:p>
      <w:pPr>
        <w:pStyle w:val="Heading1"/>
      </w:pPr>
      <w:r>
        <w:t>Table des matières</w:t>
      </w:r>
    </w:p>
    <w:p>
      <w:r>
        <w:t>1. Introduction et objectifs</w:t>
      </w:r>
    </w:p>
    <w:p>
      <w:r>
        <w:t>2. Principes et modèles</w:t>
      </w:r>
    </w:p>
    <w:p>
      <w:r>
        <w:t>3. Flux opérationnels</w:t>
      </w:r>
    </w:p>
    <w:p>
      <w:r>
        <w:t>4. Ledger, reversals et concurrence</w:t>
      </w:r>
    </w:p>
    <w:p>
      <w:r>
        <w:t>5. Caisse vendeur et financial-summary</w:t>
      </w:r>
    </w:p>
    <w:p>
      <w:r>
        <w:t>6. Sécurité, permissions et limites</w:t>
      </w:r>
    </w:p>
    <w:p>
      <w:r>
        <w:t>7. Scénarios et évolutions futures</w:t>
      </w:r>
    </w:p>
    <w:p>
      <w:r>
        <w:br w:type="page"/>
      </w:r>
    </w:p>
    <w:p>
      <w:pPr>
        <w:pStyle w:val="Heading1"/>
      </w:pPr>
      <w:r>
        <w:t>1. Introduction et objectifs</w:t>
      </w:r>
    </w:p>
    <w:p>
      <w:r>
        <w:t>Ce document décrit le Niveau 1 de la finance interne d’un Business : les activités enregistrées dans ecommerce, leur paiement connu et leur projection dans le ledger. Il sert de référence de développement, d’audit et d’intégration.</w:t>
      </w:r>
    </w:p>
    <w:p>
      <w:r>
        <w:t>Le système suit les entrées et sorties liées aux ventes, créances, dépenses et fournisseurs. Il couvre les paiements complets, partiels, à crédit, les reversals et la traçabilité, sans gérer de fonds externes.</w:t>
      </w:r>
    </w:p>
    <w:p>
      <w:pPr>
        <w:pStyle w:val="Heading1"/>
      </w:pPr>
      <w:r>
        <w:t>2. Principes architecturaux</w:t>
      </w:r>
    </w:p>
    <w:p>
      <w:r>
        <w:t>Un événement métier, une trace de paiement et une écriture financière ont des responsabilités distinctes.</w:t>
      </w:r>
    </w:p>
    <w:tbl>
      <w:tblPr>
        <w:tblStyle w:val="LightShading-Accent1"/>
        <w:tblW w:type="auto" w:w="0"/>
        <w:tblLook w:firstColumn="1" w:firstRow="1" w:lastColumn="0" w:lastRow="0" w:noHBand="0" w:noVBand="1" w:val="04A0"/>
      </w:tblPr>
      <w:tblGrid>
        <w:gridCol w:w="4896"/>
        <w:gridCol w:w="4896"/>
      </w:tblGrid>
      <w:tr>
        <w:tc>
          <w:tcPr>
            <w:tcW w:type="dxa" w:w="4896"/>
          </w:tcPr>
          <w:p>
            <w:r>
              <w:t>Concept</w:t>
            </w:r>
          </w:p>
        </w:tc>
        <w:tc>
          <w:tcPr>
            <w:tcW w:type="dxa" w:w="4896"/>
          </w:tcPr>
          <w:p>
            <w:r>
              <w:t>Rôle réel</w:t>
            </w:r>
          </w:p>
        </w:tc>
      </w:tr>
      <w:tr>
        <w:tc>
          <w:tcPr>
            <w:tcW w:type="dxa" w:w="4896"/>
          </w:tcPr>
          <w:p>
            <w:r>
              <w:t>Sale / Expense / Purchase</w:t>
            </w:r>
          </w:p>
        </w:tc>
        <w:tc>
          <w:tcPr>
            <w:tcW w:type="dxa" w:w="4896"/>
          </w:tcPr>
          <w:p>
            <w:r>
              <w:t>Événement commercial ou charge métier.</w:t>
            </w:r>
          </w:p>
        </w:tc>
      </w:tr>
      <w:tr>
        <w:tc>
          <w:tcPr>
            <w:tcW w:type="dxa" w:w="4896"/>
          </w:tcPr>
          <w:p>
            <w:r>
              <w:t>PaymentTransaction</w:t>
            </w:r>
          </w:p>
        </w:tc>
        <w:tc>
          <w:tcPr>
            <w:tcW w:type="dxa" w:w="4896"/>
          </w:tcPr>
          <w:p>
            <w:r>
              <w:t>Trace informationnelle du paiement connu.</w:t>
            </w:r>
          </w:p>
        </w:tc>
      </w:tr>
      <w:tr>
        <w:tc>
          <w:tcPr>
            <w:tcW w:type="dxa" w:w="4896"/>
          </w:tcPr>
          <w:p>
            <w:r>
              <w:t>FinancialMovement</w:t>
            </w:r>
          </w:p>
        </w:tc>
        <w:tc>
          <w:tcPr>
            <w:tcW w:type="dxa" w:w="4896"/>
          </w:tcPr>
          <w:p>
            <w:r>
              <w:t>Écriture append-only du ledger.</w:t>
            </w:r>
          </w:p>
        </w:tc>
      </w:tr>
      <w:tr>
        <w:tc>
          <w:tcPr>
            <w:tcW w:type="dxa" w:w="4896"/>
          </w:tcPr>
          <w:p>
            <w:r>
              <w:t>financial-summary</w:t>
            </w:r>
          </w:p>
        </w:tc>
        <w:tc>
          <w:tcPr>
            <w:tcW w:type="dxa" w:w="4896"/>
          </w:tcPr>
          <w:p>
            <w:r>
              <w:t>Projection calculée du ledger, appelée caisse vendeur.</w:t>
            </w:r>
          </w:p>
        </w:tc>
      </w:tr>
    </w:tbl>
    <w:p>
      <w:pPr>
        <w:pStyle w:val="Heading2"/>
      </w:pPr>
      <w:r>
        <w:t>Devise du Business</w:t>
      </w:r>
    </w:p>
    <w:p>
      <w:r>
        <w:t>Business.primary_currency est CDF ou USD. Elle est unique et immuable après création. Finance Niveau 1 ne réalise aucune conversion.</w:t>
      </w:r>
    </w:p>
    <w:p>
      <w:pPr>
        <w:pStyle w:val="Heading2"/>
      </w:pPr>
      <w:r>
        <w:t>PaymentMethod et BusinessPaymentMethod</w:t>
      </w:r>
    </w:p>
    <w:p>
      <w:r>
        <w:t>PaymentMethod est une catégorie technique : CASH, MOBILE_MONEY, BANK_TRANSFER, CARD et OTHER. Ce n’est ni un compte ni un solde. BusinessPaymentMethod est une méthode configurée pour un Business, avec public_id PM…, nom, catégorie et état actif. Plusieurs méthodes de même catégorie sont possibles. Les valeurs par défaut sont Argent liquide, Mobile Money, Virement bancaire, Carte et Autre.</w:t>
      </w:r>
    </w:p>
    <w:p>
      <w:pPr>
        <w:pStyle w:val="Heading2"/>
      </w:pPr>
      <w:r>
        <w:t>PaymentTransaction</w:t>
      </w:r>
    </w:p>
    <w:p>
      <w:r>
        <w:t>PaymentTransaction (PT…) porte le Business, la méthode configurée, method_name_snapshot, category_snapshot, recording_mode, transaction_reference, occurred_at, recorded_by et created_at. Elle est liée optionnellement en OneToOne à FinancialMovement. Les snapshots préservent le nom historique après renommage.</w:t>
      </w:r>
    </w:p>
    <w:p>
      <w:pPr>
        <w:pStyle w:val="Heading2"/>
      </w:pPr>
      <w:r>
        <w:t>MANUAL et AUTOMATIC</w:t>
      </w:r>
    </w:p>
    <w:p>
      <w:r>
        <w:t>MANUAL désigne une opération externe déclarée dans l’application. AUTOMATIC est réservé à une opération future orchestrée et confirmée par le système. MOBILE_MONEY, CARD et BANK_TRANSFER ne déterminent jamais seuls le mode.</w:t>
      </w:r>
    </w:p>
    <w:p>
      <w:pPr>
        <w:pStyle w:val="Heading1"/>
      </w:pPr>
      <w:r>
        <w:t>3. Flux opérationnels</w:t>
      </w:r>
    </w:p>
    <w:p>
      <w:pPr>
        <w:pStyle w:val="Heading2"/>
      </w:pPr>
      <w:r>
        <w:t>Vente entièrement payée</w:t>
      </w:r>
    </w:p>
    <w:p>
      <w:r>
        <w:t>Sale DRAFT est complétée après validation du montant et de la méthode. La transaction atomique applique le stock, marque Sale COMPLETED, crée PaymentTransaction puis FinancialMovement SALE_PAYMENT INFLOW. Un échec annule l’ensemble.</w:t>
      </w:r>
    </w:p>
    <w:p>
      <w:pPr>
        <w:pStyle w:val="Heading2"/>
      </w:pPr>
      <w:r>
        <w:t>Vente partielle et crédit</w:t>
      </w:r>
    </w:p>
    <w:p>
      <w:r>
        <w:t>Pour un acompte, Sale crée Receivable puis ReceivablePayment initial, PaymentTransaction et un unique RECEIVABLE_PAYMENT. Aucun SALE_PAYMENT supplémentaire n’est créé pour la même somme. Avec amount_paid = 0, une Receivable est créée sans mouvement financier.</w:t>
      </w:r>
    </w:p>
    <w:p>
      <w:pPr>
        <w:pStyle w:val="Heading2"/>
      </w:pPr>
      <w:r>
        <w:t>Créances clients</w:t>
      </w:r>
    </w:p>
    <w:p>
      <w:r>
        <w:t>Receivable expose original_amount, paid_amount, balance, OPEN, PARTIALLY_PAID et PAID. Elle calcule overdue lorsque due_date est dépassée. ReceivablePayment est immuable et possède une idempotence par clé et empreinte de payload.</w:t>
      </w:r>
    </w:p>
    <w:p>
      <w:pPr>
        <w:pStyle w:val="Heading2"/>
      </w:pPr>
      <w:r>
        <w:t>Dépenses et fournisseurs</w:t>
      </w:r>
    </w:p>
    <w:p>
      <w:r>
        <w:t>Expense est une charge ; ExpensePayment est son règlement réel et crée EXPENSE_PAYMENT OUTFLOW. Purchase et réception de marchandises influencent le stock, mais SupplierPayment est indépendant et crée SUPPLIER_PAYMENT OUTFLOW. Une réception n’implique jamais un paiement automatique.</w:t>
      </w:r>
    </w:p>
    <w:p>
      <w:pPr>
        <w:pStyle w:val="Heading1"/>
      </w:pPr>
      <w:r>
        <w:t>4. Ledger, reversals et concurrence</w:t>
      </w:r>
    </w:p>
    <w:p>
      <w:r>
        <w:t>FinancialMovement (FM…) contient Business, direction, amount positif, currency, payment_method, event_type, occurred_at, created_at, created_by, reason, source métier, idempotency_key, payment_transaction et reversal_of. Il est append-only : mise à jour et suppression sont refusées.</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Événement</w:t>
            </w:r>
          </w:p>
        </w:tc>
        <w:tc>
          <w:tcPr>
            <w:tcW w:type="dxa" w:w="1958"/>
          </w:tcPr>
          <w:p>
            <w:r>
              <w:t>Sens</w:t>
            </w:r>
          </w:p>
        </w:tc>
        <w:tc>
          <w:tcPr>
            <w:tcW w:type="dxa" w:w="1958"/>
          </w:tcPr>
          <w:p>
            <w:r>
              <w:t>EventType</w:t>
            </w:r>
          </w:p>
        </w:tc>
        <w:tc>
          <w:tcPr>
            <w:tcW w:type="dxa" w:w="1958"/>
          </w:tcPr>
          <w:p>
            <w:r>
              <w:t>Source</w:t>
            </w:r>
          </w:p>
        </w:tc>
        <w:tc>
          <w:tcPr>
            <w:tcW w:type="dxa" w:w="1958"/>
          </w:tcPr>
          <w:p>
            <w:r>
              <w:t>Stock</w:t>
            </w:r>
          </w:p>
        </w:tc>
      </w:tr>
      <w:tr>
        <w:tc>
          <w:tcPr>
            <w:tcW w:type="dxa" w:w="1958"/>
          </w:tcPr>
          <w:p>
            <w:r>
              <w:t>Vente immédiate</w:t>
            </w:r>
          </w:p>
        </w:tc>
        <w:tc>
          <w:tcPr>
            <w:tcW w:type="dxa" w:w="1958"/>
          </w:tcPr>
          <w:p>
            <w:r>
              <w:t>INFLOW</w:t>
            </w:r>
          </w:p>
        </w:tc>
        <w:tc>
          <w:tcPr>
            <w:tcW w:type="dxa" w:w="1958"/>
          </w:tcPr>
          <w:p>
            <w:r>
              <w:t>SALE_PAYMENT</w:t>
            </w:r>
          </w:p>
        </w:tc>
        <w:tc>
          <w:tcPr>
            <w:tcW w:type="dxa" w:w="1958"/>
          </w:tcPr>
          <w:p>
            <w:r>
              <w:t>Sale</w:t>
            </w:r>
          </w:p>
        </w:tc>
        <w:tc>
          <w:tcPr>
            <w:tcW w:type="dxa" w:w="1958"/>
          </w:tcPr>
          <w:p>
            <w:r>
              <w:t>Oui</w:t>
            </w:r>
          </w:p>
        </w:tc>
      </w:tr>
      <w:tr>
        <w:tc>
          <w:tcPr>
            <w:tcW w:type="dxa" w:w="1958"/>
          </w:tcPr>
          <w:p>
            <w:r>
              <w:t>Paiement créance</w:t>
            </w:r>
          </w:p>
        </w:tc>
        <w:tc>
          <w:tcPr>
            <w:tcW w:type="dxa" w:w="1958"/>
          </w:tcPr>
          <w:p>
            <w:r>
              <w:t>INFLOW</w:t>
            </w:r>
          </w:p>
        </w:tc>
        <w:tc>
          <w:tcPr>
            <w:tcW w:type="dxa" w:w="1958"/>
          </w:tcPr>
          <w:p>
            <w:r>
              <w:t>RECEIVABLE_PAYMENT</w:t>
            </w:r>
          </w:p>
        </w:tc>
        <w:tc>
          <w:tcPr>
            <w:tcW w:type="dxa" w:w="1958"/>
          </w:tcPr>
          <w:p>
            <w:r>
              <w:t>ReceivablePayment</w:t>
            </w:r>
          </w:p>
        </w:tc>
        <w:tc>
          <w:tcPr>
            <w:tcW w:type="dxa" w:w="1958"/>
          </w:tcPr>
          <w:p>
            <w:r>
              <w:t>Non</w:t>
            </w:r>
          </w:p>
        </w:tc>
      </w:tr>
      <w:tr>
        <w:tc>
          <w:tcPr>
            <w:tcW w:type="dxa" w:w="1958"/>
          </w:tcPr>
          <w:p>
            <w:r>
              <w:t>Paiement dépense</w:t>
            </w:r>
          </w:p>
        </w:tc>
        <w:tc>
          <w:tcPr>
            <w:tcW w:type="dxa" w:w="1958"/>
          </w:tcPr>
          <w:p>
            <w:r>
              <w:t>OUTFLOW</w:t>
            </w:r>
          </w:p>
        </w:tc>
        <w:tc>
          <w:tcPr>
            <w:tcW w:type="dxa" w:w="1958"/>
          </w:tcPr>
          <w:p>
            <w:r>
              <w:t>EXPENSE_PAYMENT</w:t>
            </w:r>
          </w:p>
        </w:tc>
        <w:tc>
          <w:tcPr>
            <w:tcW w:type="dxa" w:w="1958"/>
          </w:tcPr>
          <w:p>
            <w:r>
              <w:t>ExpensePayment</w:t>
            </w:r>
          </w:p>
        </w:tc>
        <w:tc>
          <w:tcPr>
            <w:tcW w:type="dxa" w:w="1958"/>
          </w:tcPr>
          <w:p>
            <w:r>
              <w:t>Non</w:t>
            </w:r>
          </w:p>
        </w:tc>
      </w:tr>
      <w:tr>
        <w:tc>
          <w:tcPr>
            <w:tcW w:type="dxa" w:w="1958"/>
          </w:tcPr>
          <w:p>
            <w:r>
              <w:t>Reversal dépense</w:t>
            </w:r>
          </w:p>
        </w:tc>
        <w:tc>
          <w:tcPr>
            <w:tcW w:type="dxa" w:w="1958"/>
          </w:tcPr>
          <w:p>
            <w:r>
              <w:t>INFLOW</w:t>
            </w:r>
          </w:p>
        </w:tc>
        <w:tc>
          <w:tcPr>
            <w:tcW w:type="dxa" w:w="1958"/>
          </w:tcPr>
          <w:p>
            <w:r>
              <w:t>EXPENSE_REVERSAL</w:t>
            </w:r>
          </w:p>
        </w:tc>
        <w:tc>
          <w:tcPr>
            <w:tcW w:type="dxa" w:w="1958"/>
          </w:tcPr>
          <w:p>
            <w:r>
              <w:t>reversal_of</w:t>
            </w:r>
          </w:p>
        </w:tc>
        <w:tc>
          <w:tcPr>
            <w:tcW w:type="dxa" w:w="1958"/>
          </w:tcPr>
          <w:p>
            <w:r>
              <w:t>Non</w:t>
            </w:r>
          </w:p>
        </w:tc>
      </w:tr>
      <w:tr>
        <w:tc>
          <w:tcPr>
            <w:tcW w:type="dxa" w:w="1958"/>
          </w:tcPr>
          <w:p>
            <w:r>
              <w:t>Paiement fournisseur</w:t>
            </w:r>
          </w:p>
        </w:tc>
        <w:tc>
          <w:tcPr>
            <w:tcW w:type="dxa" w:w="1958"/>
          </w:tcPr>
          <w:p>
            <w:r>
              <w:t>OUTFLOW</w:t>
            </w:r>
          </w:p>
        </w:tc>
        <w:tc>
          <w:tcPr>
            <w:tcW w:type="dxa" w:w="1958"/>
          </w:tcPr>
          <w:p>
            <w:r>
              <w:t>SUPPLIER_PAYMENT</w:t>
            </w:r>
          </w:p>
        </w:tc>
        <w:tc>
          <w:tcPr>
            <w:tcW w:type="dxa" w:w="1958"/>
          </w:tcPr>
          <w:p>
            <w:r>
              <w:t>SupplierPayment</w:t>
            </w:r>
          </w:p>
        </w:tc>
        <w:tc>
          <w:tcPr>
            <w:tcW w:type="dxa" w:w="1958"/>
          </w:tcPr>
          <w:p>
            <w:r>
              <w:t>Non</w:t>
            </w:r>
          </w:p>
        </w:tc>
      </w:tr>
      <w:tr>
        <w:tc>
          <w:tcPr>
            <w:tcW w:type="dxa" w:w="1958"/>
          </w:tcPr>
          <w:p>
            <w:r>
              <w:t>Reversal fournisseur</w:t>
            </w:r>
          </w:p>
        </w:tc>
        <w:tc>
          <w:tcPr>
            <w:tcW w:type="dxa" w:w="1958"/>
          </w:tcPr>
          <w:p>
            <w:r>
              <w:t>INFLOW</w:t>
            </w:r>
          </w:p>
        </w:tc>
        <w:tc>
          <w:tcPr>
            <w:tcW w:type="dxa" w:w="1958"/>
          </w:tcPr>
          <w:p>
            <w:r>
              <w:t>SUPPLIER_PAYMENT_REVERSAL</w:t>
            </w:r>
          </w:p>
        </w:tc>
        <w:tc>
          <w:tcPr>
            <w:tcW w:type="dxa" w:w="1958"/>
          </w:tcPr>
          <w:p>
            <w:r>
              <w:t>reversal_of</w:t>
            </w:r>
          </w:p>
        </w:tc>
        <w:tc>
          <w:tcPr>
            <w:tcW w:type="dxa" w:w="1958"/>
          </w:tcPr>
          <w:p>
            <w:r>
              <w:t>Non</w:t>
            </w:r>
          </w:p>
        </w:tc>
      </w:tr>
    </w:tbl>
    <w:p>
      <w:r>
        <w:t>Un reversal crée un mouvement compensatoire et conserve la PaymentTransaction originale : OUTFLOW 30 000 puis INFLOW 30 000 donne un net de 0. select_for_update, transaction.atomic, contraintes d’unicité et idempotence préviennent surpaiement, double paiement, double finalisation et double reversal.</w:t>
      </w:r>
    </w:p>
    <w:p>
      <w:pPr>
        <w:pStyle w:val="Heading1"/>
      </w:pPr>
      <w:r>
        <w:t>5. Caisse vendeur et financial-summary</w:t>
      </w:r>
    </w:p>
    <w:p>
      <w:r>
        <w:t>La caisse vendeur est la projection des FinancialMovement connus par l’application. total_inflow = somme des INFLOW ; total_outflow = somme des OUTFLOW ; net_flow = inflow − outflow. Elle comprend MANUAL, AUTOMATIC et les historiques UNCLASSIFIED.</w:t>
      </w:r>
    </w:p>
    <w:p>
      <w:r>
        <w:t>Endpoint : GET /api/v1/businesses/{SH}/financial-summary/. La réponse conserve total_inflow, total_outflow, net_flow et by_payment_method, puis ajoute by_category, by_business_payment_method et by_recording_mode.</w:t>
      </w:r>
    </w:p>
    <w:p>
      <w:pPr>
        <w:pStyle w:val="Heading2"/>
      </w:pPr>
      <w:r>
        <w:t>Filtres et historique</w:t>
      </w:r>
    </w:p>
    <w:p>
      <w:r>
        <w:t>Les filtres sont direction, event_type, payment_method, date_from, date_to, business_payment_method et recording_mode. Les dates s’appliquent à occurred_at, avec bornes de date inclusives. Une valeur invalide produit 400. Une PM d’un autre Business produit 400.</w:t>
      </w:r>
    </w:p>
    <w:p>
      <w:r>
        <w:t>UNCLASSIFIED n’est jamais une valeur stockée de PaymentTransaction.recording_mode. Il sert seulement à classer dans le reporting les anciens FinancialMovement sans PaymentTransaction. Ils restent dans les totaux et dans by_category, mais ne sont pas inventés comme MANUAL/AUTOMATIC ou attribués à une PM.</w:t>
      </w:r>
    </w:p>
    <w:p>
      <w:pPr>
        <w:pStyle w:val="Heading2"/>
      </w:pPr>
      <w:r>
        <w:t>Renommage et désactivation</w:t>
      </w:r>
    </w:p>
    <w:p>
      <w:r>
        <w:t>Une méthode PM garde son identité stable. Si M-Pesa devient M-Pesa Boutique, les anciennes traces conservent le snapshot M-Pesa ; les nouvelles portent M-Pesa Boutique. Le reporting agrège logiquement par PM et expose le nom courant ainsi que les snapshots. Une méthode inactive ne peut plus être utilisée mais demeure visible dans l’historique.</w:t>
      </w:r>
    </w:p>
    <w:p>
      <w:pPr>
        <w:pStyle w:val="Heading1"/>
      </w:pPr>
      <w:r>
        <w:t>6. Sécurité, permissions et séparation plateforme</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Ressource</w:t>
            </w:r>
          </w:p>
        </w:tc>
        <w:tc>
          <w:tcPr>
            <w:tcW w:type="dxa" w:w="2448"/>
          </w:tcPr>
          <w:p>
            <w:r>
              <w:t>OWNER</w:t>
            </w:r>
          </w:p>
        </w:tc>
        <w:tc>
          <w:tcPr>
            <w:tcW w:type="dxa" w:w="2448"/>
          </w:tcPr>
          <w:p>
            <w:r>
              <w:t>MANAGER</w:t>
            </w:r>
          </w:p>
        </w:tc>
        <w:tc>
          <w:tcPr>
            <w:tcW w:type="dxa" w:w="2448"/>
          </w:tcPr>
          <w:p>
            <w:r>
              <w:t>EMPLOYEE</w:t>
            </w:r>
          </w:p>
        </w:tc>
      </w:tr>
      <w:tr>
        <w:tc>
          <w:tcPr>
            <w:tcW w:type="dxa" w:w="2448"/>
          </w:tcPr>
          <w:p>
            <w:r>
              <w:t>Configurer PM</w:t>
            </w:r>
          </w:p>
        </w:tc>
        <w:tc>
          <w:tcPr>
            <w:tcW w:type="dxa" w:w="2448"/>
          </w:tcPr>
          <w:p>
            <w:r>
              <w:t>Oui</w:t>
            </w:r>
          </w:p>
        </w:tc>
        <w:tc>
          <w:tcPr>
            <w:tcW w:type="dxa" w:w="2448"/>
          </w:tcPr>
          <w:p>
            <w:r>
              <w:t>Oui</w:t>
            </w:r>
          </w:p>
        </w:tc>
        <w:tc>
          <w:tcPr>
            <w:tcW w:type="dxa" w:w="2448"/>
          </w:tcPr>
          <w:p>
            <w:r>
              <w:t>Non</w:t>
            </w:r>
          </w:p>
        </w:tc>
      </w:tr>
      <w:tr>
        <w:tc>
          <w:tcPr>
            <w:tcW w:type="dxa" w:w="2448"/>
          </w:tcPr>
          <w:p>
            <w:r>
              <w:t>Lire PM actives</w:t>
            </w:r>
          </w:p>
        </w:tc>
        <w:tc>
          <w:tcPr>
            <w:tcW w:type="dxa" w:w="2448"/>
          </w:tcPr>
          <w:p>
            <w:r>
              <w:t>Oui</w:t>
            </w:r>
          </w:p>
        </w:tc>
        <w:tc>
          <w:tcPr>
            <w:tcW w:type="dxa" w:w="2448"/>
          </w:tcPr>
          <w:p>
            <w:r>
              <w:t>Oui</w:t>
            </w:r>
          </w:p>
        </w:tc>
        <w:tc>
          <w:tcPr>
            <w:tcW w:type="dxa" w:w="2448"/>
          </w:tcPr>
          <w:p>
            <w:r>
              <w:t>Oui</w:t>
            </w:r>
          </w:p>
        </w:tc>
      </w:tr>
      <w:tr>
        <w:tc>
          <w:tcPr>
            <w:tcW w:type="dxa" w:w="2448"/>
          </w:tcPr>
          <w:p>
            <w:r>
              <w:t>Ledger et summary</w:t>
            </w:r>
          </w:p>
        </w:tc>
        <w:tc>
          <w:tcPr>
            <w:tcW w:type="dxa" w:w="2448"/>
          </w:tcPr>
          <w:p>
            <w:r>
              <w:t>Oui</w:t>
            </w:r>
          </w:p>
        </w:tc>
        <w:tc>
          <w:tcPr>
            <w:tcW w:type="dxa" w:w="2448"/>
          </w:tcPr>
          <w:p>
            <w:r>
              <w:t>Oui</w:t>
            </w:r>
          </w:p>
        </w:tc>
        <w:tc>
          <w:tcPr>
            <w:tcW w:type="dxa" w:w="2448"/>
          </w:tcPr>
          <w:p>
            <w:r>
              <w:t>Non</w:t>
            </w:r>
          </w:p>
        </w:tc>
      </w:tr>
      <w:tr>
        <w:tc>
          <w:tcPr>
            <w:tcW w:type="dxa" w:w="2448"/>
          </w:tcPr>
          <w:p>
            <w:r>
              <w:t>Ventes / créances</w:t>
            </w:r>
          </w:p>
        </w:tc>
        <w:tc>
          <w:tcPr>
            <w:tcW w:type="dxa" w:w="2448"/>
          </w:tcPr>
          <w:p>
            <w:r>
              <w:t>Selon flux existant</w:t>
            </w:r>
          </w:p>
        </w:tc>
        <w:tc>
          <w:tcPr>
            <w:tcW w:type="dxa" w:w="2448"/>
          </w:tcPr>
          <w:p>
            <w:r>
              <w:t>Selon flux existant</w:t>
            </w:r>
          </w:p>
        </w:tc>
        <w:tc>
          <w:tcPr>
            <w:tcW w:type="dxa" w:w="2448"/>
          </w:tcPr>
          <w:p>
            <w:r>
              <w:t>Selon flux existant</w:t>
            </w:r>
          </w:p>
        </w:tc>
      </w:tr>
      <w:tr>
        <w:tc>
          <w:tcPr>
            <w:tcW w:type="dxa" w:w="2448"/>
          </w:tcPr>
          <w:p>
            <w:r>
              <w:t>Dépenses / fournisseurs</w:t>
            </w:r>
          </w:p>
        </w:tc>
        <w:tc>
          <w:tcPr>
            <w:tcW w:type="dxa" w:w="2448"/>
          </w:tcPr>
          <w:p>
            <w:r>
              <w:t>Gestion</w:t>
            </w:r>
          </w:p>
        </w:tc>
        <w:tc>
          <w:tcPr>
            <w:tcW w:type="dxa" w:w="2448"/>
          </w:tcPr>
          <w:p>
            <w:r>
              <w:t>Gestion</w:t>
            </w:r>
          </w:p>
        </w:tc>
        <w:tc>
          <w:tcPr>
            <w:tcW w:type="dxa" w:w="2448"/>
          </w:tcPr>
          <w:p>
            <w:r>
              <w:t>Non</w:t>
            </w:r>
          </w:p>
        </w:tc>
      </w:tr>
    </w:tbl>
    <w:p>
      <w:r>
        <w:t>L’isolation tenant est appliquée par Business. Le serveur déduit catégorie et snapshots de la PM active ; aucun POST libre de FinancialMovement n’est exposé. Les montants, sources et idempotences sont validés côté serveur.</w:t>
      </w:r>
    </w:p>
    <w:p>
      <w:pPr>
        <w:pStyle w:val="Heading2"/>
      </w:pPr>
      <w:r>
        <w:t>Finance interne du Business ≠ facturation de la plateforme</w:t>
      </w:r>
    </w:p>
    <w:p>
      <w:r>
        <w:t>Ventes, créances, ExpensePayment, SupplierPayment, PaymentTransaction, FinancialMovement et financial-summary constituent la finance interne du Business. Un paiement d’abonnement à la plateforme ne fait pas automatiquement partie de cette caisse ni du ledger interne. Billing, abonnement, facture, renouvellement et activation sont un futur circuit séparé. Aucun Expense ou ExpensePayment n’est créé automatiquement pour un abonnement.</w:t>
      </w:r>
    </w:p>
    <w:p>
      <w:pPr>
        <w:pStyle w:val="Heading1"/>
      </w:pPr>
      <w:r>
        <w:t>7. Scénarios, limites et évolutions</w:t>
      </w:r>
    </w:p>
    <w:p>
      <w:pPr>
        <w:pStyle w:val="Heading2"/>
      </w:pPr>
      <w:r>
        <w:t>Scénarios chiffrés</w:t>
      </w:r>
    </w:p>
    <w:tbl>
      <w:tblPr>
        <w:tblStyle w:val="LightShading-Accent1"/>
        <w:tblW w:type="auto" w:w="0"/>
        <w:tblLook w:firstColumn="1" w:firstRow="1" w:lastColumn="0" w:lastRow="0" w:noHBand="0" w:noVBand="1" w:val="04A0"/>
      </w:tblPr>
      <w:tblGrid>
        <w:gridCol w:w="4896"/>
        <w:gridCol w:w="4896"/>
      </w:tblGrid>
      <w:tr>
        <w:tc>
          <w:tcPr>
            <w:tcW w:type="dxa" w:w="4896"/>
          </w:tcPr>
          <w:p>
            <w:r>
              <w:t>Scénario</w:t>
            </w:r>
          </w:p>
        </w:tc>
        <w:tc>
          <w:tcPr>
            <w:tcW w:type="dxa" w:w="4896"/>
          </w:tcPr>
          <w:p>
            <w:r>
              <w:t>Résultat</w:t>
            </w:r>
          </w:p>
        </w:tc>
      </w:tr>
      <w:tr>
        <w:tc>
          <w:tcPr>
            <w:tcW w:type="dxa" w:w="4896"/>
          </w:tcPr>
          <w:p>
            <w:r>
              <w:t>A : 40 000 CASH + 50 000 M-Pesa</w:t>
            </w:r>
          </w:p>
        </w:tc>
        <w:tc>
          <w:tcPr>
            <w:tcW w:type="dxa" w:w="4896"/>
          </w:tcPr>
          <w:p>
            <w:r>
              <w:t>INFLOW 90 000, OUTFLOW 0, NET 90 000</w:t>
            </w:r>
          </w:p>
        </w:tc>
      </w:tr>
      <w:tr>
        <w:tc>
          <w:tcPr>
            <w:tcW w:type="dxa" w:w="4896"/>
          </w:tcPr>
          <w:p>
            <w:r>
              <w:t>B : ajouter ExpensePayment CASH 10 000</w:t>
            </w:r>
          </w:p>
        </w:tc>
        <w:tc>
          <w:tcPr>
            <w:tcW w:type="dxa" w:w="4896"/>
          </w:tcPr>
          <w:p>
            <w:r>
              <w:t>INFLOW 90 000, OUTFLOW 10 000, NET 80 000</w:t>
            </w:r>
          </w:p>
        </w:tc>
      </w:tr>
      <w:tr>
        <w:tc>
          <w:tcPr>
            <w:tcW w:type="dxa" w:w="4896"/>
          </w:tcPr>
          <w:p>
            <w:r>
              <w:t>C : vente 100 000, acompte 30 000</w:t>
            </w:r>
          </w:p>
        </w:tc>
        <w:tc>
          <w:tcPr>
            <w:tcW w:type="dxa" w:w="4896"/>
          </w:tcPr>
          <w:p>
            <w:r>
              <w:t>Receivable 70 000 ; un RECEIVABLE_PAYMENT 30 000</w:t>
            </w:r>
          </w:p>
        </w:tc>
      </w:tr>
      <w:tr>
        <w:tc>
          <w:tcPr>
            <w:tcW w:type="dxa" w:w="4896"/>
          </w:tcPr>
          <w:p>
            <w:r>
              <w:t>D : fournisseur 30 000 puis reversal</w:t>
            </w:r>
          </w:p>
        </w:tc>
        <w:tc>
          <w:tcPr>
            <w:tcW w:type="dxa" w:w="4896"/>
          </w:tcPr>
          <w:p>
            <w:r>
              <w:t>OUTFLOW 30 000 + INFLOW 30 000 ; net 0</w:t>
            </w:r>
          </w:p>
        </w:tc>
      </w:tr>
    </w:tbl>
    <w:p>
      <w:pPr>
        <w:pStyle w:val="Heading2"/>
      </w:pPr>
      <w:r>
        <w:t>Limites Niveau 1</w:t>
      </w:r>
    </w:p>
    <w:p>
      <w:pPr>
        <w:pStyle w:val="ListBullet"/>
      </w:pPr>
      <w:r>
        <w:t>Aucun provider réel, synchronisation bancaire ou Mobile Money.</w:t>
      </w:r>
    </w:p>
    <w:p>
      <w:pPr>
        <w:pStyle w:val="ListBullet"/>
      </w:pPr>
      <w:r>
        <w:t>Aucun wallet, SellerBalance, settlement ou PaymentLink.</w:t>
      </w:r>
    </w:p>
    <w:p>
      <w:pPr>
        <w:pStyle w:val="ListBullet"/>
      </w:pPr>
      <w:r>
        <w:t>Aucun Order, Cart, paiement en ligne ni conversion de devise.</w:t>
      </w:r>
    </w:p>
    <w:p>
      <w:pPr>
        <w:pStyle w:val="ListBullet"/>
      </w:pPr>
      <w:r>
        <w:t>Aucune facturation ou subscription plateforme implémentée.</w:t>
      </w:r>
    </w:p>
    <w:p>
      <w:pPr>
        <w:pStyle w:val="Heading2"/>
      </w:pPr>
      <w:r>
        <w:t>Évolutions futures — non implémentées</w:t>
      </w:r>
    </w:p>
    <w:p>
      <w:r>
        <w:t>Un paiement en ligne futur pourra créer PaymentTransaction avec recording_mode=AUTOMATIC puis FinancialMovement après confirmation. Une négociation future devra conserver prix catalogue, prix convenu, vendeur, client et montant contrôlé serveur. Si la plateforme détient réellement des fonds, un circuit distinct SellerBalance/Wallet/Settlement sera nécessaire ; il ne doit pas être confondu avec la caisse vendeur.</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Finance Niveau 1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ECOMMERCE  |  ARCHITECTURE FINANCIÈRE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E6A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