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9BD" w:rsidRPr="003A4EA7" w:rsidRDefault="001B69BD" w:rsidP="001B69BD">
      <w:pPr>
        <w:jc w:val="center"/>
        <w:rPr>
          <w:b/>
          <w:sz w:val="36"/>
          <w:szCs w:val="36"/>
          <w:u w:val="single"/>
          <w:lang w:val="de-DE"/>
        </w:rPr>
      </w:pPr>
      <w:r w:rsidRPr="003A4EA7">
        <w:rPr>
          <w:b/>
          <w:sz w:val="36"/>
          <w:szCs w:val="36"/>
          <w:u w:val="single"/>
          <w:lang w:val="de-DE"/>
        </w:rPr>
        <w:t xml:space="preserve">Staatliche Maßnahmen in der Sozialen Marktwirtschaft </w:t>
      </w:r>
    </w:p>
    <w:p w:rsidR="004751A4" w:rsidRPr="003A4EA7" w:rsidRDefault="001B69BD" w:rsidP="001B69BD">
      <w:pPr>
        <w:jc w:val="center"/>
        <w:rPr>
          <w:b/>
          <w:sz w:val="36"/>
          <w:szCs w:val="36"/>
          <w:u w:val="single"/>
          <w:lang w:val="de-DE"/>
        </w:rPr>
      </w:pPr>
      <w:r w:rsidRPr="003A4EA7">
        <w:rPr>
          <w:b/>
          <w:sz w:val="36"/>
          <w:szCs w:val="36"/>
          <w:u w:val="single"/>
          <w:lang w:val="de-DE"/>
        </w:rPr>
        <w:t>zur Erfüllung seiner Ordnungsaufgaben</w:t>
      </w:r>
    </w:p>
    <w:p w:rsidR="001B69BD" w:rsidRDefault="001B69BD" w:rsidP="001B69BD">
      <w:pPr>
        <w:rPr>
          <w:b/>
          <w:sz w:val="32"/>
          <w:szCs w:val="32"/>
          <w:u w:val="single"/>
          <w:lang w:val="de-DE"/>
        </w:rPr>
      </w:pPr>
    </w:p>
    <w:p w:rsidR="001B69BD" w:rsidRPr="003A4EA7" w:rsidRDefault="001B69BD" w:rsidP="001B69BD">
      <w:pPr>
        <w:rPr>
          <w:sz w:val="32"/>
          <w:szCs w:val="32"/>
          <w:u w:val="single"/>
          <w:lang w:val="de-DE"/>
        </w:rPr>
      </w:pPr>
      <w:r w:rsidRPr="003A4EA7">
        <w:rPr>
          <w:sz w:val="32"/>
          <w:szCs w:val="32"/>
          <w:u w:val="single"/>
          <w:lang w:val="de-DE"/>
        </w:rPr>
        <w:t>Bildungspolitik:</w:t>
      </w:r>
    </w:p>
    <w:p w:rsidR="001B69BD" w:rsidRPr="003A4EA7" w:rsidRDefault="001B69BD" w:rsidP="001B69BD">
      <w:pPr>
        <w:rPr>
          <w:rFonts w:ascii="Verdana" w:hAnsi="Verdana"/>
          <w:color w:val="000000" w:themeColor="text1"/>
          <w:sz w:val="20"/>
          <w:szCs w:val="20"/>
          <w:shd w:val="clear" w:color="auto" w:fill="FFFFFF"/>
          <w:lang w:val="de-DE"/>
        </w:rPr>
      </w:pPr>
      <w:r w:rsidRPr="003A4EA7">
        <w:rPr>
          <w:rFonts w:ascii="Verdana" w:hAnsi="Verdana"/>
          <w:color w:val="000000" w:themeColor="text1"/>
          <w:sz w:val="20"/>
          <w:szCs w:val="20"/>
          <w:shd w:val="clear" w:color="auto" w:fill="FFFFFF"/>
          <w:lang w:val="de-DE"/>
        </w:rPr>
        <w:t>Sowohl die Primarstufe</w:t>
      </w:r>
      <w:r w:rsidRPr="003A4EA7">
        <w:rPr>
          <w:rFonts w:ascii="Verdana" w:hAnsi="Verdana"/>
          <w:color w:val="000000" w:themeColor="text1"/>
          <w:sz w:val="20"/>
          <w:szCs w:val="20"/>
          <w:shd w:val="clear" w:color="auto" w:fill="FFFFFF"/>
          <w:lang w:val="de-DE"/>
        </w:rPr>
        <w:t xml:space="preserve"> (Grundschule)</w:t>
      </w:r>
      <w:r w:rsidRPr="003A4EA7">
        <w:rPr>
          <w:rFonts w:ascii="Verdana" w:hAnsi="Verdana"/>
          <w:color w:val="000000" w:themeColor="text1"/>
          <w:sz w:val="20"/>
          <w:szCs w:val="20"/>
          <w:shd w:val="clear" w:color="auto" w:fill="FFFFFF"/>
          <w:lang w:val="de-DE"/>
        </w:rPr>
        <w:t xml:space="preserve"> als auch die Sekundarstufe I</w:t>
      </w:r>
      <w:r w:rsidRPr="003A4EA7">
        <w:rPr>
          <w:rFonts w:ascii="Verdana" w:hAnsi="Verdana"/>
          <w:color w:val="000000" w:themeColor="text1"/>
          <w:sz w:val="20"/>
          <w:szCs w:val="20"/>
          <w:shd w:val="clear" w:color="auto" w:fill="FFFFFF"/>
          <w:lang w:val="de-DE"/>
        </w:rPr>
        <w:t xml:space="preserve"> (</w:t>
      </w:r>
      <w:r w:rsidRPr="003A4EA7">
        <w:rPr>
          <w:rFonts w:ascii="Verdana" w:hAnsi="Verdana"/>
          <w:color w:val="000000" w:themeColor="text1"/>
          <w:sz w:val="20"/>
          <w:szCs w:val="20"/>
          <w:shd w:val="clear" w:color="auto" w:fill="FFFFFF"/>
          <w:lang w:val="de-DE"/>
        </w:rPr>
        <w:t>Hauptschule, Realschule, Gymnasium oder Gesamtschule</w:t>
      </w:r>
      <w:r w:rsidRPr="003A4EA7">
        <w:rPr>
          <w:rFonts w:ascii="Verdana" w:hAnsi="Verdana"/>
          <w:color w:val="000000" w:themeColor="text1"/>
          <w:sz w:val="20"/>
          <w:szCs w:val="20"/>
          <w:shd w:val="clear" w:color="auto" w:fill="FFFFFF"/>
          <w:lang w:val="de-DE"/>
        </w:rPr>
        <w:t>)</w:t>
      </w:r>
      <w:r w:rsidRPr="003A4EA7">
        <w:rPr>
          <w:rFonts w:ascii="Verdana" w:hAnsi="Verdana"/>
          <w:color w:val="000000" w:themeColor="text1"/>
          <w:sz w:val="20"/>
          <w:szCs w:val="20"/>
          <w:shd w:val="clear" w:color="auto" w:fill="FFFFFF"/>
          <w:lang w:val="de-DE"/>
        </w:rPr>
        <w:t xml:space="preserve"> müssen von allen deutschen Bundesbürgern durchlaufen werden. </w:t>
      </w:r>
    </w:p>
    <w:p w:rsidR="001B69BD" w:rsidRPr="003A4EA7" w:rsidRDefault="001B69BD" w:rsidP="001B69BD">
      <w:pPr>
        <w:rPr>
          <w:rFonts w:ascii="Verdana" w:hAnsi="Verdana"/>
          <w:color w:val="000000" w:themeColor="text1"/>
          <w:sz w:val="20"/>
          <w:szCs w:val="20"/>
          <w:shd w:val="clear" w:color="auto" w:fill="FFFFFF"/>
          <w:lang w:val="de-DE"/>
        </w:rPr>
      </w:pPr>
      <w:r w:rsidRPr="003A4EA7">
        <w:rPr>
          <w:rFonts w:ascii="Verdana" w:hAnsi="Verdana"/>
          <w:color w:val="000000" w:themeColor="text1"/>
          <w:sz w:val="20"/>
          <w:szCs w:val="20"/>
          <w:shd w:val="clear" w:color="auto" w:fill="FFFFFF"/>
          <w:lang w:val="de-DE"/>
        </w:rPr>
        <w:t>Sie bilden die sogenannte Schulpflicht. Die nachfolgenden Stufen stellen Optionen zur weiteren Qualifikation dar. Außerdem besteht in Deutschland die Möglichkeit, vor der Primarstufe einen Kindergarten zu besuchen oder eine andere Form der </w:t>
      </w:r>
      <w:r w:rsidRPr="003A4EA7">
        <w:rPr>
          <w:rFonts w:ascii="Verdana" w:hAnsi="Verdana"/>
          <w:color w:val="000000" w:themeColor="text1"/>
          <w:sz w:val="20"/>
          <w:szCs w:val="20"/>
          <w:shd w:val="clear" w:color="auto" w:fill="FFFFFF"/>
          <w:lang w:val="de-DE"/>
        </w:rPr>
        <w:t>Frühkindlichen Bildung</w:t>
      </w:r>
      <w:r w:rsidRPr="003A4EA7">
        <w:rPr>
          <w:rFonts w:ascii="Verdana" w:hAnsi="Verdana"/>
          <w:color w:val="000000" w:themeColor="text1"/>
          <w:sz w:val="20"/>
          <w:szCs w:val="20"/>
          <w:shd w:val="clear" w:color="auto" w:fill="FFFFFF"/>
          <w:lang w:val="de-DE"/>
        </w:rPr>
        <w:t> zu genießen.</w:t>
      </w:r>
    </w:p>
    <w:p w:rsidR="00544114" w:rsidRPr="00544114" w:rsidRDefault="00544114" w:rsidP="001B69BD">
      <w:pPr>
        <w:rPr>
          <w:sz w:val="20"/>
          <w:szCs w:val="20"/>
          <w:u w:val="single"/>
          <w:lang w:val="de-DE"/>
        </w:rPr>
      </w:pPr>
    </w:p>
    <w:p w:rsidR="001B69BD" w:rsidRPr="003A4EA7" w:rsidRDefault="001B69BD" w:rsidP="001B69BD">
      <w:pPr>
        <w:rPr>
          <w:sz w:val="32"/>
          <w:szCs w:val="32"/>
          <w:u w:val="single"/>
          <w:lang w:val="de-DE"/>
        </w:rPr>
      </w:pPr>
      <w:r w:rsidRPr="003A4EA7">
        <w:rPr>
          <w:sz w:val="32"/>
          <w:szCs w:val="32"/>
          <w:u w:val="single"/>
          <w:lang w:val="de-DE"/>
        </w:rPr>
        <w:t>Einkommensumverteilungspolitik:</w:t>
      </w:r>
    </w:p>
    <w:p w:rsidR="00544114" w:rsidRPr="003A4EA7" w:rsidRDefault="00544114" w:rsidP="001B69BD">
      <w:pPr>
        <w:rPr>
          <w:rFonts w:ascii="Verdana" w:hAnsi="Verdana" w:cs="Arial"/>
          <w:color w:val="000000" w:themeColor="text1"/>
          <w:sz w:val="20"/>
          <w:szCs w:val="20"/>
          <w:shd w:val="clear" w:color="auto" w:fill="FFFFFF"/>
          <w:lang w:val="de-DE"/>
        </w:rPr>
      </w:pPr>
      <w:r w:rsidRPr="003A4EA7">
        <w:rPr>
          <w:rFonts w:ascii="Verdana" w:hAnsi="Verdana" w:cs="Arial"/>
          <w:color w:val="000000" w:themeColor="text1"/>
          <w:sz w:val="20"/>
          <w:szCs w:val="20"/>
          <w:shd w:val="clear" w:color="auto" w:fill="FFFFFF"/>
          <w:lang w:val="de-DE"/>
        </w:rPr>
        <w:t xml:space="preserve">Das Leistungsprinzip, </w:t>
      </w:r>
      <w:r w:rsidRPr="003A4EA7">
        <w:rPr>
          <w:rFonts w:ascii="Verdana" w:hAnsi="Verdana" w:cs="Arial"/>
          <w:color w:val="000000" w:themeColor="text1"/>
          <w:sz w:val="20"/>
          <w:szCs w:val="20"/>
          <w:shd w:val="clear" w:color="auto" w:fill="FFFFFF"/>
          <w:lang w:val="de-DE"/>
        </w:rPr>
        <w:t>nach der jede Wirtschaftseinheit derart entlohnt werden soll, dass ihr </w:t>
      </w:r>
      <w:hyperlink r:id="rId5" w:history="1">
        <w:r w:rsidRPr="003A4EA7">
          <w:rPr>
            <w:rStyle w:val="Hyperlink"/>
            <w:rFonts w:ascii="Verdana" w:hAnsi="Verdana" w:cs="Arial"/>
            <w:color w:val="000000" w:themeColor="text1"/>
            <w:sz w:val="20"/>
            <w:szCs w:val="20"/>
            <w:u w:val="none"/>
            <w:shd w:val="clear" w:color="auto" w:fill="FFFFFF"/>
            <w:lang w:val="de-DE"/>
          </w:rPr>
          <w:t>Einkommen</w:t>
        </w:r>
      </w:hyperlink>
      <w:r w:rsidRPr="003A4EA7">
        <w:rPr>
          <w:rFonts w:ascii="Verdana" w:hAnsi="Verdana" w:cs="Arial"/>
          <w:color w:val="000000" w:themeColor="text1"/>
          <w:sz w:val="20"/>
          <w:szCs w:val="20"/>
          <w:shd w:val="clear" w:color="auto" w:fill="FFFFFF"/>
          <w:lang w:val="de-DE"/>
        </w:rPr>
        <w:t> mit der individuellen </w:t>
      </w:r>
      <w:hyperlink r:id="rId6" w:history="1">
        <w:r w:rsidRPr="003A4EA7">
          <w:rPr>
            <w:rStyle w:val="Hyperlink"/>
            <w:rFonts w:ascii="Verdana" w:hAnsi="Verdana" w:cs="Arial"/>
            <w:color w:val="000000" w:themeColor="text1"/>
            <w:sz w:val="20"/>
            <w:szCs w:val="20"/>
            <w:u w:val="none"/>
            <w:shd w:val="clear" w:color="auto" w:fill="FFFFFF"/>
            <w:lang w:val="de-DE"/>
          </w:rPr>
          <w:t>Leistung</w:t>
        </w:r>
      </w:hyperlink>
      <w:r w:rsidRPr="003A4EA7">
        <w:rPr>
          <w:rFonts w:ascii="Verdana" w:hAnsi="Verdana" w:cs="Arial"/>
          <w:color w:val="000000" w:themeColor="text1"/>
          <w:sz w:val="20"/>
          <w:szCs w:val="20"/>
          <w:shd w:val="clear" w:color="auto" w:fill="FFFFFF"/>
          <w:lang w:val="de-DE"/>
        </w:rPr>
        <w:t xml:space="preserve"> übereinstimmt, </w:t>
      </w:r>
      <w:r w:rsidRPr="003A4EA7">
        <w:rPr>
          <w:rFonts w:ascii="Verdana" w:hAnsi="Verdana" w:cs="Arial"/>
          <w:color w:val="000000" w:themeColor="text1"/>
          <w:sz w:val="20"/>
          <w:szCs w:val="20"/>
          <w:shd w:val="clear" w:color="auto" w:fill="FFFFFF"/>
          <w:lang w:val="de-DE"/>
        </w:rPr>
        <w:t>welche</w:t>
      </w:r>
      <w:r w:rsidRPr="003A4EA7">
        <w:rPr>
          <w:rFonts w:ascii="Verdana" w:hAnsi="Verdana" w:cs="Arial"/>
          <w:color w:val="000000" w:themeColor="text1"/>
          <w:sz w:val="20"/>
          <w:szCs w:val="20"/>
          <w:shd w:val="clear" w:color="auto" w:fill="FFFFFF"/>
          <w:lang w:val="de-DE"/>
        </w:rPr>
        <w:t xml:space="preserve"> die Wirtschaftseinheit zur Sozialprodukterstellung beiträgt. </w:t>
      </w:r>
    </w:p>
    <w:p w:rsidR="001B69BD" w:rsidRPr="003A4EA7" w:rsidRDefault="00544114" w:rsidP="001B69BD">
      <w:pPr>
        <w:rPr>
          <w:rFonts w:ascii="Verdana" w:hAnsi="Verdana" w:cs="Arial"/>
          <w:color w:val="000000" w:themeColor="text1"/>
          <w:sz w:val="20"/>
          <w:szCs w:val="20"/>
          <w:shd w:val="clear" w:color="auto" w:fill="FFFFFF"/>
          <w:lang w:val="de-DE"/>
        </w:rPr>
      </w:pPr>
      <w:r w:rsidRPr="003A4EA7">
        <w:rPr>
          <w:rFonts w:ascii="Verdana" w:hAnsi="Verdana" w:cs="Arial"/>
          <w:color w:val="000000" w:themeColor="text1"/>
          <w:sz w:val="20"/>
          <w:szCs w:val="20"/>
          <w:shd w:val="clear" w:color="auto" w:fill="FFFFFF"/>
          <w:lang w:val="de-DE"/>
        </w:rPr>
        <w:t>Die</w:t>
      </w:r>
      <w:r w:rsidRPr="003A4EA7">
        <w:rPr>
          <w:rFonts w:ascii="Verdana" w:hAnsi="Verdana" w:cs="Arial"/>
          <w:color w:val="000000" w:themeColor="text1"/>
          <w:sz w:val="20"/>
          <w:szCs w:val="20"/>
          <w:shd w:val="clear" w:color="auto" w:fill="FFFFFF"/>
          <w:lang w:val="de-DE"/>
        </w:rPr>
        <w:t>ses Verteilungsprinzip wird als d</w:t>
      </w:r>
      <w:r w:rsidRPr="003A4EA7">
        <w:rPr>
          <w:rFonts w:ascii="Verdana" w:hAnsi="Verdana" w:cs="Arial"/>
          <w:color w:val="000000" w:themeColor="text1"/>
          <w:sz w:val="20"/>
          <w:szCs w:val="20"/>
          <w:shd w:val="clear" w:color="auto" w:fill="FFFFFF"/>
          <w:lang w:val="de-DE"/>
        </w:rPr>
        <w:t>istributive </w:t>
      </w:r>
      <w:hyperlink r:id="rId7" w:history="1">
        <w:r w:rsidRPr="003A4EA7">
          <w:rPr>
            <w:rStyle w:val="Hyperlink"/>
            <w:rFonts w:ascii="Verdana" w:hAnsi="Verdana" w:cs="Arial"/>
            <w:color w:val="000000" w:themeColor="text1"/>
            <w:sz w:val="20"/>
            <w:szCs w:val="20"/>
            <w:u w:val="none"/>
            <w:shd w:val="clear" w:color="auto" w:fill="FFFFFF"/>
            <w:lang w:val="de-DE"/>
          </w:rPr>
          <w:t>Gerechtigkeit</w:t>
        </w:r>
      </w:hyperlink>
      <w:r w:rsidRPr="003A4EA7">
        <w:rPr>
          <w:rFonts w:ascii="Verdana" w:hAnsi="Verdana" w:cs="Arial"/>
          <w:color w:val="000000" w:themeColor="text1"/>
          <w:sz w:val="20"/>
          <w:szCs w:val="20"/>
          <w:shd w:val="clear" w:color="auto" w:fill="FFFFFF"/>
          <w:lang w:val="de-DE"/>
        </w:rPr>
        <w:t> verstanden, solange gleichwertige </w:t>
      </w:r>
      <w:hyperlink r:id="rId8" w:history="1">
        <w:r w:rsidRPr="003A4EA7">
          <w:rPr>
            <w:rStyle w:val="Hyperlink"/>
            <w:rFonts w:ascii="Verdana" w:hAnsi="Verdana" w:cs="Arial"/>
            <w:color w:val="000000" w:themeColor="text1"/>
            <w:sz w:val="20"/>
            <w:szCs w:val="20"/>
            <w:u w:val="none"/>
            <w:shd w:val="clear" w:color="auto" w:fill="FFFFFF"/>
            <w:lang w:val="de-DE"/>
          </w:rPr>
          <w:t>Leistung</w:t>
        </w:r>
      </w:hyperlink>
      <w:r w:rsidRPr="003A4EA7">
        <w:rPr>
          <w:rFonts w:ascii="Verdana" w:hAnsi="Verdana" w:cs="Arial"/>
          <w:color w:val="000000" w:themeColor="text1"/>
          <w:sz w:val="20"/>
          <w:szCs w:val="20"/>
          <w:shd w:val="clear" w:color="auto" w:fill="FFFFFF"/>
          <w:lang w:val="de-DE"/>
        </w:rPr>
        <w:t xml:space="preserve">en gleich , also </w:t>
      </w:r>
      <w:r w:rsidRPr="003A4EA7">
        <w:rPr>
          <w:rFonts w:ascii="Verdana" w:hAnsi="Verdana" w:cs="Arial"/>
          <w:color w:val="000000" w:themeColor="text1"/>
          <w:sz w:val="20"/>
          <w:szCs w:val="20"/>
          <w:shd w:val="clear" w:color="auto" w:fill="FFFFFF"/>
          <w:lang w:val="de-DE"/>
        </w:rPr>
        <w:t>keine </w:t>
      </w:r>
      <w:hyperlink r:id="rId9" w:history="1">
        <w:r w:rsidRPr="003A4EA7">
          <w:rPr>
            <w:rStyle w:val="Hyperlink"/>
            <w:rFonts w:ascii="Verdana" w:hAnsi="Verdana" w:cs="Arial"/>
            <w:color w:val="000000" w:themeColor="text1"/>
            <w:sz w:val="20"/>
            <w:szCs w:val="20"/>
            <w:u w:val="none"/>
            <w:shd w:val="clear" w:color="auto" w:fill="FFFFFF"/>
            <w:lang w:val="de-DE"/>
          </w:rPr>
          <w:t>Lohndifferenzierung</w:t>
        </w:r>
      </w:hyperlink>
      <w:r w:rsidRPr="003A4EA7">
        <w:rPr>
          <w:rFonts w:ascii="Verdana" w:hAnsi="Verdana" w:cs="Arial"/>
          <w:color w:val="000000" w:themeColor="text1"/>
          <w:sz w:val="20"/>
          <w:szCs w:val="20"/>
          <w:shd w:val="clear" w:color="auto" w:fill="FFFFFF"/>
          <w:lang w:val="de-DE"/>
        </w:rPr>
        <w:t> zwischen</w:t>
      </w:r>
      <w:r w:rsidRPr="003A4EA7">
        <w:rPr>
          <w:rFonts w:ascii="Verdana" w:hAnsi="Verdana" w:cs="Arial"/>
          <w:color w:val="000000" w:themeColor="text1"/>
          <w:sz w:val="20"/>
          <w:szCs w:val="20"/>
          <w:shd w:val="clear" w:color="auto" w:fill="FFFFFF"/>
          <w:lang w:val="de-DE"/>
        </w:rPr>
        <w:t xml:space="preserve"> den Geschlechtern und Rassen </w:t>
      </w:r>
      <w:r w:rsidRPr="003A4EA7">
        <w:rPr>
          <w:rFonts w:ascii="Verdana" w:hAnsi="Verdana" w:cs="Arial"/>
          <w:color w:val="000000" w:themeColor="text1"/>
          <w:sz w:val="20"/>
          <w:szCs w:val="20"/>
          <w:shd w:val="clear" w:color="auto" w:fill="FFFFFF"/>
          <w:lang w:val="de-DE"/>
        </w:rPr>
        <w:t>und ungleiche </w:t>
      </w:r>
      <w:hyperlink r:id="rId10" w:history="1">
        <w:r w:rsidRPr="003A4EA7">
          <w:rPr>
            <w:rStyle w:val="Hyperlink"/>
            <w:rFonts w:ascii="Verdana" w:hAnsi="Verdana" w:cs="Arial"/>
            <w:color w:val="000000" w:themeColor="text1"/>
            <w:sz w:val="20"/>
            <w:szCs w:val="20"/>
            <w:u w:val="none"/>
            <w:shd w:val="clear" w:color="auto" w:fill="FFFFFF"/>
            <w:lang w:val="de-DE"/>
          </w:rPr>
          <w:t>Leistung</w:t>
        </w:r>
      </w:hyperlink>
      <w:r w:rsidRPr="003A4EA7">
        <w:rPr>
          <w:rFonts w:ascii="Verdana" w:hAnsi="Verdana" w:cs="Arial"/>
          <w:color w:val="000000" w:themeColor="text1"/>
          <w:sz w:val="20"/>
          <w:szCs w:val="20"/>
          <w:shd w:val="clear" w:color="auto" w:fill="FFFFFF"/>
          <w:lang w:val="de-DE"/>
        </w:rPr>
        <w:t>en nach ihrer Verhältnismässigkeit entgolten werden.</w:t>
      </w:r>
    </w:p>
    <w:p w:rsidR="00544114" w:rsidRPr="00544114" w:rsidRDefault="00544114" w:rsidP="001B69BD">
      <w:pPr>
        <w:rPr>
          <w:lang w:val="de-DE"/>
        </w:rPr>
      </w:pPr>
    </w:p>
    <w:p w:rsidR="001B69BD" w:rsidRPr="003A4EA7" w:rsidRDefault="001B69BD" w:rsidP="001B69BD">
      <w:pPr>
        <w:rPr>
          <w:sz w:val="32"/>
          <w:szCs w:val="32"/>
          <w:u w:val="single"/>
          <w:lang w:val="de-DE"/>
        </w:rPr>
      </w:pPr>
      <w:r w:rsidRPr="003A4EA7">
        <w:rPr>
          <w:sz w:val="32"/>
          <w:szCs w:val="32"/>
          <w:u w:val="single"/>
          <w:lang w:val="de-DE"/>
        </w:rPr>
        <w:t>Schutz des arbeitenden Menschen und Absicherung von Arbeitsrisiken:</w:t>
      </w:r>
    </w:p>
    <w:p w:rsidR="00544114" w:rsidRPr="003A4EA7" w:rsidRDefault="00544114" w:rsidP="00544114">
      <w:pPr>
        <w:spacing w:after="0" w:line="240" w:lineRule="auto"/>
        <w:rPr>
          <w:rFonts w:ascii="Verdana" w:hAnsi="Verdana"/>
          <w:color w:val="000000" w:themeColor="text1"/>
          <w:sz w:val="20"/>
          <w:szCs w:val="20"/>
          <w:lang w:val="de-DE"/>
        </w:rPr>
      </w:pPr>
      <w:r w:rsidRPr="003A4EA7">
        <w:rPr>
          <w:rFonts w:ascii="Verdana" w:hAnsi="Verdana"/>
          <w:color w:val="000000" w:themeColor="text1"/>
          <w:sz w:val="20"/>
          <w:szCs w:val="20"/>
          <w:lang w:val="de-DE"/>
        </w:rPr>
        <w:t>Beispiele:</w:t>
      </w:r>
    </w:p>
    <w:p w:rsidR="00544114" w:rsidRPr="003A4EA7" w:rsidRDefault="00544114" w:rsidP="00544114">
      <w:pPr>
        <w:spacing w:after="0" w:line="240" w:lineRule="auto"/>
        <w:rPr>
          <w:rFonts w:ascii="Verdana" w:hAnsi="Verdana"/>
          <w:color w:val="000000" w:themeColor="text1"/>
          <w:sz w:val="20"/>
          <w:szCs w:val="20"/>
          <w:lang w:val="de-DE"/>
        </w:rPr>
      </w:pPr>
      <w:r w:rsidRPr="003A4EA7">
        <w:rPr>
          <w:rFonts w:ascii="Verdana" w:hAnsi="Verdana"/>
          <w:color w:val="000000" w:themeColor="text1"/>
          <w:sz w:val="20"/>
          <w:szCs w:val="20"/>
          <w:lang w:val="de-DE"/>
        </w:rPr>
        <w:t xml:space="preserve">Arbeitsschutzgesetz, </w:t>
      </w:r>
    </w:p>
    <w:p w:rsidR="00544114" w:rsidRPr="003A4EA7" w:rsidRDefault="00544114" w:rsidP="00544114">
      <w:pPr>
        <w:spacing w:after="0" w:line="240" w:lineRule="auto"/>
        <w:rPr>
          <w:rFonts w:ascii="Verdana" w:eastAsia="Times New Roman" w:hAnsi="Verdana" w:cs="Arial"/>
          <w:color w:val="000000" w:themeColor="text1"/>
          <w:sz w:val="20"/>
          <w:szCs w:val="20"/>
          <w:lang w:val="de-DE"/>
        </w:rPr>
      </w:pPr>
      <w:r w:rsidRPr="003A4EA7">
        <w:rPr>
          <w:rFonts w:ascii="Verdana" w:eastAsia="Times New Roman" w:hAnsi="Verdana" w:cs="Arial"/>
          <w:color w:val="000000" w:themeColor="text1"/>
          <w:sz w:val="20"/>
          <w:szCs w:val="20"/>
          <w:lang w:val="de-DE"/>
        </w:rPr>
        <w:t xml:space="preserve">Arbeitszeitgesetz, </w:t>
      </w:r>
    </w:p>
    <w:p w:rsidR="00544114" w:rsidRPr="003A4EA7" w:rsidRDefault="00544114" w:rsidP="00544114">
      <w:pPr>
        <w:spacing w:after="0" w:line="240" w:lineRule="auto"/>
        <w:rPr>
          <w:rFonts w:ascii="Verdana" w:eastAsia="Times New Roman" w:hAnsi="Verdana" w:cs="Arial"/>
          <w:color w:val="000000" w:themeColor="text1"/>
          <w:sz w:val="20"/>
          <w:szCs w:val="20"/>
          <w:lang w:val="de-DE"/>
        </w:rPr>
      </w:pPr>
      <w:r w:rsidRPr="00544114">
        <w:rPr>
          <w:rFonts w:ascii="Verdana" w:eastAsia="Times New Roman" w:hAnsi="Verdana" w:cs="Arial"/>
          <w:color w:val="000000" w:themeColor="text1"/>
          <w:sz w:val="20"/>
          <w:szCs w:val="20"/>
          <w:lang w:val="de-DE"/>
        </w:rPr>
        <w:t>Bildschirmarbeitsplatzverordnung</w:t>
      </w:r>
      <w:r w:rsidRPr="003A4EA7">
        <w:rPr>
          <w:rFonts w:ascii="Verdana" w:eastAsia="Times New Roman" w:hAnsi="Verdana" w:cs="Arial"/>
          <w:color w:val="000000" w:themeColor="text1"/>
          <w:sz w:val="20"/>
          <w:szCs w:val="20"/>
          <w:lang w:val="de-DE"/>
        </w:rPr>
        <w:t xml:space="preserve">, </w:t>
      </w:r>
    </w:p>
    <w:p w:rsidR="00544114" w:rsidRPr="003A4EA7" w:rsidRDefault="00544114" w:rsidP="00544114">
      <w:pPr>
        <w:spacing w:after="0" w:line="240" w:lineRule="auto"/>
        <w:rPr>
          <w:rFonts w:ascii="Verdana" w:eastAsia="Times New Roman" w:hAnsi="Verdana" w:cs="Arial"/>
          <w:color w:val="000000" w:themeColor="text1"/>
          <w:sz w:val="20"/>
          <w:szCs w:val="20"/>
          <w:lang w:val="de-DE"/>
        </w:rPr>
      </w:pPr>
      <w:r w:rsidRPr="00544114">
        <w:rPr>
          <w:rFonts w:ascii="Verdana" w:eastAsia="Times New Roman" w:hAnsi="Verdana" w:cs="Arial"/>
          <w:color w:val="000000" w:themeColor="text1"/>
          <w:sz w:val="20"/>
          <w:szCs w:val="20"/>
          <w:lang w:val="de-DE"/>
        </w:rPr>
        <w:t>Jugendarbeitsschutzgesetz</w:t>
      </w:r>
      <w:r w:rsidRPr="003A4EA7">
        <w:rPr>
          <w:rFonts w:ascii="Verdana" w:eastAsia="Times New Roman" w:hAnsi="Verdana" w:cs="Arial"/>
          <w:color w:val="000000" w:themeColor="text1"/>
          <w:sz w:val="20"/>
          <w:szCs w:val="20"/>
          <w:lang w:val="de-DE"/>
        </w:rPr>
        <w:t xml:space="preserve">, </w:t>
      </w:r>
    </w:p>
    <w:p w:rsidR="00544114" w:rsidRPr="003A4EA7" w:rsidRDefault="00544114" w:rsidP="00544114">
      <w:pPr>
        <w:spacing w:after="0" w:line="240" w:lineRule="auto"/>
        <w:rPr>
          <w:rFonts w:ascii="Verdana" w:eastAsia="Times New Roman" w:hAnsi="Verdana" w:cs="Arial"/>
          <w:color w:val="000000" w:themeColor="text1"/>
          <w:sz w:val="20"/>
          <w:szCs w:val="20"/>
          <w:lang w:val="de-DE"/>
        </w:rPr>
      </w:pPr>
      <w:r w:rsidRPr="00544114">
        <w:rPr>
          <w:rFonts w:ascii="Verdana" w:eastAsia="Times New Roman" w:hAnsi="Verdana" w:cs="Arial"/>
          <w:color w:val="000000" w:themeColor="text1"/>
          <w:sz w:val="20"/>
          <w:szCs w:val="20"/>
          <w:lang w:val="de-DE"/>
        </w:rPr>
        <w:t>Grundgesetz</w:t>
      </w:r>
      <w:r w:rsidRPr="003A4EA7">
        <w:rPr>
          <w:rFonts w:ascii="Verdana" w:eastAsia="Times New Roman" w:hAnsi="Verdana" w:cs="Arial"/>
          <w:color w:val="000000" w:themeColor="text1"/>
          <w:sz w:val="20"/>
          <w:szCs w:val="20"/>
          <w:lang w:val="de-DE"/>
        </w:rPr>
        <w:t xml:space="preserve">, </w:t>
      </w:r>
    </w:p>
    <w:p w:rsidR="00544114" w:rsidRPr="00544114" w:rsidRDefault="00544114" w:rsidP="00544114">
      <w:pPr>
        <w:spacing w:after="0" w:line="240" w:lineRule="auto"/>
        <w:rPr>
          <w:rFonts w:ascii="Verdana" w:eastAsia="Times New Roman" w:hAnsi="Verdana" w:cs="Arial"/>
          <w:color w:val="000000" w:themeColor="text1"/>
          <w:sz w:val="20"/>
          <w:szCs w:val="20"/>
          <w:lang w:val="de-DE"/>
        </w:rPr>
      </w:pPr>
      <w:r w:rsidRPr="00544114">
        <w:rPr>
          <w:rFonts w:ascii="Verdana" w:eastAsia="Times New Roman" w:hAnsi="Verdana" w:cs="Arial"/>
          <w:color w:val="000000" w:themeColor="text1"/>
          <w:sz w:val="20"/>
          <w:szCs w:val="20"/>
          <w:lang w:val="de-DE"/>
        </w:rPr>
        <w:t>Mutterschutzgesetz</w:t>
      </w:r>
    </w:p>
    <w:p w:rsidR="001B69BD" w:rsidRPr="00544114" w:rsidRDefault="001B69BD" w:rsidP="001B69BD">
      <w:pPr>
        <w:rPr>
          <w:sz w:val="28"/>
          <w:szCs w:val="28"/>
          <w:lang w:val="de-DE"/>
        </w:rPr>
      </w:pPr>
    </w:p>
    <w:p w:rsidR="001B69BD" w:rsidRPr="003A4EA7" w:rsidRDefault="001B69BD" w:rsidP="001B69BD">
      <w:pPr>
        <w:rPr>
          <w:sz w:val="32"/>
          <w:szCs w:val="32"/>
          <w:u w:val="single"/>
          <w:lang w:val="de-DE"/>
        </w:rPr>
      </w:pPr>
      <w:r w:rsidRPr="003A4EA7">
        <w:rPr>
          <w:sz w:val="32"/>
          <w:szCs w:val="32"/>
          <w:u w:val="single"/>
          <w:lang w:val="de-DE"/>
        </w:rPr>
        <w:t>Unterstützung von bedürftigen Bevölkerungskreisen:</w:t>
      </w:r>
    </w:p>
    <w:p w:rsidR="001B69BD" w:rsidRPr="003A4EA7" w:rsidRDefault="00544114" w:rsidP="001B69BD">
      <w:pPr>
        <w:rPr>
          <w:rFonts w:ascii="Verdana" w:hAnsi="Verdana"/>
          <w:sz w:val="20"/>
          <w:szCs w:val="20"/>
          <w:lang w:val="de-DE"/>
        </w:rPr>
      </w:pPr>
      <w:r w:rsidRPr="003A4EA7">
        <w:rPr>
          <w:rFonts w:ascii="Verdana" w:hAnsi="Verdana"/>
          <w:sz w:val="20"/>
          <w:szCs w:val="20"/>
          <w:lang w:val="de-DE"/>
        </w:rPr>
        <w:t xml:space="preserve">Harzt VI, </w:t>
      </w:r>
      <w:r w:rsidR="003A4EA7">
        <w:rPr>
          <w:rFonts w:ascii="Verdana" w:hAnsi="Verdana"/>
          <w:sz w:val="20"/>
          <w:szCs w:val="20"/>
          <w:lang w:val="de-DE"/>
        </w:rPr>
        <w:t xml:space="preserve">Soziale Wohnungsgebiete, Kindergeld, Lebensmittelgutscheine, Obdachlosenheimförderung, </w:t>
      </w:r>
      <w:bookmarkStart w:id="0" w:name="_GoBack"/>
      <w:bookmarkEnd w:id="0"/>
    </w:p>
    <w:p w:rsidR="003A4EA7" w:rsidRDefault="003A4EA7" w:rsidP="001B69BD">
      <w:pPr>
        <w:rPr>
          <w:sz w:val="32"/>
          <w:szCs w:val="32"/>
          <w:u w:val="single"/>
          <w:lang w:val="de-DE"/>
        </w:rPr>
      </w:pPr>
    </w:p>
    <w:p w:rsidR="003A4EA7" w:rsidRDefault="003A4EA7" w:rsidP="001B69BD">
      <w:pPr>
        <w:rPr>
          <w:sz w:val="32"/>
          <w:szCs w:val="32"/>
          <w:u w:val="single"/>
          <w:lang w:val="de-DE"/>
        </w:rPr>
      </w:pPr>
    </w:p>
    <w:p w:rsidR="001B69BD" w:rsidRPr="003A4EA7" w:rsidRDefault="001B69BD" w:rsidP="001B69BD">
      <w:pPr>
        <w:rPr>
          <w:sz w:val="32"/>
          <w:szCs w:val="32"/>
          <w:u w:val="single"/>
          <w:lang w:val="de-DE"/>
        </w:rPr>
      </w:pPr>
      <w:r w:rsidRPr="003A4EA7">
        <w:rPr>
          <w:sz w:val="32"/>
          <w:szCs w:val="32"/>
          <w:u w:val="single"/>
          <w:lang w:val="de-DE"/>
        </w:rPr>
        <w:t>Konjunktur- und Beschäftigungspolitik:</w:t>
      </w:r>
    </w:p>
    <w:p w:rsidR="001B69BD" w:rsidRDefault="003A4EA7" w:rsidP="001B69BD">
      <w:pPr>
        <w:rPr>
          <w:sz w:val="28"/>
          <w:szCs w:val="28"/>
          <w:u w:val="single"/>
          <w:lang w:val="de-DE"/>
        </w:rPr>
      </w:pPr>
      <w:r w:rsidRPr="003A4EA7">
        <w:rPr>
          <w:rFonts w:ascii="Helvetica" w:hAnsi="Helvetica"/>
          <w:color w:val="000000"/>
          <w:sz w:val="23"/>
          <w:szCs w:val="23"/>
          <w:shd w:val="clear" w:color="auto" w:fill="FFFFFF"/>
          <w:lang w:val="de-DE"/>
        </w:rPr>
        <w:t>Kündigungsschutz</w:t>
      </w:r>
      <w:r w:rsidRPr="003A4EA7">
        <w:rPr>
          <w:rFonts w:ascii="Helvetica" w:hAnsi="Helvetica"/>
          <w:color w:val="000000"/>
          <w:sz w:val="23"/>
          <w:szCs w:val="23"/>
          <w:shd w:val="clear" w:color="auto" w:fill="FFFFFF"/>
          <w:lang w:val="de-DE"/>
        </w:rPr>
        <w:t xml:space="preserve">, </w:t>
      </w:r>
      <w:r w:rsidRPr="003A4EA7">
        <w:rPr>
          <w:rFonts w:ascii="Helvetica" w:hAnsi="Helvetica"/>
          <w:color w:val="000000"/>
          <w:sz w:val="23"/>
          <w:szCs w:val="23"/>
          <w:shd w:val="clear" w:color="auto" w:fill="FFFFFF"/>
          <w:lang w:val="de-DE"/>
        </w:rPr>
        <w:t>Arbeitslosengeldzahlungen</w:t>
      </w:r>
      <w:r>
        <w:rPr>
          <w:rFonts w:ascii="Helvetica" w:hAnsi="Helvetica"/>
          <w:color w:val="000000"/>
          <w:sz w:val="23"/>
          <w:szCs w:val="23"/>
          <w:shd w:val="clear" w:color="auto" w:fill="FFFFFF"/>
          <w:lang w:val="de-DE"/>
        </w:rPr>
        <w:t xml:space="preserve">, </w:t>
      </w:r>
      <w:r w:rsidRPr="003A4EA7">
        <w:rPr>
          <w:rFonts w:ascii="Helvetica" w:hAnsi="Helvetica"/>
          <w:color w:val="000000"/>
          <w:sz w:val="23"/>
          <w:szCs w:val="23"/>
          <w:shd w:val="clear" w:color="auto" w:fill="FFFFFF"/>
          <w:lang w:val="de-DE"/>
        </w:rPr>
        <w:t>Mindestlohnregelungen</w:t>
      </w:r>
      <w:r w:rsidRPr="003A4EA7">
        <w:rPr>
          <w:rFonts w:ascii="Helvetica" w:hAnsi="Helvetica"/>
          <w:color w:val="000000"/>
          <w:sz w:val="23"/>
          <w:szCs w:val="23"/>
          <w:shd w:val="clear" w:color="auto" w:fill="FFFFFF"/>
          <w:lang w:val="de-DE"/>
        </w:rPr>
        <w:t xml:space="preserve">, </w:t>
      </w:r>
      <w:r w:rsidRPr="003A4EA7">
        <w:rPr>
          <w:rFonts w:ascii="Helvetica" w:hAnsi="Helvetica"/>
          <w:color w:val="000000"/>
          <w:sz w:val="23"/>
          <w:szCs w:val="23"/>
          <w:shd w:val="clear" w:color="auto" w:fill="FFFFFF"/>
          <w:lang w:val="de-DE"/>
        </w:rPr>
        <w:t>Qualifikationsanforderungen</w:t>
      </w:r>
    </w:p>
    <w:p w:rsidR="001B69BD" w:rsidRPr="003A4EA7" w:rsidRDefault="001B69BD" w:rsidP="001B69BD">
      <w:pPr>
        <w:rPr>
          <w:sz w:val="32"/>
          <w:szCs w:val="32"/>
          <w:u w:val="single"/>
          <w:lang w:val="de-DE"/>
        </w:rPr>
      </w:pPr>
      <w:r w:rsidRPr="003A4EA7">
        <w:rPr>
          <w:sz w:val="32"/>
          <w:szCs w:val="32"/>
          <w:u w:val="single"/>
          <w:lang w:val="de-DE"/>
        </w:rPr>
        <w:t>Wettbewerbspolitik:</w:t>
      </w:r>
    </w:p>
    <w:p w:rsidR="003A4EA7" w:rsidRPr="003A4EA7" w:rsidRDefault="003A4EA7" w:rsidP="001B69BD">
      <w:pPr>
        <w:rPr>
          <w:rFonts w:ascii="Verdana" w:hAnsi="Verdana"/>
          <w:color w:val="000000" w:themeColor="text1"/>
          <w:sz w:val="20"/>
          <w:szCs w:val="20"/>
          <w:u w:val="single"/>
          <w:lang w:val="de-DE"/>
        </w:rPr>
      </w:pPr>
      <w:r w:rsidRPr="003A4EA7">
        <w:rPr>
          <w:rFonts w:ascii="Verdana" w:hAnsi="Verdana" w:cs="Segoe UI"/>
          <w:color w:val="000000" w:themeColor="text1"/>
          <w:sz w:val="20"/>
          <w:szCs w:val="20"/>
          <w:shd w:val="clear" w:color="auto" w:fill="FFFFFF"/>
          <w:lang w:val="de-DE"/>
        </w:rPr>
        <w:t>Die Wettbewerbspolitik ist ein Teilbereich der staatlichen Ordnungs- und Wirtschaftspolitik. Sie umfasst die staatlichen Maßnahmen, die der Aufrechterhaltung des freien Wettbewerbs dienen sollen. In Deutschland gibt es zu diesem Zweck das Gesetz gegen Wettbewerbsbeschränkungen (GWB). Zu den wichtigsten Bestimmungen des GWB zählen:</w:t>
      </w:r>
    </w:p>
    <w:p w:rsidR="001B69BD" w:rsidRPr="003A4EA7" w:rsidRDefault="00544114" w:rsidP="001B69BD">
      <w:pPr>
        <w:rPr>
          <w:rFonts w:ascii="Verdana" w:hAnsi="Verdana" w:cs="Segoe UI"/>
          <w:color w:val="000000" w:themeColor="text1"/>
          <w:sz w:val="20"/>
          <w:szCs w:val="20"/>
          <w:shd w:val="clear" w:color="auto" w:fill="FFFFFF"/>
          <w:lang w:val="de-DE"/>
        </w:rPr>
      </w:pPr>
      <w:r w:rsidRPr="003A4EA7">
        <w:rPr>
          <w:rFonts w:ascii="Verdana" w:hAnsi="Verdana" w:cs="Segoe UI"/>
          <w:color w:val="000000" w:themeColor="text1"/>
          <w:sz w:val="20"/>
          <w:szCs w:val="20"/>
          <w:shd w:val="clear" w:color="auto" w:fill="FFFFFF"/>
          <w:lang w:val="de-DE"/>
        </w:rPr>
        <w:t>Kartellverbot</w:t>
      </w:r>
      <w:r w:rsidRPr="003A4EA7">
        <w:rPr>
          <w:rFonts w:ascii="Verdana" w:hAnsi="Verdana" w:cs="Segoe UI"/>
          <w:color w:val="000000" w:themeColor="text1"/>
          <w:sz w:val="20"/>
          <w:szCs w:val="20"/>
          <w:shd w:val="clear" w:color="auto" w:fill="FFFFFF"/>
          <w:lang w:val="de-DE"/>
        </w:rPr>
        <w:t xml:space="preserve">, </w:t>
      </w:r>
      <w:r w:rsidRPr="003A4EA7">
        <w:rPr>
          <w:rFonts w:ascii="Verdana" w:hAnsi="Verdana" w:cs="Segoe UI"/>
          <w:color w:val="000000" w:themeColor="text1"/>
          <w:sz w:val="20"/>
          <w:szCs w:val="20"/>
          <w:shd w:val="clear" w:color="auto" w:fill="FFFFFF"/>
          <w:lang w:val="de-DE"/>
        </w:rPr>
        <w:t>Missbrauchsaufsicht</w:t>
      </w:r>
      <w:r w:rsidRPr="003A4EA7">
        <w:rPr>
          <w:rFonts w:ascii="Verdana" w:hAnsi="Verdana" w:cs="Segoe UI"/>
          <w:color w:val="000000" w:themeColor="text1"/>
          <w:sz w:val="20"/>
          <w:szCs w:val="20"/>
          <w:shd w:val="clear" w:color="auto" w:fill="FFFFFF"/>
          <w:lang w:val="de-DE"/>
        </w:rPr>
        <w:t xml:space="preserve">, </w:t>
      </w:r>
      <w:r w:rsidRPr="003A4EA7">
        <w:rPr>
          <w:rFonts w:ascii="Verdana" w:hAnsi="Verdana" w:cs="Segoe UI"/>
          <w:color w:val="000000" w:themeColor="text1"/>
          <w:sz w:val="20"/>
          <w:szCs w:val="20"/>
          <w:shd w:val="clear" w:color="auto" w:fill="FFFFFF"/>
          <w:lang w:val="de-DE"/>
        </w:rPr>
        <w:t>Fusionskontrolle</w:t>
      </w:r>
      <w:r w:rsidR="003A4EA7" w:rsidRPr="003A4EA7">
        <w:rPr>
          <w:rFonts w:ascii="Verdana" w:hAnsi="Verdana" w:cs="Segoe UI"/>
          <w:color w:val="000000" w:themeColor="text1"/>
          <w:sz w:val="20"/>
          <w:szCs w:val="20"/>
          <w:shd w:val="clear" w:color="auto" w:fill="FFFFFF"/>
          <w:lang w:val="de-DE"/>
        </w:rPr>
        <w:t>.</w:t>
      </w:r>
    </w:p>
    <w:p w:rsidR="003A4EA7" w:rsidRPr="003A4EA7" w:rsidRDefault="003A4EA7" w:rsidP="001B69BD">
      <w:pPr>
        <w:rPr>
          <w:rFonts w:ascii="Verdana" w:hAnsi="Verdana"/>
          <w:color w:val="000000" w:themeColor="text1"/>
          <w:sz w:val="20"/>
          <w:szCs w:val="20"/>
          <w:lang w:val="de-DE"/>
        </w:rPr>
      </w:pPr>
      <w:r w:rsidRPr="003A4EA7">
        <w:rPr>
          <w:rFonts w:ascii="Verdana" w:hAnsi="Verdana" w:cs="Segoe UI"/>
          <w:color w:val="000000" w:themeColor="text1"/>
          <w:sz w:val="20"/>
          <w:szCs w:val="20"/>
          <w:shd w:val="clear" w:color="auto" w:fill="FFFFFF"/>
          <w:lang w:val="de-DE"/>
        </w:rPr>
        <w:t>In Deutschland wacht das Bundeskartellamt über die Einhaltung des GWB. Darüber hinaus ist auch die Europäische Kommission aufgrund der Vorschriften des EU-Vertrags für die Wettbewerbspolitik zuständig. So fallen beispielsweise Zusammenschlüsse von EU-weiter Bedeutung in die Zuständigkeit der Brüsseler Wettbewerbshüter. Die europäische Wettbewerbspolitik widmet sich auch der Bekämpfung staatlicher Wettbewerbsbeschränkungen.</w:t>
      </w:r>
    </w:p>
    <w:p w:rsidR="001B69BD" w:rsidRPr="003A4EA7" w:rsidRDefault="001B69BD" w:rsidP="001B69BD">
      <w:pPr>
        <w:rPr>
          <w:sz w:val="32"/>
          <w:szCs w:val="32"/>
          <w:u w:val="single"/>
          <w:lang w:val="de-DE"/>
        </w:rPr>
      </w:pPr>
      <w:r w:rsidRPr="003A4EA7">
        <w:rPr>
          <w:sz w:val="32"/>
          <w:szCs w:val="32"/>
          <w:u w:val="single"/>
          <w:lang w:val="de-DE"/>
        </w:rPr>
        <w:t>Umweltpolitik:</w:t>
      </w:r>
    </w:p>
    <w:p w:rsidR="00544114" w:rsidRPr="003A4EA7" w:rsidRDefault="00544114" w:rsidP="001B69BD">
      <w:pPr>
        <w:rPr>
          <w:rFonts w:ascii="Verdana" w:hAnsi="Verdana" w:cs="Arial"/>
          <w:color w:val="000000" w:themeColor="text1"/>
          <w:sz w:val="20"/>
          <w:szCs w:val="20"/>
          <w:shd w:val="clear" w:color="auto" w:fill="FFFFFF"/>
          <w:lang w:val="de-DE"/>
        </w:rPr>
      </w:pPr>
      <w:r w:rsidRPr="003A4EA7">
        <w:rPr>
          <w:rFonts w:ascii="Verdana" w:hAnsi="Verdana" w:cs="Arial"/>
          <w:color w:val="000000" w:themeColor="text1"/>
          <w:sz w:val="20"/>
          <w:szCs w:val="20"/>
          <w:shd w:val="clear" w:color="auto" w:fill="FFFFFF"/>
          <w:lang w:val="de-DE"/>
        </w:rPr>
        <w:t>Umweltpolitische Instrumente sind Mittel, die der Staat einsetzt, um die Produzenten und die Konsumenten zu veranlassen, entsprechend den festgelegten umweltpolitischen Zielen Maßnahmen der Vermeidung, Verringerung oder Beseitigung von Umweltbelastungen zu ergreifen</w:t>
      </w:r>
      <w:r w:rsidRPr="003A4EA7">
        <w:rPr>
          <w:rFonts w:ascii="Verdana" w:hAnsi="Verdana" w:cs="Arial"/>
          <w:color w:val="000000" w:themeColor="text1"/>
          <w:sz w:val="20"/>
          <w:szCs w:val="20"/>
          <w:shd w:val="clear" w:color="auto" w:fill="FFFFFF"/>
          <w:lang w:val="de-DE"/>
        </w:rPr>
        <w:t>:</w:t>
      </w:r>
    </w:p>
    <w:p w:rsidR="00544114" w:rsidRPr="003A4EA7" w:rsidRDefault="00544114" w:rsidP="001B69BD">
      <w:pPr>
        <w:rPr>
          <w:rFonts w:ascii="Verdana" w:hAnsi="Verdana" w:cs="Arial"/>
          <w:color w:val="000000" w:themeColor="text1"/>
          <w:sz w:val="20"/>
          <w:szCs w:val="20"/>
          <w:shd w:val="clear" w:color="auto" w:fill="FFFFFF"/>
          <w:lang w:val="de-DE"/>
        </w:rPr>
      </w:pPr>
      <w:r w:rsidRPr="003A4EA7">
        <w:rPr>
          <w:rFonts w:ascii="Verdana" w:hAnsi="Verdana" w:cs="Arial"/>
          <w:color w:val="000000" w:themeColor="text1"/>
          <w:sz w:val="20"/>
          <w:szCs w:val="20"/>
          <w:shd w:val="clear" w:color="auto" w:fill="FFFFFF"/>
          <w:lang w:val="de-DE"/>
        </w:rPr>
        <w:t>Schadstoff- gebote und v</w:t>
      </w:r>
      <w:r w:rsidRPr="003A4EA7">
        <w:rPr>
          <w:rFonts w:ascii="Verdana" w:hAnsi="Verdana" w:cs="Arial"/>
          <w:color w:val="000000" w:themeColor="text1"/>
          <w:sz w:val="20"/>
          <w:szCs w:val="20"/>
          <w:shd w:val="clear" w:color="auto" w:fill="FFFFFF"/>
          <w:lang w:val="de-DE"/>
        </w:rPr>
        <w:t>erbote</w:t>
      </w:r>
      <w:r w:rsidRPr="003A4EA7">
        <w:rPr>
          <w:rFonts w:ascii="Verdana" w:hAnsi="Verdana" w:cs="Arial"/>
          <w:color w:val="000000" w:themeColor="text1"/>
          <w:sz w:val="20"/>
          <w:szCs w:val="20"/>
          <w:shd w:val="clear" w:color="auto" w:fill="FFFFFF"/>
          <w:lang w:val="de-DE"/>
        </w:rPr>
        <w:t>,</w:t>
      </w:r>
    </w:p>
    <w:p w:rsidR="00544114" w:rsidRPr="003A4EA7" w:rsidRDefault="00544114" w:rsidP="001B69BD">
      <w:pPr>
        <w:rPr>
          <w:rFonts w:ascii="Verdana" w:hAnsi="Verdana" w:cs="Arial"/>
          <w:color w:val="000000" w:themeColor="text1"/>
          <w:sz w:val="20"/>
          <w:szCs w:val="20"/>
          <w:shd w:val="clear" w:color="auto" w:fill="FFFFFF"/>
          <w:lang w:val="de-DE"/>
        </w:rPr>
      </w:pPr>
      <w:r w:rsidRPr="003A4EA7">
        <w:rPr>
          <w:rFonts w:ascii="Verdana" w:hAnsi="Verdana" w:cs="Arial"/>
          <w:color w:val="000000" w:themeColor="text1"/>
          <w:sz w:val="20"/>
          <w:szCs w:val="20"/>
          <w:shd w:val="clear" w:color="auto" w:fill="FFFFFF"/>
          <w:lang w:val="de-DE"/>
        </w:rPr>
        <w:t xml:space="preserve">Vorschriften und Steuern, </w:t>
      </w:r>
      <w:r w:rsidRPr="003A4EA7">
        <w:rPr>
          <w:rFonts w:ascii="Verdana" w:hAnsi="Verdana"/>
          <w:color w:val="000000" w:themeColor="text1"/>
          <w:sz w:val="20"/>
          <w:szCs w:val="20"/>
          <w:lang w:val="de-DE"/>
        </w:rPr>
        <w:t>Pigou-Steuer, Verursacherprinzip, Vorsorgeprinzip,</w:t>
      </w:r>
      <w:r w:rsidRPr="003A4EA7">
        <w:rPr>
          <w:rStyle w:val="Hyperlink"/>
          <w:rFonts w:ascii="Verdana" w:hAnsi="Verdana" w:cs="Arial"/>
          <w:b/>
          <w:bCs/>
          <w:color w:val="000000" w:themeColor="text1"/>
          <w:sz w:val="20"/>
          <w:szCs w:val="20"/>
          <w:shd w:val="clear" w:color="auto" w:fill="FFFFFF"/>
          <w:lang w:val="de-DE"/>
        </w:rPr>
        <w:t xml:space="preserve"> </w:t>
      </w:r>
      <w:r w:rsidRPr="003A4EA7">
        <w:rPr>
          <w:rStyle w:val="Strong"/>
          <w:rFonts w:ascii="Verdana" w:hAnsi="Verdana" w:cs="Arial"/>
          <w:b w:val="0"/>
          <w:bCs w:val="0"/>
          <w:color w:val="000000" w:themeColor="text1"/>
          <w:sz w:val="20"/>
          <w:szCs w:val="20"/>
          <w:shd w:val="clear" w:color="auto" w:fill="FFFFFF"/>
          <w:lang w:val="de-DE"/>
        </w:rPr>
        <w:t>Ordnungsrecht</w:t>
      </w:r>
      <w:r w:rsidRPr="003A4EA7">
        <w:rPr>
          <w:rStyle w:val="Strong"/>
          <w:rFonts w:ascii="Verdana" w:hAnsi="Verdana" w:cs="Arial"/>
          <w:b w:val="0"/>
          <w:bCs w:val="0"/>
          <w:color w:val="000000" w:themeColor="text1"/>
          <w:sz w:val="20"/>
          <w:szCs w:val="20"/>
          <w:shd w:val="clear" w:color="auto" w:fill="FFFFFF"/>
          <w:lang w:val="de-DE"/>
        </w:rPr>
        <w:t xml:space="preserve">, </w:t>
      </w:r>
      <w:r w:rsidRPr="003A4EA7">
        <w:rPr>
          <w:rStyle w:val="Strong"/>
          <w:rFonts w:ascii="Verdana" w:hAnsi="Verdana" w:cs="Arial"/>
          <w:b w:val="0"/>
          <w:bCs w:val="0"/>
          <w:color w:val="000000" w:themeColor="text1"/>
          <w:sz w:val="20"/>
          <w:szCs w:val="20"/>
          <w:shd w:val="clear" w:color="auto" w:fill="FFFFFF"/>
          <w:lang w:val="de-DE"/>
        </w:rPr>
        <w:t>Öffentliche Ausgaben</w:t>
      </w:r>
      <w:r w:rsidRPr="003A4EA7">
        <w:rPr>
          <w:rStyle w:val="Strong"/>
          <w:rFonts w:ascii="Verdana" w:hAnsi="Verdana" w:cs="Arial"/>
          <w:b w:val="0"/>
          <w:bCs w:val="0"/>
          <w:color w:val="000000" w:themeColor="text1"/>
          <w:sz w:val="20"/>
          <w:szCs w:val="20"/>
          <w:shd w:val="clear" w:color="auto" w:fill="FFFFFF"/>
          <w:lang w:val="de-DE"/>
        </w:rPr>
        <w:t>/ Einnahmen</w:t>
      </w:r>
    </w:p>
    <w:sectPr w:rsidR="00544114" w:rsidRPr="003A4E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D7927"/>
    <w:multiLevelType w:val="multilevel"/>
    <w:tmpl w:val="508A56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BE"/>
    <w:rsid w:val="001B69BD"/>
    <w:rsid w:val="003A4EA7"/>
    <w:rsid w:val="004751A4"/>
    <w:rsid w:val="00544114"/>
    <w:rsid w:val="00F97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EDAC"/>
  <w15:chartTrackingRefBased/>
  <w15:docId w15:val="{A0B77C3F-36DA-4027-9315-93A7843B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69BD"/>
    <w:rPr>
      <w:color w:val="0000FF"/>
      <w:u w:val="single"/>
    </w:rPr>
  </w:style>
  <w:style w:type="character" w:styleId="Strong">
    <w:name w:val="Strong"/>
    <w:basedOn w:val="DefaultParagraphFont"/>
    <w:uiPriority w:val="22"/>
    <w:qFormat/>
    <w:rsid w:val="005441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29648">
      <w:bodyDiv w:val="1"/>
      <w:marLeft w:val="0"/>
      <w:marRight w:val="0"/>
      <w:marTop w:val="0"/>
      <w:marBottom w:val="0"/>
      <w:divBdr>
        <w:top w:val="none" w:sz="0" w:space="0" w:color="auto"/>
        <w:left w:val="none" w:sz="0" w:space="0" w:color="auto"/>
        <w:bottom w:val="none" w:sz="0" w:space="0" w:color="auto"/>
        <w:right w:val="none" w:sz="0" w:space="0" w:color="auto"/>
      </w:divBdr>
    </w:div>
    <w:div w:id="97402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rtschaftslexikon24.com/d/leistung/leistung.htm" TargetMode="External"/><Relationship Id="rId3" Type="http://schemas.openxmlformats.org/officeDocument/2006/relationships/settings" Target="settings.xml"/><Relationship Id="rId7" Type="http://schemas.openxmlformats.org/officeDocument/2006/relationships/hyperlink" Target="http://www.wirtschaftslexikon24.com/d/gerechtigkeit/gerechtigkei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rtschaftslexikon24.com/d/leistung/leistung.htm" TargetMode="External"/><Relationship Id="rId11" Type="http://schemas.openxmlformats.org/officeDocument/2006/relationships/fontTable" Target="fontTable.xml"/><Relationship Id="rId5" Type="http://schemas.openxmlformats.org/officeDocument/2006/relationships/hyperlink" Target="http://www.wirtschaftslexikon24.com/d/einkommen/einkommen.htm" TargetMode="External"/><Relationship Id="rId10" Type="http://schemas.openxmlformats.org/officeDocument/2006/relationships/hyperlink" Target="http://www.wirtschaftslexikon24.com/d/leistung/leistung.htm" TargetMode="External"/><Relationship Id="rId4" Type="http://schemas.openxmlformats.org/officeDocument/2006/relationships/webSettings" Target="webSettings.xml"/><Relationship Id="rId9" Type="http://schemas.openxmlformats.org/officeDocument/2006/relationships/hyperlink" Target="http://www.wirtschaftslexikon24.com/d/lohndifferenzierung/lohndifferenzieru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Jones</dc:creator>
  <cp:keywords/>
  <dc:description/>
  <cp:lastModifiedBy>Harrison Jones</cp:lastModifiedBy>
  <cp:revision>2</cp:revision>
  <dcterms:created xsi:type="dcterms:W3CDTF">2019-11-21T08:17:00Z</dcterms:created>
  <dcterms:modified xsi:type="dcterms:W3CDTF">2019-11-21T08:45:00Z</dcterms:modified>
</cp:coreProperties>
</file>