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sz w:val="60"/>
        </w:rPr>
        <w:t>UK AI Economic Measurement Lab</w:t>
      </w:r>
    </w:p>
    <w:p>
      <w:pPr>
        <w:jc w:val="center"/>
      </w:pPr>
      <w:r>
        <w:rPr>
          <w:b/>
          <w:sz w:val="38"/>
        </w:rPr>
        <w:t>Google Antigravity Operator &amp; Build Guide</w:t>
      </w:r>
    </w:p>
    <w:p>
      <w:pPr>
        <w:jc w:val="center"/>
      </w:pPr>
      <w:r>
        <w:rPr>
          <w:i/>
          <w:sz w:val="24"/>
        </w:rPr>
        <w:t>A controlled operating model for building a statistically credible public methodology product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shd w:fill="E8EEF4"/>
            <w:vAlign w:val="center"/>
            <w:shd w:fill="D9EAF7"/>
          </w:tcPr>
          <w:p>
            <w:r>
              <w:rPr>
                <w:b/>
              </w:rPr>
              <w:t>Project detail</w:t>
            </w:r>
          </w:p>
        </w:tc>
        <w:tc>
          <w:tcPr>
            <w:tcW w:type="dxa" w:w="6048"/>
            <w:vAlign w:val="center"/>
            <w:shd w:fill="D9EAF7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  <w:shd w:fill="E8EEF4"/>
            <w:vAlign w:val="center"/>
            <w:shd w:fill="E8EEF4"/>
          </w:tcPr>
          <w:p>
            <w:r>
              <w:t>Owner</w:t>
            </w:r>
          </w:p>
        </w:tc>
        <w:tc>
          <w:tcPr>
            <w:tcW w:type="dxa" w:w="6048"/>
            <w:vAlign w:val="center"/>
            <w:shd w:fill="FFFFFF"/>
          </w:tcPr>
          <w:p>
            <w:r>
              <w:t>Daramola Omoyele</w:t>
            </w:r>
          </w:p>
        </w:tc>
      </w:tr>
      <w:tr>
        <w:tc>
          <w:tcPr>
            <w:tcW w:type="dxa" w:w="2880"/>
            <w:shd w:fill="E8EEF4"/>
            <w:vAlign w:val="center"/>
            <w:shd w:fill="E8EEF4"/>
          </w:tcPr>
          <w:p>
            <w:r>
              <w:t>Build environment</w:t>
            </w:r>
          </w:p>
        </w:tc>
        <w:tc>
          <w:tcPr>
            <w:tcW w:type="dxa" w:w="6048"/>
            <w:vAlign w:val="center"/>
            <w:shd w:fill="FFFFFF"/>
          </w:tcPr>
          <w:p>
            <w:r>
              <w:t>Google Antigravity 2.0 / Antigravity IDE</w:t>
            </w:r>
          </w:p>
        </w:tc>
      </w:tr>
      <w:tr>
        <w:tc>
          <w:tcPr>
            <w:tcW w:type="dxa" w:w="2880"/>
            <w:shd w:fill="E8EEF4"/>
            <w:vAlign w:val="center"/>
            <w:shd w:fill="E8EEF4"/>
          </w:tcPr>
          <w:p>
            <w:r>
              <w:t>Planning baseline</w:t>
            </w:r>
          </w:p>
        </w:tc>
        <w:tc>
          <w:tcPr>
            <w:tcW w:type="dxa" w:w="6048"/>
            <w:vAlign w:val="center"/>
            <w:shd w:fill="FFFFFF"/>
          </w:tcPr>
          <w:p>
            <w:r>
              <w:t>21 September 2026</w:t>
            </w:r>
          </w:p>
        </w:tc>
      </w:tr>
      <w:tr>
        <w:tc>
          <w:tcPr>
            <w:tcW w:type="dxa" w:w="5040"/>
            <w:shd w:fill="E8EEF4"/>
          </w:tcPr>
          <w:p>
            <w:r>
              <w:t>Current authorised scope</w:t>
            </w:r>
          </w:p>
        </w:tc>
        <w:tc>
          <w:tcPr>
            <w:tcW w:type="dxa" w:w="5040"/>
            <w:shd w:fill="FFFFFF"/>
          </w:tcPr>
          <w:p>
            <w:r>
              <w:t>Phase 0/1 only</w:t>
            </w:r>
          </w:p>
        </w:tc>
      </w:tr>
    </w:tbl>
    <w:p/>
    <w:p>
      <w:pPr>
        <w:spacing w:before="200" w:after="160"/>
      </w:pPr>
      <w:r>
        <w:rPr>
          <w:b/>
        </w:rPr>
        <w:t xml:space="preserve">Core rule: </w:t>
      </w:r>
      <w:r>
        <w:t>Antigravity must explore, plan, obtain human review, execute, verify, report, and stop at the phase gate. It must not build the whole product in one autonomous run.</w:t>
      </w:r>
    </w:p>
    <w:p>
      <w:r>
        <w:t>Status: Independent research prototype. It is not an Office for National Statistics product and must not imply ONS endorsement.</w:t>
      </w:r>
    </w:p>
    <w:p>
      <w:r>
        <w:br w:type="page"/>
      </w:r>
    </w:p>
    <w:p>
      <w:pPr>
        <w:pStyle w:val="Heading1"/>
      </w:pPr>
      <w:r>
        <w:t>1. Why the repository is designed specifically for Google Antigravity</w:t>
      </w:r>
    </w:p>
    <w:p>
      <w:r>
        <w:t>Google Antigravity is an agent-first environment with project-scoped context, persistent Rules, reusable Agent Skills, specialist agents, browser/terminal tooling and reviewable Implementation Plan artifacts. This package uses those capabilities deliberately rather than treating Antigravity as a generic chat-based code generator.</w:t>
      </w:r>
    </w:p>
    <w:p>
      <w:pPr>
        <w:pStyle w:val="Heading2"/>
      </w:pPr>
      <w:r>
        <w:t>Project-scoped context</w:t>
      </w:r>
    </w:p>
    <w:p>
      <w:r>
        <w:t>The repository root is the project boundary for Phase 0/1. Non-workspace access should remain disabled so unrelated local files do not become context.</w:t>
      </w:r>
    </w:p>
    <w:p>
      <w:pPr>
        <w:pStyle w:val="Heading2"/>
      </w:pPr>
      <w:r>
        <w:t>Rules</w:t>
      </w:r>
    </w:p>
    <w:p>
      <w:r>
        <w:t>Persistent statistical, architectural, testing and accessibility constraints live in .agents/rules/.</w:t>
      </w:r>
    </w:p>
    <w:p>
      <w:pPr>
        <w:pStyle w:val="Heading2"/>
      </w:pPr>
      <w:r>
        <w:t>Skills</w:t>
      </w:r>
    </w:p>
    <w:p>
      <w:r>
        <w:t>Task procedures live in .agents/skills/. Skills are intentionally focused so Antigravity loads detailed instructions only when relevant.</w:t>
      </w:r>
    </w:p>
    <w:p>
      <w:pPr>
        <w:pStyle w:val="Heading2"/>
      </w:pPr>
      <w:r>
        <w:t>Specialist agents</w:t>
      </w:r>
    </w:p>
    <w:p>
      <w:r>
        <w:t>Optional methodology, data-engineering, QA and accessibility agents can independently review bounded parts of the work.</w:t>
      </w:r>
    </w:p>
    <w:p>
      <w:pPr>
        <w:pStyle w:val="Heading2"/>
      </w:pPr>
      <w:r>
        <w:t>Artifacts</w:t>
      </w:r>
    </w:p>
    <w:p>
      <w:r>
        <w:t>The Implementation Plan, validation evidence and browser-verification artifacts are treated as governance checkpoints, not optional commentary.</w:t>
      </w:r>
    </w:p>
    <w:p>
      <w:pPr>
        <w:pStyle w:val="Heading1"/>
      </w:pPr>
      <w:r>
        <w:t>2. First-run Antigravity configuration</w:t>
      </w:r>
    </w:p>
    <w:p>
      <w:pPr>
        <w:pStyle w:val="ListBullet"/>
      </w:pPr>
      <w:r>
        <w:t>Create/open one Antigravity Project using this repository root only.</w:t>
      </w:r>
    </w:p>
    <w:p>
      <w:pPr>
        <w:pStyle w:val="ListBullet"/>
      </w:pPr>
      <w:r>
        <w:t>Use Planning Mode for the first conversation.</w:t>
      </w:r>
    </w:p>
    <w:p>
      <w:pPr>
        <w:pStyle w:val="ListBullet"/>
      </w:pPr>
      <w:r>
        <w:t>On Windows, prefer Proceed in Sandbox where available; otherwise Request Review.</w:t>
      </w:r>
    </w:p>
    <w:p>
      <w:pPr>
        <w:pStyle w:val="ListBullet"/>
      </w:pPr>
      <w:r>
        <w:t>Keep non-workspace file access off.</w:t>
      </w:r>
    </w:p>
    <w:p>
      <w:pPr>
        <w:pStyle w:val="ListBullet"/>
      </w:pPr>
      <w:r>
        <w:t>Do not enable unrestricted/full-machine access for the initial build.</w:t>
      </w:r>
    </w:p>
    <w:p>
      <w:pPr>
        <w:pStyle w:val="ListBullet"/>
      </w:pPr>
      <w:r>
        <w:t>Allow browser access for official-source verification and UI testing, but record authoritative source URLs and access dates.</w:t>
      </w:r>
    </w:p>
    <w:p>
      <w:pPr>
        <w:pStyle w:val="ListBullet"/>
      </w:pPr>
      <w:r>
        <w:t>Use Git from the start and keep Phase 0/1 changes reviewable.</w:t>
      </w:r>
    </w:p>
    <w:p>
      <w:r>
        <w:rPr>
          <w:b/>
        </w:rPr>
        <w:t>The first prompt is stored at prompts/00_FIRST_ANTIGRAVITY_PROMPT.md. It asks Antigravity to inspect and plan only. Do not click Proceed until the Implementation Plan has been reviewed against the product contract.</w:t>
      </w:r>
    </w:p>
    <w:p>
      <w:r>
        <w:br w:type="page"/>
      </w:r>
    </w:p>
    <w:p>
      <w:pPr>
        <w:pStyle w:val="Heading1"/>
      </w:pPr>
      <w:r>
        <w:t>3. Antigravity control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</w:tcPr>
          <w:p>
            <w:r>
              <w:rPr>
                <w:b/>
              </w:rPr>
              <w:t>Repository area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3360"/>
            <w:shd w:fill="D9EAF7"/>
          </w:tcPr>
          <w:p>
            <w:r>
              <w:rPr>
                <w:b/>
              </w:rPr>
              <w:t>How to use it</w:t>
            </w:r>
          </w:p>
        </w:tc>
      </w:tr>
      <w:tr>
        <w:tc>
          <w:tcPr>
            <w:tcW w:type="dxa" w:w="3360"/>
          </w:tcPr>
          <w:p>
            <w:r>
              <w:t>.agents/rules/</w:t>
            </w:r>
          </w:p>
        </w:tc>
        <w:tc>
          <w:tcPr>
            <w:tcW w:type="dxa" w:w="3360"/>
          </w:tcPr>
          <w:p>
            <w:r>
              <w:t>Persistent constraints</w:t>
            </w:r>
          </w:p>
        </w:tc>
        <w:tc>
          <w:tcPr>
            <w:tcW w:type="dxa" w:w="3360"/>
          </w:tcPr>
          <w:p>
            <w:r>
              <w:t>Keep project contract, statistical integrity, test and accessibility rules active.</w:t>
            </w:r>
          </w:p>
        </w:tc>
      </w:tr>
      <w:tr>
        <w:tc>
          <w:tcPr>
            <w:tcW w:type="dxa" w:w="3360"/>
          </w:tcPr>
          <w:p>
            <w:r>
              <w:t>.agents/skills/</w:t>
            </w:r>
          </w:p>
        </w:tc>
        <w:tc>
          <w:tcPr>
            <w:tcW w:type="dxa" w:w="3360"/>
          </w:tcPr>
          <w:p>
            <w:r>
              <w:t>Reusable procedures</w:t>
            </w:r>
          </w:p>
        </w:tc>
        <w:tc>
          <w:tcPr>
            <w:tcW w:type="dxa" w:w="3360"/>
          </w:tcPr>
          <w:p>
            <w:r>
              <w:t>Use phase-foundation, provenance, statistical-validation, accessibility and release-gate skills.</w:t>
            </w:r>
          </w:p>
        </w:tc>
      </w:tr>
      <w:tr>
        <w:tc>
          <w:tcPr>
            <w:tcW w:type="dxa" w:w="3360"/>
          </w:tcPr>
          <w:p>
            <w:r>
              <w:t>.agents/agents/</w:t>
            </w:r>
          </w:p>
        </w:tc>
        <w:tc>
          <w:tcPr>
            <w:tcW w:type="dxa" w:w="3360"/>
          </w:tcPr>
          <w:p>
            <w:r>
              <w:t>Specialist reviewers</w:t>
            </w:r>
          </w:p>
        </w:tc>
        <w:tc>
          <w:tcPr>
            <w:tcW w:type="dxa" w:w="3360"/>
          </w:tcPr>
          <w:p>
            <w:r>
              <w:t>Use for independent methodology, data, QA and accessibility review.</w:t>
            </w:r>
          </w:p>
        </w:tc>
      </w:tr>
      <w:tr>
        <w:tc>
          <w:tcPr>
            <w:tcW w:type="dxa" w:w="3360"/>
          </w:tcPr>
          <w:p>
            <w:r>
              <w:t>prompts/</w:t>
            </w:r>
          </w:p>
        </w:tc>
        <w:tc>
          <w:tcPr>
            <w:tcW w:type="dxa" w:w="3360"/>
          </w:tcPr>
          <w:p>
            <w:r>
              <w:t>Exact operator prompts</w:t>
            </w:r>
          </w:p>
        </w:tc>
        <w:tc>
          <w:tcPr>
            <w:tcW w:type="dxa" w:w="3360"/>
          </w:tcPr>
          <w:p>
            <w:r>
              <w:t>Paste the relevant prompt into a fresh or continuing Antigravity conversation.</w:t>
            </w:r>
          </w:p>
        </w:tc>
      </w:tr>
      <w:tr>
        <w:tc>
          <w:tcPr>
            <w:tcW w:type="dxa" w:w="3360"/>
          </w:tcPr>
          <w:p>
            <w:r>
              <w:t>docs/</w:t>
            </w:r>
          </w:p>
        </w:tc>
        <w:tc>
          <w:tcPr>
            <w:tcW w:type="dxa" w:w="3360"/>
          </w:tcPr>
          <w:p>
            <w:r>
              <w:t>Product contract</w:t>
            </w:r>
          </w:p>
        </w:tc>
        <w:tc>
          <w:tcPr>
            <w:tcW w:type="dxa" w:w="3360"/>
          </w:tcPr>
          <w:p>
            <w:r>
              <w:t>Treat these files as authoritative specifications; record material changes rather than relying on chat memory.</w:t>
            </w:r>
          </w:p>
        </w:tc>
      </w:tr>
      <w:tr>
        <w:tc>
          <w:tcPr>
            <w:tcW w:type="dxa" w:w="3360"/>
          </w:tcPr>
          <w:p>
            <w:r>
              <w:t>project-status/STATUS.md</w:t>
            </w:r>
          </w:p>
        </w:tc>
        <w:tc>
          <w:tcPr>
            <w:tcW w:type="dxa" w:w="3360"/>
          </w:tcPr>
          <w:p>
            <w:r>
              <w:t>Current state</w:t>
            </w:r>
          </w:p>
        </w:tc>
        <w:tc>
          <w:tcPr>
            <w:tcW w:type="dxa" w:w="3360"/>
          </w:tcPr>
          <w:p>
            <w:r>
              <w:t>Update after material sessions so a fresh agent can recover phase, evidence, risks and next action.</w:t>
            </w:r>
          </w:p>
        </w:tc>
      </w:tr>
    </w:tbl>
    <w:p>
      <w:pPr>
        <w:pStyle w:val="Heading1"/>
      </w:pPr>
      <w:r>
        <w:t>4. Phase 0/1 authorised build</w:t>
      </w:r>
    </w:p>
    <w:p>
      <w:r>
        <w:t>Phase 0/1 establishes trust before advanced modelling. The goal is a reproducible official-source pipeline plus the first two public pages — not an AI-GDP estimate.</w:t>
      </w:r>
    </w:p>
    <w:p>
      <w:r>
        <w:rPr>
          <w:b/>
        </w:rPr>
        <w:t xml:space="preserve">A. Repository foundation: </w:t>
      </w:r>
      <w:r>
        <w:t>Scaffold web, analytical, package, data and test layers; lock dependencies; create reproducible commands.</w:t>
      </w:r>
    </w:p>
    <w:p>
      <w:r>
        <w:rPr>
          <w:b/>
        </w:rPr>
        <w:t xml:space="preserve">B. Source provenance: </w:t>
      </w:r>
      <w:r>
        <w:t>Implement a machine-readable source manifest with publisher, title, URLs, period, vintage, local path, SHA-256 and status.</w:t>
      </w:r>
    </w:p>
    <w:p>
      <w:r>
        <w:rPr>
          <w:b/>
        </w:rPr>
        <w:t xml:space="preserve">C. Official-data acquisition: </w:t>
      </w:r>
      <w:r>
        <w:t>Verify current ONS/GOV.UK sources in the browser; download deterministically; preserve immutable raw snapshots.</w:t>
      </w:r>
    </w:p>
    <w:p>
      <w:r>
        <w:rPr>
          <w:b/>
        </w:rPr>
        <w:t xml:space="preserve">D. Transform and validate: </w:t>
      </w:r>
      <w:r>
        <w:t>Create tidy analytical tables; test codes, keys, duplicates, missingness, units, vintages and source reconciliations.</w:t>
      </w:r>
    </w:p>
    <w:p>
      <w:r>
        <w:rPr>
          <w:b/>
        </w:rPr>
        <w:t xml:space="preserve">E. Home page: </w:t>
      </w:r>
      <w:r>
        <w:t>Explain the research problem, independence, scope and source-status model.</w:t>
      </w:r>
    </w:p>
    <w:p>
      <w:r>
        <w:rPr>
          <w:b/>
        </w:rPr>
        <w:t xml:space="preserve">F. Supply &amp; Use Explorer: </w:t>
      </w:r>
      <w:r>
        <w:t>Present published broad AI-relevant product context with source/vintage metadata and a prominent warning that totals are not AI-output estimates.</w:t>
      </w:r>
    </w:p>
    <w:p>
      <w:r>
        <w:rPr>
          <w:b/>
        </w:rPr>
        <w:t xml:space="preserve">G. QA and browser verification: </w:t>
      </w:r>
      <w:r>
        <w:t>Run unit/data/integration/frontend checks; verify desktop/mobile flows; record evidence and limitations.</w:t>
      </w:r>
    </w:p>
    <w:p>
      <w:pPr>
        <w:pStyle w:val="Heading1"/>
      </w:pPr>
      <w:r>
        <w:t>5. Statistical guardrails Antigravity must preserve</w:t>
      </w:r>
    </w:p>
    <w:p>
      <w:pPr>
        <w:pStyle w:val="ListBullet"/>
      </w:pPr>
      <w:r>
        <w:t>Never invent source data, source metadata or published totals.</w:t>
      </w:r>
    </w:p>
    <w:p>
      <w:pPr>
        <w:pStyle w:val="ListBullet"/>
      </w:pPr>
      <w:r>
        <w:t>Never label broad AI-relevant CPA totals as AI output.</w:t>
      </w:r>
    </w:p>
    <w:p>
      <w:pPr>
        <w:pStyle w:val="ListBullet"/>
      </w:pPr>
      <w:r>
        <w:t>Distinguish published official-statistics source, published research/context source, and prototype estimate/scenario.</w:t>
      </w:r>
    </w:p>
    <w:p>
      <w:pPr>
        <w:pStyle w:val="ListBullet"/>
      </w:pPr>
      <w:r>
        <w:t>Every public number must expose source, population/scope, period, unit, vintage and statistical status.</w:t>
      </w:r>
    </w:p>
    <w:p>
      <w:pPr>
        <w:pStyle w:val="ListBullet"/>
      </w:pPr>
      <w:r>
        <w:t>Raw acquired files are immutable and hashed before transformation.</w:t>
      </w:r>
    </w:p>
    <w:p>
      <w:pPr>
        <w:pStyle w:val="ListBullet"/>
      </w:pPr>
      <w:r>
        <w:t>Unresolved methodological ambiguity becomes a documented assumption, risk or decision — not a hidden agent guess.</w:t>
      </w:r>
    </w:p>
    <w:p>
      <w:pPr>
        <w:pStyle w:val="ListBullet"/>
      </w:pPr>
      <w:r>
        <w:t>No AI-GDP, disaggregation, company classifier or SNA decision engine is authorised in Phase 0/1.</w:t>
      </w:r>
    </w:p>
    <w:p>
      <w:r>
        <w:br w:type="page"/>
      </w:r>
    </w:p>
    <w:p>
      <w:pPr>
        <w:pStyle w:val="Heading1"/>
      </w:pPr>
      <w:r>
        <w:t>6. Exact Antigravity conversation sequence</w:t>
      </w:r>
    </w:p>
    <w:p>
      <w:r>
        <w:rPr>
          <w:b/>
        </w:rPr>
        <w:t>Conversation 1 — Plan</w:t>
      </w:r>
      <w:r>
        <w:t xml:space="preserve"> — Paste prompts/00_FIRST_ANTIGRAVITY_PROMPT.md in Planning Mode. Review the Implementation Plan artifact. No code should be written before approval.</w:t>
      </w:r>
    </w:p>
    <w:p>
      <w:r>
        <w:rPr>
          <w:b/>
        </w:rPr>
        <w:t>Conversation 1 — Execute</w:t>
      </w:r>
      <w:r>
        <w:t xml:space="preserve"> — After approval, use prompts/01_EXECUTE_APPROVED_PHASE_0_1.md. Require incremental tests and browser verification.</w:t>
      </w:r>
    </w:p>
    <w:p>
      <w:r>
        <w:rPr>
          <w:b/>
        </w:rPr>
        <w:t>Conversation 2 — Independent review</w:t>
      </w:r>
      <w:r>
        <w:t xml:space="preserve"> — Open a fresh agent/conversation and use prompts/02_PHASE_0_1_INDEPENDENT_REVIEW.md. The reviewer should verify evidence rather than trust the first agent.</w:t>
      </w:r>
    </w:p>
    <w:p>
      <w:r>
        <w:rPr>
          <w:b/>
        </w:rPr>
        <w:t>Conversation 3 — Remediation if needed</w:t>
      </w:r>
      <w:r>
        <w:t xml:space="preserve"> — Use prompts/03_FIX_REVIEW_GAPS_ONLY.md. Fix only failed Phase 0/1 acceptance criteria; add regression tests.</w:t>
      </w:r>
    </w:p>
    <w:p>
      <w:r>
        <w:rPr>
          <w:b/>
        </w:rPr>
        <w:t>Phase decision</w:t>
      </w:r>
      <w:r>
        <w:t xml:space="preserve"> — Human reviewer accepts or rejects Phase 0/1. Only after acceptance may prompts/04_PREPARE_PHASE_2_PLAN_ONLY.md be used.</w:t>
      </w:r>
    </w:p>
    <w:p>
      <w:pPr>
        <w:pStyle w:val="Heading1"/>
      </w:pPr>
      <w:r>
        <w:t>7. Evidence required before a phase is called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5040"/>
            <w:shd w:fill="D9EAF7"/>
          </w:tcPr>
          <w:p>
            <w:r>
              <w:rPr>
                <w:b/>
              </w:rPr>
              <w:t>Minimum expectation</w:t>
            </w:r>
          </w:p>
        </w:tc>
      </w:tr>
      <w:tr>
        <w:tc>
          <w:tcPr>
            <w:tcW w:type="dxa" w:w="5040"/>
          </w:tcPr>
          <w:p>
            <w:r>
              <w:t>Source evidence</w:t>
            </w:r>
          </w:p>
        </w:tc>
        <w:tc>
          <w:tcPr>
            <w:tcW w:type="dxa" w:w="5040"/>
          </w:tcPr>
          <w:p>
            <w:r>
              <w:t>Verified official URL/download, publisher/title, access date, reference period, vintage and SHA-256 for acquired files.</w:t>
            </w:r>
          </w:p>
        </w:tc>
      </w:tr>
      <w:tr>
        <w:tc>
          <w:tcPr>
            <w:tcW w:type="dxa" w:w="5040"/>
          </w:tcPr>
          <w:p>
            <w:r>
              <w:t>Data evidence</w:t>
            </w:r>
          </w:p>
        </w:tc>
        <w:tc>
          <w:tcPr>
            <w:tcW w:type="dxa" w:w="5040"/>
          </w:tcPr>
          <w:p>
            <w:r>
              <w:t>Schema/code checks, missingness/duplicates, unit/vintage checks and reconciliation to published controls where possible.</w:t>
            </w:r>
          </w:p>
        </w:tc>
      </w:tr>
      <w:tr>
        <w:tc>
          <w:tcPr>
            <w:tcW w:type="dxa" w:w="5040"/>
          </w:tcPr>
          <w:p>
            <w:r>
              <w:t>Engineering evidence</w:t>
            </w:r>
          </w:p>
        </w:tc>
        <w:tc>
          <w:tcPr>
            <w:tcW w:type="dxa" w:w="5040"/>
          </w:tcPr>
          <w:p>
            <w:r>
              <w:t>Clean build, type/lint checks, unit/integration tests and dependency lockfiles.</w:t>
            </w:r>
          </w:p>
        </w:tc>
      </w:tr>
      <w:tr>
        <w:tc>
          <w:tcPr>
            <w:tcW w:type="dxa" w:w="5040"/>
          </w:tcPr>
          <w:p>
            <w:r>
              <w:t>UI evidence</w:t>
            </w:r>
          </w:p>
        </w:tc>
        <w:tc>
          <w:tcPr>
            <w:tcW w:type="dxa" w:w="5040"/>
          </w:tcPr>
          <w:p>
            <w:r>
              <w:t>Browser-tested core flows, desktop/mobile verification, source links and accessible alternatives for charts.</w:t>
            </w:r>
          </w:p>
        </w:tc>
      </w:tr>
      <w:tr>
        <w:tc>
          <w:tcPr>
            <w:tcW w:type="dxa" w:w="5040"/>
          </w:tcPr>
          <w:p>
            <w:r>
              <w:t>Statistical evidence</w:t>
            </w:r>
          </w:p>
        </w:tc>
        <w:tc>
          <w:tcPr>
            <w:tcW w:type="dxa" w:w="5040"/>
          </w:tcPr>
          <w:p>
            <w:r>
              <w:t>Correct source/period/unit/status labels and visible limitations; no overclaiming.</w:t>
            </w:r>
          </w:p>
        </w:tc>
      </w:tr>
      <w:tr>
        <w:tc>
          <w:tcPr>
            <w:tcW w:type="dxa" w:w="5040"/>
          </w:tcPr>
          <w:p>
            <w:r>
              <w:t>Operational evidence</w:t>
            </w:r>
          </w:p>
        </w:tc>
        <w:tc>
          <w:tcPr>
            <w:tcW w:type="dxa" w:w="5040"/>
          </w:tcPr>
          <w:p>
            <w:r>
              <w:t>Updated project-status/STATUS.md and validation report; known gaps and risks listed.</w:t>
            </w:r>
          </w:p>
        </w:tc>
      </w:tr>
      <w:tr>
        <w:tc>
          <w:tcPr>
            <w:tcW w:type="dxa" w:w="5040"/>
          </w:tcPr>
          <w:p>
            <w:r>
              <w:t>Stop evidence</w:t>
            </w:r>
          </w:p>
        </w:tc>
        <w:tc>
          <w:tcPr>
            <w:tcW w:type="dxa" w:w="5040"/>
          </w:tcPr>
          <w:p>
            <w:r>
              <w:t>Agent stops after Phase 0/1 and does not implement Phase 2 without explicit approval.</w:t>
            </w:r>
          </w:p>
        </w:tc>
      </w:tr>
    </w:tbl>
    <w:p>
      <w:pPr>
        <w:pStyle w:val="Heading1"/>
      </w:pPr>
      <w:r>
        <w:t>8. Recommended specialist review model</w:t>
      </w:r>
    </w:p>
    <w:p>
      <w:r>
        <w:t>Use one lead conversation for integration. Specialist agents are most valuable as independent reviewers. If parallel agents later edit code, isolate them using branches/worktrees and reconcile through review to avoid conflicting writes.</w:t>
      </w:r>
    </w:p>
    <w:p>
      <w:r>
        <w:rPr>
          <w:b/>
        </w:rPr>
        <w:t xml:space="preserve">Methodology Lead: </w:t>
      </w:r>
      <w:r>
        <w:t>Checks National Accounts meaning, statistical claims, periods, units, assumptions and limitations.</w:t>
      </w:r>
    </w:p>
    <w:p>
      <w:r>
        <w:rPr>
          <w:b/>
        </w:rPr>
        <w:t xml:space="preserve">Data Engineer: </w:t>
      </w:r>
      <w:r>
        <w:t>Checks acquisition, hashing, lineage, schema validation, DuckDB/Parquet modelling and reproducibility.</w:t>
      </w:r>
    </w:p>
    <w:p>
      <w:r>
        <w:rPr>
          <w:b/>
        </w:rPr>
        <w:t xml:space="preserve">QA Auditor: </w:t>
      </w:r>
      <w:r>
        <w:t>Re-runs evidence and challenges completion claims, fallbacks and clean-checkout reproducibility.</w:t>
      </w:r>
    </w:p>
    <w:p>
      <w:r>
        <w:rPr>
          <w:b/>
        </w:rPr>
        <w:t xml:space="preserve">Frontend &amp; Accessibility: </w:t>
      </w:r>
      <w:r>
        <w:t>Checks semantic UI, keyboard operation, chart alternatives, responsive layouts and source/method transparency.</w:t>
      </w:r>
    </w:p>
    <w:p>
      <w:r>
        <w:br w:type="page"/>
      </w:r>
    </w:p>
    <w:p>
      <w:pPr>
        <w:pStyle w:val="Heading1"/>
      </w:pPr>
      <w:r>
        <w:t>9. What not to ask Antigravity</w:t>
      </w:r>
    </w:p>
    <w:p>
      <w:pPr>
        <w:pStyle w:val="ListBullet"/>
      </w:pPr>
      <w:r>
        <w:t>“Build the whole application.”</w:t>
      </w:r>
    </w:p>
    <w:p>
      <w:pPr>
        <w:pStyle w:val="ListBullet"/>
      </w:pPr>
      <w:r>
        <w:t>“Make it look like ONS.”</w:t>
      </w:r>
    </w:p>
    <w:p>
      <w:pPr>
        <w:pStyle w:val="ListBullet"/>
      </w:pPr>
      <w:r>
        <w:t>“Estimate UK AI GDP with whatever data you can find.”</w:t>
      </w:r>
    </w:p>
    <w:p>
      <w:pPr>
        <w:pStyle w:val="ListBullet"/>
      </w:pPr>
      <w:r>
        <w:t>“Use placeholder numbers until we get the real data” for public production output.</w:t>
      </w:r>
    </w:p>
    <w:p>
      <w:pPr>
        <w:pStyle w:val="ListBullet"/>
      </w:pPr>
      <w:r>
        <w:t>“Skip the tests and deploy first.”</w:t>
      </w:r>
    </w:p>
    <w:p>
      <w:pPr>
        <w:pStyle w:val="ListBullet"/>
      </w:pPr>
      <w:r>
        <w:t>“Continue to the next phase automatically.”</w:t>
      </w:r>
    </w:p>
    <w:p>
      <w:r>
        <w:t>Instead, give Antigravity a bounded goal, required context, source constraints, acceptance tests, evidence requirements and an explicit stop condition.</w:t>
      </w:r>
    </w:p>
    <w:p>
      <w:pPr>
        <w:pStyle w:val="Heading1"/>
      </w:pPr>
      <w:r>
        <w:t>10. Repository files to open first</w:t>
      </w:r>
    </w:p>
    <w:p>
      <w:pPr>
        <w:pStyle w:val="ListBullet"/>
      </w:pPr>
      <w:r>
        <w:t>START_ANTIGRAVITY_HERE.md</w:t>
      </w:r>
    </w:p>
    <w:p>
      <w:pPr>
        <w:pStyle w:val="ListBullet"/>
      </w:pPr>
      <w:r>
        <w:t>AGENTS.md</w:t>
      </w:r>
    </w:p>
    <w:p>
      <w:pPr>
        <w:pStyle w:val="ListBullet"/>
      </w:pPr>
      <w:r>
        <w:t>prompts/00_FIRST_ANTIGRAVITY_PROMPT.md</w:t>
      </w:r>
    </w:p>
    <w:p>
      <w:pPr>
        <w:pStyle w:val="ListBullet"/>
      </w:pPr>
      <w:r>
        <w:t>docs/22_ANTIGRAVITY_OPERATING_MODEL.md</w:t>
      </w:r>
    </w:p>
    <w:p>
      <w:pPr>
        <w:pStyle w:val="ListBullet"/>
      </w:pPr>
      <w:r>
        <w:t>docs/23_ANTIGRAVITY_PHASE_0_1_EXECUTION_SPEC.md</w:t>
      </w:r>
    </w:p>
    <w:p>
      <w:pPr>
        <w:pStyle w:val="ListBullet"/>
      </w:pPr>
      <w:r>
        <w:t>.agents/rules/</w:t>
      </w:r>
    </w:p>
    <w:p>
      <w:pPr>
        <w:pStyle w:val="ListBullet"/>
      </w:pPr>
      <w:r>
        <w:t>.agents/skills/</w:t>
      </w:r>
    </w:p>
    <w:p>
      <w:pPr>
        <w:pStyle w:val="ListBullet"/>
      </w:pPr>
      <w:r>
        <w:t>project-status/STATUS.md</w:t>
      </w:r>
    </w:p>
    <w:p>
      <w:pPr>
        <w:pStyle w:val="Heading1"/>
      </w:pPr>
      <w:r>
        <w:t>11. Antigravity documentation basis</w:t>
      </w:r>
    </w:p>
    <w:p>
      <w:r>
        <w:t>This repository design follows current Google Antigravity concepts: Projects, Implementation Plan artifacts, project/workspace Rules under .agents/rules, Agent Skills under .agents/skills, specialist agent definitions, browser/terminal tools and project-scoped permissions.</w:t>
      </w:r>
    </w:p>
    <w:p>
      <w:pPr>
        <w:pStyle w:val="ListBullet"/>
      </w:pPr>
      <w:r>
        <w:t>https://antigravity.google/docs/projects</w:t>
      </w:r>
    </w:p>
    <w:p>
      <w:pPr>
        <w:pStyle w:val="ListBullet"/>
      </w:pPr>
      <w:r>
        <w:t>https://antigravity.google/docs/artifact-review</w:t>
      </w:r>
    </w:p>
    <w:p>
      <w:pPr>
        <w:pStyle w:val="ListBullet"/>
      </w:pPr>
      <w:r>
        <w:t>https://antigravity.google/docs/rules-workflows</w:t>
      </w:r>
    </w:p>
    <w:p>
      <w:pPr>
        <w:pStyle w:val="ListBullet"/>
      </w:pPr>
      <w:r>
        <w:t>https://antigravity.google/docs/skills</w:t>
      </w:r>
    </w:p>
    <w:p>
      <w:pPr>
        <w:pStyle w:val="ListBullet"/>
      </w:pPr>
      <w:r>
        <w:t>https://antigravity.google/docs/agent-settings</w:t>
      </w:r>
    </w:p>
    <w:p>
      <w:pPr>
        <w:pStyle w:val="ListBullet"/>
      </w:pPr>
      <w:r>
        <w:t>https://antigravity.google/docs/cli-best-practices</w:t>
      </w:r>
    </w:p>
    <w:p>
      <w:pPr>
        <w:spacing w:before="200"/>
      </w:pPr>
      <w:r>
        <w:rPr>
          <w:b/>
        </w:rPr>
        <w:t xml:space="preserve">Operator decision: </w:t>
      </w:r>
      <w:r>
        <w:t>Start with the planning prompt. Do not let Antigravity write Phase 2 code until Phase 0/1 has passed independent review and explicit human approval.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Independent research prototype — not an ONS product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A5A5A"/>
        <w:sz w:val="16"/>
      </w:rPr>
      <w:t>UK AI Economic Measurement Lab  |  Google Antigravity Build Edition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