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D55"/>
          <w:sz w:val="52"/>
        </w:rPr>
        <w:t>UK AI Economic Measurement Lab</w:t>
      </w:r>
    </w:p>
    <w:p>
      <w:pPr>
        <w:jc w:val="center"/>
      </w:pPr>
      <w:r>
        <w:rPr>
          <w:i/>
          <w:sz w:val="26"/>
        </w:rPr>
        <w:t>Independent prototype for exploring the measurement of artificial intelligence within the UK economy</w:t>
      </w:r>
    </w:p>
    <w:p>
      <w:pPr>
        <w:jc w:val="center"/>
      </w:pPr>
      <w:r>
        <w:rPr>
          <w:sz w:val="22"/>
        </w:rPr>
        <w:t>Complete product build blueprint — Google Antigravity Edition</w:t>
        <w:br/>
        <w:t>Prepared for Daramola Omoyele</w:t>
        <w:br/>
        <w:t>Version 0.2.0-antigravity-planning — 21 September 2026</w:t>
      </w:r>
    </w:p>
    <w:p>
      <w:pPr>
        <w:jc w:val="center"/>
      </w:pPr>
      <w:r>
        <w:rPr>
          <w:b/>
          <w:color w:val="962D19"/>
          <w:sz w:val="22"/>
        </w:rPr>
        <w:t>INDEPENDENT RESEARCH PROTOTYPE — NOT AN ONS PRODUCT</w:t>
      </w:r>
    </w:p>
    <w:p>
      <w:r>
        <w:br w:type="page"/>
      </w:r>
    </w:p>
    <w:p>
      <w:pPr>
        <w:pStyle w:val="Heading1"/>
      </w:pPr>
      <w:r>
        <w:t>How to use this blueprint</w:t>
      </w:r>
    </w:p>
    <w:p>
      <w:r>
        <w:t>This master document is the human-readable control document for the build. The accompanying ZIP package is configured for Google Antigravity and contains Antigravity Rules, Agent Skills, specialist agents, machine-readable specifications, templates and a project manifest. Antigravity should read START_ANTIGRAVITY_HERE.md and AGENTS.md before implementation.</w:t>
      </w:r>
    </w:p>
    <w:p>
      <w:pPr>
        <w:pStyle w:val="ListBullet"/>
      </w:pPr>
      <w:r>
        <w:t>Use this document to understand the product purpose, methodology, architecture, quality controls and delivery sequence.</w:t>
      </w:r>
    </w:p>
    <w:p>
      <w:pPr>
        <w:pStyle w:val="ListBullet"/>
      </w:pPr>
      <w:r>
        <w:t>Use the Markdown files as implementation contracts and living repository documentation.</w:t>
      </w:r>
    </w:p>
    <w:p>
      <w:pPr>
        <w:pStyle w:val="ListBullet"/>
      </w:pPr>
      <w:r>
        <w:t>Do not begin with an AI GDP estimate. Begin with data provenance, broad-product exploration and transparent decomposition scenarios.</w:t>
      </w:r>
    </w:p>
    <w:p>
      <w:pPr>
        <w:pStyle w:val="ListBullet"/>
      </w:pPr>
      <w:r>
        <w:t>Treat uncertainty, limitations and reproducibility as core product features.</w:t>
      </w:r>
    </w:p>
    <w:p>
      <w:pPr>
        <w:pStyle w:val="Heading1"/>
      </w:pPr>
      <w:r>
        <w:t>1. Executive brief</w:t>
      </w:r>
    </w:p>
    <w:p>
      <w:r>
        <w:t>The UK AI Economic Measurement Lab is an independent methodology prototype designed around the measurement problem that ONS publicly set out on 21 September 2026. ONS is developing an AI thematic account to make AI-related production, use, infrastructure, applications and services more visible while remaining consistent with core National Accounts principles [S1].</w:t>
      </w:r>
    </w:p>
    <w:p>
      <w:r>
        <w:t>The central opportunity is not to build another adoption dashboard. It is to make the unresolved statistical work explorable: separating AI from non-AI activity, validating an AI business population, attributing AI revenue in diversified firms, dealing with embedded AI and global ownership, and showing how assumptions change experimental results.</w:t>
      </w:r>
    </w:p>
    <w:p>
      <w:pPr>
        <w:pStyle w:val="Heading2"/>
      </w:pPr>
      <w:r>
        <w:t>Strategic product statement</w:t>
      </w:r>
    </w:p>
    <w:p>
      <w:r>
        <w:rPr>
          <w:b/>
        </w:rPr>
        <w:t xml:space="preserve">Research question: </w:t>
      </w:r>
      <w:r>
        <w:t>How can public evidence and transparent experimental methods improve visibility of AI activity inside broad UK economic product categories while preserving National Accounts concepts and uncertainty?</w:t>
      </w:r>
    </w:p>
    <w:p>
      <w:pPr>
        <w:pStyle w:val="Heading1"/>
      </w:pPr>
      <w:r>
        <w:t>2. ONS anchor and why this is timely</w:t>
      </w:r>
    </w:p>
    <w:p>
      <w:pPr>
        <w:pStyle w:val="ListBullet"/>
      </w:pPr>
      <w:r>
        <w:t>ONS identifies 23 broad CPA product categories that contain potential AI activity and says these broad totals must be disaggregated into AI and non-AI components [S1].</w:t>
      </w:r>
    </w:p>
    <w:p>
      <w:pPr>
        <w:pStyle w:val="ListBullet"/>
      </w:pPr>
      <w:r>
        <w:t>ONS lists unresolved methodological challenges including product disaggregation, blurred AI boundaries, AI-business population validation, AI/non-AI revenue separation, alternative data sources and timeliness [S1].</w:t>
      </w:r>
    </w:p>
    <w:p>
      <w:pPr>
        <w:pStyle w:val="ListBullet"/>
      </w:pPr>
      <w:r>
        <w:t>The ONS roadmap moves through evidence/data landscape in Q4 2026, methodology options in Q1 2027, prototype testing during Q2–Q4 2027, and an experimental account ready to productionise in Q1 2028 [S1].</w:t>
      </w:r>
    </w:p>
    <w:p>
      <w:pPr>
        <w:pStyle w:val="ListBullet"/>
      </w:pPr>
      <w:r>
        <w:t>BICS shows rapid diffusion of AI but ONS notes a large gap between adoption indicators and value-based estimates [S1, S2].</w:t>
      </w:r>
    </w:p>
    <w:p>
      <w:pPr>
        <w:pStyle w:val="Heading2"/>
      </w:pPr>
      <w:r>
        <w:t>Public ONS roadmap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AF7"/>
          </w:tcPr>
          <w:p>
            <w:r/>
            <w:r>
              <w:rPr>
                <w:b/>
                <w:sz w:val="17"/>
              </w:rPr>
              <w:t>Stage</w:t>
            </w:r>
          </w:p>
        </w:tc>
        <w:tc>
          <w:tcPr>
            <w:tcW w:type="dxa" w:w="3408"/>
            <w:vAlign w:val="center"/>
            <w:shd w:fill="D9EAF7"/>
          </w:tcPr>
          <w:p>
            <w:r/>
            <w:r>
              <w:rPr>
                <w:b/>
                <w:sz w:val="17"/>
              </w:rPr>
              <w:t>ONS timing</w:t>
            </w:r>
          </w:p>
        </w:tc>
        <w:tc>
          <w:tcPr>
            <w:tcW w:type="dxa" w:w="3408"/>
            <w:vAlign w:val="center"/>
            <w:shd w:fill="D9EAF7"/>
          </w:tcPr>
          <w:p>
            <w:r/>
            <w:r>
              <w:rPr>
                <w:b/>
                <w:sz w:val="17"/>
              </w:rPr>
              <w:t>Public description</w:t>
            </w:r>
          </w:p>
        </w:tc>
      </w:tr>
      <w:tr>
        <w:trPr>
          <w:cantSplit/>
        </w:trPr>
        <w:tc>
          <w:tcPr>
            <w:tcW w:type="dxa" w:w="3408"/>
            <w:vAlign w:val="center"/>
          </w:tcPr>
          <w:p>
            <w:r/>
            <w:r>
              <w:rPr>
                <w:b w:val="0"/>
                <w:sz w:val="16"/>
              </w:rPr>
              <w:t>Scope/foundations</w:t>
            </w:r>
          </w:p>
        </w:tc>
        <w:tc>
          <w:tcPr>
            <w:tcW w:type="dxa" w:w="3408"/>
            <w:vAlign w:val="center"/>
          </w:tcPr>
          <w:p>
            <w:r/>
            <w:r>
              <w:rPr>
                <w:b w:val="0"/>
                <w:sz w:val="16"/>
              </w:rPr>
              <w:t>Q2 2026</w:t>
            </w:r>
          </w:p>
        </w:tc>
        <w:tc>
          <w:tcPr>
            <w:tcW w:type="dxa" w:w="3408"/>
            <w:vAlign w:val="center"/>
          </w:tcPr>
          <w:p>
            <w:r/>
            <w:r>
              <w:rPr>
                <w:b w:val="0"/>
                <w:sz w:val="16"/>
              </w:rPr>
              <w:t>Define scope, initial producer population, early product mapping</w:t>
            </w:r>
          </w:p>
        </w:tc>
      </w:tr>
      <w:tr>
        <w:trPr>
          <w:cantSplit/>
        </w:trPr>
        <w:tc>
          <w:tcPr>
            <w:tcW w:type="dxa" w:w="3408"/>
            <w:vAlign w:val="center"/>
          </w:tcPr>
          <w:p>
            <w:r/>
            <w:r>
              <w:rPr>
                <w:b w:val="0"/>
                <w:sz w:val="16"/>
              </w:rPr>
              <w:t>Governance/requirements</w:t>
            </w:r>
          </w:p>
        </w:tc>
        <w:tc>
          <w:tcPr>
            <w:tcW w:type="dxa" w:w="3408"/>
            <w:vAlign w:val="center"/>
          </w:tcPr>
          <w:p>
            <w:r/>
            <w:r>
              <w:rPr>
                <w:b w:val="0"/>
                <w:sz w:val="16"/>
              </w:rPr>
              <w:t>Q3 2026</w:t>
            </w:r>
          </w:p>
        </w:tc>
        <w:tc>
          <w:tcPr>
            <w:tcW w:type="dxa" w:w="3408"/>
            <w:vAlign w:val="center"/>
          </w:tcPr>
          <w:p>
            <w:r/>
            <w:r>
              <w:rPr>
                <w:b w:val="0"/>
                <w:sz w:val="16"/>
              </w:rPr>
              <w:t>Governance, stakeholder requirements, classifications</w:t>
            </w:r>
          </w:p>
        </w:tc>
      </w:tr>
      <w:tr>
        <w:trPr>
          <w:cantSplit/>
        </w:trPr>
        <w:tc>
          <w:tcPr>
            <w:tcW w:type="dxa" w:w="3408"/>
            <w:vAlign w:val="center"/>
          </w:tcPr>
          <w:p>
            <w:r/>
            <w:r>
              <w:rPr>
                <w:b w:val="0"/>
                <w:sz w:val="16"/>
              </w:rPr>
              <w:t>Evidence/data landscape</w:t>
            </w:r>
          </w:p>
        </w:tc>
        <w:tc>
          <w:tcPr>
            <w:tcW w:type="dxa" w:w="3408"/>
            <w:vAlign w:val="center"/>
          </w:tcPr>
          <w:p>
            <w:r/>
            <w:r>
              <w:rPr>
                <w:b w:val="0"/>
                <w:sz w:val="16"/>
              </w:rPr>
              <w:t>Q4 2026</w:t>
            </w:r>
          </w:p>
        </w:tc>
        <w:tc>
          <w:tcPr>
            <w:tcW w:type="dxa" w:w="3408"/>
            <w:vAlign w:val="center"/>
          </w:tcPr>
          <w:p>
            <w:r/>
            <w:r>
              <w:rPr>
                <w:b w:val="0"/>
                <w:sz w:val="16"/>
              </w:rPr>
              <w:t>Review survey, administrative, private-sector options and limitations</w:t>
            </w:r>
          </w:p>
        </w:tc>
      </w:tr>
      <w:tr>
        <w:trPr>
          <w:cantSplit/>
        </w:trPr>
        <w:tc>
          <w:tcPr>
            <w:tcW w:type="dxa" w:w="3408"/>
            <w:vAlign w:val="center"/>
          </w:tcPr>
          <w:p>
            <w:r/>
            <w:r>
              <w:rPr>
                <w:b w:val="0"/>
                <w:sz w:val="16"/>
              </w:rPr>
              <w:t>Method options</w:t>
            </w:r>
          </w:p>
        </w:tc>
        <w:tc>
          <w:tcPr>
            <w:tcW w:type="dxa" w:w="3408"/>
            <w:vAlign w:val="center"/>
          </w:tcPr>
          <w:p>
            <w:r/>
            <w:r>
              <w:rPr>
                <w:b w:val="0"/>
                <w:sz w:val="16"/>
              </w:rPr>
              <w:t>Q1 2027</w:t>
            </w:r>
          </w:p>
        </w:tc>
        <w:tc>
          <w:tcPr>
            <w:tcW w:type="dxa" w:w="3408"/>
            <w:vAlign w:val="center"/>
          </w:tcPr>
          <w:p>
            <w:r/>
            <w:r>
              <w:rPr>
                <w:b w:val="0"/>
                <w:sz w:val="16"/>
              </w:rPr>
              <w:t>Direct, proportional, modelled or hybrid feasibility</w:t>
            </w:r>
          </w:p>
        </w:tc>
      </w:tr>
      <w:tr>
        <w:trPr>
          <w:cantSplit/>
        </w:trPr>
        <w:tc>
          <w:tcPr>
            <w:tcW w:type="dxa" w:w="3408"/>
            <w:vAlign w:val="center"/>
          </w:tcPr>
          <w:p>
            <w:r/>
            <w:r>
              <w:rPr>
                <w:b w:val="0"/>
                <w:sz w:val="16"/>
              </w:rPr>
              <w:t>Prototype/test</w:t>
            </w:r>
          </w:p>
        </w:tc>
        <w:tc>
          <w:tcPr>
            <w:tcW w:type="dxa" w:w="3408"/>
            <w:vAlign w:val="center"/>
          </w:tcPr>
          <w:p>
            <w:r/>
            <w:r>
              <w:rPr>
                <w:b w:val="0"/>
                <w:sz w:val="16"/>
              </w:rPr>
              <w:t>Q2–Q4 2027</w:t>
            </w:r>
          </w:p>
        </w:tc>
        <w:tc>
          <w:tcPr>
            <w:tcW w:type="dxa" w:w="3408"/>
            <w:vAlign w:val="center"/>
          </w:tcPr>
          <w:p>
            <w:r/>
            <w:r>
              <w:rPr>
                <w:b w:val="0"/>
                <w:sz w:val="16"/>
              </w:rPr>
              <w:t>Test decomposition across output, imports, GVA, GFCF and other transactions</w:t>
            </w:r>
          </w:p>
        </w:tc>
      </w:tr>
      <w:tr>
        <w:trPr>
          <w:cantSplit/>
        </w:trPr>
        <w:tc>
          <w:tcPr>
            <w:tcW w:type="dxa" w:w="3408"/>
            <w:vAlign w:val="center"/>
          </w:tcPr>
          <w:p>
            <w:r/>
            <w:r>
              <w:rPr>
                <w:b w:val="0"/>
                <w:sz w:val="16"/>
              </w:rPr>
              <w:t>Experimental account</w:t>
            </w:r>
          </w:p>
        </w:tc>
        <w:tc>
          <w:tcPr>
            <w:tcW w:type="dxa" w:w="3408"/>
            <w:vAlign w:val="center"/>
          </w:tcPr>
          <w:p>
            <w:r/>
            <w:r>
              <w:rPr>
                <w:b w:val="0"/>
                <w:sz w:val="16"/>
              </w:rPr>
              <w:t>Q1 2028</w:t>
            </w:r>
          </w:p>
        </w:tc>
        <w:tc>
          <w:tcPr>
            <w:tcW w:type="dxa" w:w="3408"/>
            <w:vAlign w:val="center"/>
          </w:tcPr>
          <w:p>
            <w:r/>
            <w:r>
              <w:rPr>
                <w:b w:val="0"/>
                <w:sz w:val="16"/>
              </w:rPr>
              <w:t>Evidence-based account ready to productionise</w:t>
            </w:r>
          </w:p>
        </w:tc>
      </w:tr>
    </w:tbl>
    <w:p>
      <w:pPr>
        <w:pStyle w:val="Heading1"/>
      </w:pPr>
      <w:r>
        <w:t>3. Product modules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AF7"/>
          </w:tcPr>
          <w:p>
            <w:r/>
            <w:r>
              <w:rPr>
                <w:b/>
                <w:sz w:val="17"/>
              </w:rPr>
              <w:t>Module</w:t>
            </w:r>
          </w:p>
        </w:tc>
        <w:tc>
          <w:tcPr>
            <w:tcW w:type="dxa" w:w="5112"/>
            <w:vAlign w:val="center"/>
            <w:shd w:fill="D9EAF7"/>
          </w:tcPr>
          <w:p>
            <w:r/>
            <w:r>
              <w:rPr>
                <w:b/>
                <w:sz w:val="17"/>
              </w:rPr>
              <w:t>Purpose</w:t>
            </w:r>
          </w:p>
        </w:tc>
      </w:tr>
      <w:tr>
        <w:trPr>
          <w:cantSplit/>
        </w:trPr>
        <w:tc>
          <w:tcPr>
            <w:tcW w:type="dxa" w:w="5112"/>
            <w:vAlign w:val="center"/>
          </w:tcPr>
          <w:p>
            <w:r/>
            <w:r>
              <w:rPr>
                <w:b w:val="0"/>
                <w:sz w:val="16"/>
              </w:rPr>
              <w:t>AI Production Stack Explorer</w:t>
            </w:r>
          </w:p>
        </w:tc>
        <w:tc>
          <w:tcPr>
            <w:tcW w:type="dxa" w:w="5112"/>
            <w:vAlign w:val="center"/>
          </w:tcPr>
          <w:p>
            <w:r/>
            <w:r>
              <w:rPr>
                <w:b w:val="0"/>
                <w:sz w:val="16"/>
              </w:rPr>
              <w:t>Turns the static production-stack concept into a traceable interactive flow from chips/compute through models/APIs and applications, showing economic ownership, residency and SNA concepts.</w:t>
            </w:r>
          </w:p>
        </w:tc>
      </w:tr>
      <w:tr>
        <w:trPr>
          <w:cantSplit/>
        </w:trPr>
        <w:tc>
          <w:tcPr>
            <w:tcW w:type="dxa" w:w="5112"/>
            <w:vAlign w:val="center"/>
          </w:tcPr>
          <w:p>
            <w:r/>
            <w:r>
              <w:rPr>
                <w:b w:val="0"/>
                <w:sz w:val="16"/>
              </w:rPr>
              <w:t>Supply &amp; Use Explorer</w:t>
            </w:r>
          </w:p>
        </w:tc>
        <w:tc>
          <w:tcPr>
            <w:tcW w:type="dxa" w:w="5112"/>
            <w:vAlign w:val="center"/>
          </w:tcPr>
          <w:p>
            <w:r/>
            <w:r>
              <w:rPr>
                <w:b w:val="0"/>
                <w:sz w:val="16"/>
              </w:rPr>
              <w:t>Shows published broad AI-relevant CPA supply/demand values with a prominent warning that they contain AI and non-AI activity.</w:t>
            </w:r>
          </w:p>
        </w:tc>
      </w:tr>
      <w:tr>
        <w:trPr>
          <w:cantSplit/>
        </w:trPr>
        <w:tc>
          <w:tcPr>
            <w:tcW w:type="dxa" w:w="5112"/>
            <w:vAlign w:val="center"/>
          </w:tcPr>
          <w:p>
            <w:r/>
            <w:r>
              <w:rPr>
                <w:b w:val="0"/>
                <w:sz w:val="16"/>
              </w:rPr>
              <w:t>Disaggregation Lab</w:t>
            </w:r>
          </w:p>
        </w:tc>
        <w:tc>
          <w:tcPr>
            <w:tcW w:type="dxa" w:w="5112"/>
            <w:vAlign w:val="center"/>
          </w:tcPr>
          <w:p>
            <w:r/>
            <w:r>
              <w:rPr>
                <w:b w:val="0"/>
                <w:sz w:val="16"/>
              </w:rPr>
              <w:t>Allows users to compare direct, proportional, modelled and hybrid decompositions and inspect sensitivity/uncertainty.</w:t>
            </w:r>
          </w:p>
        </w:tc>
      </w:tr>
      <w:tr>
        <w:trPr>
          <w:cantSplit/>
        </w:trPr>
        <w:tc>
          <w:tcPr>
            <w:tcW w:type="dxa" w:w="5112"/>
            <w:vAlign w:val="center"/>
          </w:tcPr>
          <w:p>
            <w:r/>
            <w:r>
              <w:rPr>
                <w:b w:val="0"/>
                <w:sz w:val="16"/>
              </w:rPr>
              <w:t>AI Business Classification Lab</w:t>
            </w:r>
          </w:p>
        </w:tc>
        <w:tc>
          <w:tcPr>
            <w:tcW w:type="dxa" w:w="5112"/>
            <w:vAlign w:val="center"/>
          </w:tcPr>
          <w:p>
            <w:r/>
            <w:r>
              <w:rPr>
                <w:b w:val="0"/>
                <w:sz w:val="16"/>
              </w:rPr>
              <w:t>Transparent multi-label classification of public/demo company descriptions, with metrics, evidence and human review.</w:t>
            </w:r>
          </w:p>
        </w:tc>
      </w:tr>
      <w:tr>
        <w:trPr>
          <w:cantSplit/>
        </w:trPr>
        <w:tc>
          <w:tcPr>
            <w:tcW w:type="dxa" w:w="5112"/>
            <w:vAlign w:val="center"/>
          </w:tcPr>
          <w:p>
            <w:r/>
            <w:r>
              <w:rPr>
                <w:b w:val="0"/>
                <w:sz w:val="16"/>
              </w:rPr>
              <w:t>SNA Decision Engine</w:t>
            </w:r>
          </w:p>
        </w:tc>
        <w:tc>
          <w:tcPr>
            <w:tcW w:type="dxa" w:w="5112"/>
            <w:vAlign w:val="center"/>
          </w:tcPr>
          <w:p>
            <w:r/>
            <w:r>
              <w:rPr>
                <w:b w:val="0"/>
                <w:sz w:val="16"/>
              </w:rPr>
              <w:t>Deterministic educational decision tree for asset/service/ownership/residency scenarios; outputs are indicative, not official classifications.</w:t>
            </w:r>
          </w:p>
        </w:tc>
      </w:tr>
      <w:tr>
        <w:trPr>
          <w:cantSplit/>
        </w:trPr>
        <w:tc>
          <w:tcPr>
            <w:tcW w:type="dxa" w:w="5112"/>
            <w:vAlign w:val="center"/>
          </w:tcPr>
          <w:p>
            <w:r/>
            <w:r>
              <w:rPr>
                <w:b w:val="0"/>
                <w:sz w:val="16"/>
              </w:rPr>
              <w:t>Measurement Gaps Centre</w:t>
            </w:r>
          </w:p>
        </w:tc>
        <w:tc>
          <w:tcPr>
            <w:tcW w:type="dxa" w:w="5112"/>
            <w:vAlign w:val="center"/>
          </w:tcPr>
          <w:p>
            <w:r/>
            <w:r>
              <w:rPr>
                <w:b w:val="0"/>
                <w:sz w:val="16"/>
              </w:rPr>
              <w:t>Makes unresolved questions explicit and tracks evidence needed to answer them.</w:t>
            </w:r>
          </w:p>
        </w:tc>
      </w:tr>
      <w:tr>
        <w:trPr>
          <w:cantSplit/>
        </w:trPr>
        <w:tc>
          <w:tcPr>
            <w:tcW w:type="dxa" w:w="5112"/>
            <w:vAlign w:val="center"/>
          </w:tcPr>
          <w:p>
            <w:r/>
            <w:r>
              <w:rPr>
                <w:b w:val="0"/>
                <w:sz w:val="16"/>
              </w:rPr>
              <w:t>Methodology &amp; Quality Centre</w:t>
            </w:r>
          </w:p>
        </w:tc>
        <w:tc>
          <w:tcPr>
            <w:tcW w:type="dxa" w:w="5112"/>
            <w:vAlign w:val="center"/>
          </w:tcPr>
          <w:p>
            <w:r/>
            <w:r>
              <w:rPr>
                <w:b w:val="0"/>
                <w:sz w:val="16"/>
              </w:rPr>
              <w:t>Data lineage, method registry, tests, validation reports, revisions and known issues.</w:t>
            </w:r>
          </w:p>
        </w:tc>
      </w:tr>
    </w:tbl>
    <w:p>
      <w:pPr>
        <w:pStyle w:val="Heading1"/>
      </w:pPr>
      <w:r>
        <w:t>4. Statistical measurement framework</w:t>
      </w:r>
    </w:p>
    <w:p>
      <w:r>
        <w:t>Every number is classified as published observed evidence, deterministic derivation, or experimental/modelled estimate. This status follows the value through APIs, charts, downloads and citations.</w:t>
      </w:r>
    </w:p>
    <w:p>
      <w:pPr>
        <w:pStyle w:val="Heading2"/>
      </w:pPr>
      <w:r>
        <w:t>Broad-product identity</w:t>
      </w:r>
    </w:p>
    <w:p>
      <w:r>
        <w:rPr>
          <w:b/>
        </w:rPr>
        <w:t>BroadValue_g = AIValue_g + NonAIValue_g</w:t>
      </w:r>
    </w:p>
    <w:p>
      <w:r>
        <w:t>The broad published total is a denominator/candidate measurement envelope. It is not itself an AI estimate.</w:t>
      </w:r>
    </w:p>
    <w:p>
      <w:pPr>
        <w:pStyle w:val="Heading2"/>
      </w:pPr>
      <w:r>
        <w:t>Four decomposition families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AF7"/>
          </w:tcPr>
          <w:p>
            <w:r/>
            <w:r>
              <w:rPr>
                <w:b/>
                <w:sz w:val="17"/>
              </w:rPr>
              <w:t>Method</w:t>
            </w:r>
          </w:p>
        </w:tc>
        <w:tc>
          <w:tcPr>
            <w:tcW w:type="dxa" w:w="3408"/>
            <w:vAlign w:val="center"/>
            <w:shd w:fill="D9EAF7"/>
          </w:tcPr>
          <w:p>
            <w:r/>
            <w:r>
              <w:rPr>
                <w:b/>
                <w:sz w:val="17"/>
              </w:rPr>
              <w:t>Use</w:t>
            </w:r>
          </w:p>
        </w:tc>
        <w:tc>
          <w:tcPr>
            <w:tcW w:type="dxa" w:w="3408"/>
            <w:vAlign w:val="center"/>
            <w:shd w:fill="D9EAF7"/>
          </w:tcPr>
          <w:p>
            <w:r/>
            <w:r>
              <w:rPr>
                <w:b/>
                <w:sz w:val="17"/>
              </w:rPr>
              <w:t>Main risk</w:t>
            </w:r>
          </w:p>
        </w:tc>
      </w:tr>
      <w:tr>
        <w:trPr>
          <w:cantSplit/>
        </w:trPr>
        <w:tc>
          <w:tcPr>
            <w:tcW w:type="dxa" w:w="3408"/>
            <w:vAlign w:val="center"/>
          </w:tcPr>
          <w:p>
            <w:r/>
            <w:r>
              <w:rPr>
                <w:b w:val="0"/>
                <w:sz w:val="16"/>
              </w:rPr>
              <w:t>Direct</w:t>
            </w:r>
          </w:p>
        </w:tc>
        <w:tc>
          <w:tcPr>
            <w:tcW w:type="dxa" w:w="3408"/>
            <w:vAlign w:val="center"/>
          </w:tcPr>
          <w:p>
            <w:r/>
            <w:r>
              <w:rPr>
                <w:b w:val="0"/>
                <w:sz w:val="16"/>
              </w:rPr>
              <w:t>AI-specific observed monetary value maps to target concept</w:t>
            </w:r>
          </w:p>
        </w:tc>
        <w:tc>
          <w:tcPr>
            <w:tcW w:type="dxa" w:w="3408"/>
            <w:vAlign w:val="center"/>
          </w:tcPr>
          <w:p>
            <w:r/>
            <w:r>
              <w:rPr>
                <w:b w:val="0"/>
                <w:sz w:val="16"/>
              </w:rPr>
              <w:t>coverage/concept mismatch</w:t>
            </w:r>
          </w:p>
        </w:tc>
      </w:tr>
      <w:tr>
        <w:trPr>
          <w:cantSplit/>
        </w:trPr>
        <w:tc>
          <w:tcPr>
            <w:tcW w:type="dxa" w:w="3408"/>
            <w:vAlign w:val="center"/>
          </w:tcPr>
          <w:p>
            <w:r/>
            <w:r>
              <w:rPr>
                <w:b w:val="0"/>
                <w:sz w:val="16"/>
              </w:rPr>
              <w:t>Proportional</w:t>
            </w:r>
          </w:p>
        </w:tc>
        <w:tc>
          <w:tcPr>
            <w:tcW w:type="dxa" w:w="3408"/>
            <w:vAlign w:val="center"/>
          </w:tcPr>
          <w:p>
            <w:r/>
            <w:r>
              <w:rPr>
                <w:b w:val="0"/>
                <w:sz w:val="16"/>
              </w:rPr>
              <w:t>Broad value × evidence-based AI share</w:t>
            </w:r>
          </w:p>
        </w:tc>
        <w:tc>
          <w:tcPr>
            <w:tcW w:type="dxa" w:w="3408"/>
            <w:vAlign w:val="center"/>
          </w:tcPr>
          <w:p>
            <w:r/>
            <w:r>
              <w:rPr>
                <w:b w:val="0"/>
                <w:sz w:val="16"/>
              </w:rPr>
              <w:t>share may not represent value</w:t>
            </w:r>
          </w:p>
        </w:tc>
      </w:tr>
      <w:tr>
        <w:trPr>
          <w:cantSplit/>
        </w:trPr>
        <w:tc>
          <w:tcPr>
            <w:tcW w:type="dxa" w:w="3408"/>
            <w:vAlign w:val="center"/>
          </w:tcPr>
          <w:p>
            <w:r/>
            <w:r>
              <w:rPr>
                <w:b w:val="0"/>
                <w:sz w:val="16"/>
              </w:rPr>
              <w:t>Modelled</w:t>
            </w:r>
          </w:p>
        </w:tc>
        <w:tc>
          <w:tcPr>
            <w:tcW w:type="dxa" w:w="3408"/>
            <w:vAlign w:val="center"/>
          </w:tcPr>
          <w:p>
            <w:r/>
            <w:r>
              <w:rPr>
                <w:b w:val="0"/>
                <w:sz w:val="16"/>
              </w:rPr>
              <w:t>Predict AI share/value using validated model</w:t>
            </w:r>
          </w:p>
        </w:tc>
        <w:tc>
          <w:tcPr>
            <w:tcW w:type="dxa" w:w="3408"/>
            <w:vAlign w:val="center"/>
          </w:tcPr>
          <w:p>
            <w:r/>
            <w:r>
              <w:rPr>
                <w:b w:val="0"/>
                <w:sz w:val="16"/>
              </w:rPr>
              <w:t>model error, calibration, representativeness</w:t>
            </w:r>
          </w:p>
        </w:tc>
      </w:tr>
      <w:tr>
        <w:trPr>
          <w:cantSplit/>
        </w:trPr>
        <w:tc>
          <w:tcPr>
            <w:tcW w:type="dxa" w:w="3408"/>
            <w:vAlign w:val="center"/>
          </w:tcPr>
          <w:p>
            <w:r/>
            <w:r>
              <w:rPr>
                <w:b w:val="0"/>
                <w:sz w:val="16"/>
              </w:rPr>
              <w:t>Hybrid</w:t>
            </w:r>
          </w:p>
        </w:tc>
        <w:tc>
          <w:tcPr>
            <w:tcW w:type="dxa" w:w="3408"/>
            <w:vAlign w:val="center"/>
          </w:tcPr>
          <w:p>
            <w:r/>
            <w:r>
              <w:rPr>
                <w:b w:val="0"/>
                <w:sz w:val="16"/>
              </w:rPr>
              <w:t>Use strongest evidence by segment and model residual gaps</w:t>
            </w:r>
          </w:p>
        </w:tc>
        <w:tc>
          <w:tcPr>
            <w:tcW w:type="dxa" w:w="3408"/>
            <w:vAlign w:val="center"/>
          </w:tcPr>
          <w:p>
            <w:r/>
            <w:r>
              <w:rPr>
                <w:b w:val="0"/>
                <w:sz w:val="16"/>
              </w:rPr>
              <w:t>complexity and double counting</w:t>
            </w:r>
          </w:p>
        </w:tc>
      </w:tr>
    </w:tbl>
    <w:p>
      <w:pPr>
        <w:pStyle w:val="Heading2"/>
      </w:pPr>
      <w:r>
        <w:t>Minimum uncertainty</w:t>
      </w:r>
    </w:p>
    <w:p>
      <w:pPr>
        <w:pStyle w:val="ListBullet"/>
      </w:pPr>
      <w:r>
        <w:t>Low/base/high scenario ranges for assumption-driven estimates.</w:t>
      </w:r>
    </w:p>
    <w:p>
      <w:pPr>
        <w:pStyle w:val="ListBullet"/>
      </w:pPr>
      <w:r>
        <w:t>Confidence/prediction/bootstrap intervals when statistical models support them.</w:t>
      </w:r>
    </w:p>
    <w:p>
      <w:pPr>
        <w:pStyle w:val="ListBullet"/>
      </w:pPr>
      <w:r>
        <w:t>Method-family comparison as structural uncertainty.</w:t>
      </w:r>
    </w:p>
    <w:p>
      <w:pPr>
        <w:pStyle w:val="ListBullet"/>
      </w:pPr>
      <w:r>
        <w:t>Sensitivity plots showing which assumptions matter most.</w:t>
      </w:r>
    </w:p>
    <w:p>
      <w:pPr>
        <w:pStyle w:val="Heading1"/>
      </w:pPr>
      <w:r>
        <w:t>5. Product scope and guardrails</w:t>
      </w:r>
    </w:p>
    <w:p>
      <w:pPr>
        <w:pStyle w:val="Heading2"/>
      </w:pPr>
      <w:r>
        <w:t>In scope</w:t>
      </w:r>
    </w:p>
    <w:p>
      <w:pPr>
        <w:pStyle w:val="ListBullet"/>
      </w:pPr>
      <w:r>
        <w:t>Public source data and metadata.</w:t>
      </w:r>
    </w:p>
    <w:p>
      <w:pPr>
        <w:pStyle w:val="ListBullet"/>
      </w:pPr>
      <w:r>
        <w:t>Broad product supply/demand exploration.</w:t>
      </w:r>
    </w:p>
    <w:p>
      <w:pPr>
        <w:pStyle w:val="ListBullet"/>
      </w:pPr>
      <w:r>
        <w:t>Transparent scenario decomposition.</w:t>
      </w:r>
    </w:p>
    <w:p>
      <w:pPr>
        <w:pStyle w:val="ListBullet"/>
      </w:pPr>
      <w:r>
        <w:t>Public/demo company classification methodology.</w:t>
      </w:r>
    </w:p>
    <w:p>
      <w:pPr>
        <w:pStyle w:val="ListBullet"/>
      </w:pPr>
      <w:r>
        <w:t>Educational National Accounts decision support.</w:t>
      </w:r>
    </w:p>
    <w:p>
      <w:pPr>
        <w:pStyle w:val="ListBullet"/>
      </w:pPr>
      <w:r>
        <w:t>QA, reproducibility, accessibility and public research notes.</w:t>
      </w:r>
    </w:p>
    <w:p>
      <w:pPr>
        <w:pStyle w:val="Heading2"/>
      </w:pPr>
      <w:r>
        <w:t>Explicitly out of scope</w:t>
      </w:r>
    </w:p>
    <w:p>
      <w:pPr>
        <w:pStyle w:val="ListBullet"/>
      </w:pPr>
      <w:r>
        <w:t>Claiming official UK AI GDP/GVA.</w:t>
      </w:r>
    </w:p>
    <w:p>
      <w:pPr>
        <w:pStyle w:val="ListBullet"/>
      </w:pPr>
      <w:r>
        <w:t>Using confidential ONS microdata.</w:t>
      </w:r>
    </w:p>
    <w:p>
      <w:pPr>
        <w:pStyle w:val="ListBullet"/>
      </w:pPr>
      <w:r>
        <w:t>Implying ONS endorsement.</w:t>
      </w:r>
    </w:p>
    <w:p>
      <w:pPr>
        <w:pStyle w:val="ListBullet"/>
      </w:pPr>
      <w:r>
        <w:t>Treating all turnover of an AI-relevant company as AI turnover.</w:t>
      </w:r>
    </w:p>
    <w:p>
      <w:pPr>
        <w:pStyle w:val="ListBullet"/>
      </w:pPr>
      <w:r>
        <w:t>Using adoption rates as monetary AI shares.</w:t>
      </w:r>
    </w:p>
    <w:p>
      <w:pPr>
        <w:pStyle w:val="ListBullet"/>
      </w:pPr>
      <w:r>
        <w:t>Opaque AI classification with no evaluation or human review.</w:t>
      </w:r>
    </w:p>
    <w:p>
      <w:pPr>
        <w:pStyle w:val="Heading1"/>
      </w:pPr>
      <w:r>
        <w:t>6. Core data sources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AF7"/>
          </w:tcPr>
          <w:p>
            <w:r/>
            <w:r>
              <w:rPr>
                <w:b/>
                <w:sz w:val="17"/>
              </w:rPr>
              <w:t>ID</w:t>
            </w:r>
          </w:p>
        </w:tc>
        <w:tc>
          <w:tcPr>
            <w:tcW w:type="dxa" w:w="2556"/>
            <w:vAlign w:val="center"/>
            <w:shd w:fill="D9EAF7"/>
          </w:tcPr>
          <w:p>
            <w:r/>
            <w:r>
              <w:rPr>
                <w:b/>
                <w:sz w:val="17"/>
              </w:rPr>
              <w:t>Publisher</w:t>
            </w:r>
          </w:p>
        </w:tc>
        <w:tc>
          <w:tcPr>
            <w:tcW w:type="dxa" w:w="2556"/>
            <w:vAlign w:val="center"/>
            <w:shd w:fill="D9EAF7"/>
          </w:tcPr>
          <w:p>
            <w:r/>
            <w:r>
              <w:rPr>
                <w:b/>
                <w:sz w:val="17"/>
              </w:rPr>
              <w:t>Source</w:t>
            </w:r>
          </w:p>
        </w:tc>
        <w:tc>
          <w:tcPr>
            <w:tcW w:type="dxa" w:w="2556"/>
            <w:vAlign w:val="center"/>
            <w:shd w:fill="D9EAF7"/>
          </w:tcPr>
          <w:p>
            <w:r/>
            <w:r>
              <w:rPr>
                <w:b/>
                <w:sz w:val="17"/>
              </w:rPr>
              <w:t>Date</w:t>
            </w:r>
          </w:p>
        </w:tc>
      </w:tr>
      <w:tr>
        <w:trPr>
          <w:cantSplit/>
        </w:trPr>
        <w:tc>
          <w:tcPr>
            <w:tcW w:type="dxa" w:w="2556"/>
            <w:vAlign w:val="center"/>
          </w:tcPr>
          <w:p>
            <w:r/>
            <w:r>
              <w:rPr>
                <w:b w:val="0"/>
                <w:sz w:val="16"/>
              </w:rPr>
              <w:t>S1</w:t>
            </w:r>
          </w:p>
        </w:tc>
        <w:tc>
          <w:tcPr>
            <w:tcW w:type="dxa" w:w="2556"/>
            <w:vAlign w:val="center"/>
          </w:tcPr>
          <w:p>
            <w:r/>
            <w:r>
              <w:rPr>
                <w:b w:val="0"/>
                <w:sz w:val="16"/>
              </w:rPr>
              <w:t>Office for National Statistics</w:t>
            </w:r>
          </w:p>
        </w:tc>
        <w:tc>
          <w:tcPr>
            <w:tcW w:type="dxa" w:w="2556"/>
            <w:vAlign w:val="center"/>
          </w:tcPr>
          <w:p>
            <w:r/>
            <w:r>
              <w:rPr>
                <w:b w:val="0"/>
                <w:sz w:val="16"/>
              </w:rPr>
              <w:t>Measuring artificial intelligence in the UK economy using a thematic account</w:t>
            </w:r>
          </w:p>
        </w:tc>
        <w:tc>
          <w:tcPr>
            <w:tcW w:type="dxa" w:w="2556"/>
            <w:vAlign w:val="center"/>
          </w:tcPr>
          <w:p>
            <w:r/>
            <w:r>
              <w:rPr>
                <w:b w:val="0"/>
                <w:sz w:val="16"/>
              </w:rPr>
              <w:t>21 September 2026</w:t>
            </w:r>
          </w:p>
        </w:tc>
      </w:tr>
      <w:tr>
        <w:trPr>
          <w:cantSplit/>
        </w:trPr>
        <w:tc>
          <w:tcPr>
            <w:tcW w:type="dxa" w:w="2556"/>
            <w:vAlign w:val="center"/>
          </w:tcPr>
          <w:p>
            <w:r/>
            <w:r>
              <w:rPr>
                <w:b w:val="0"/>
                <w:sz w:val="16"/>
              </w:rPr>
              <w:t>S2</w:t>
            </w:r>
          </w:p>
        </w:tc>
        <w:tc>
          <w:tcPr>
            <w:tcW w:type="dxa" w:w="2556"/>
            <w:vAlign w:val="center"/>
          </w:tcPr>
          <w:p>
            <w:r/>
            <w:r>
              <w:rPr>
                <w:b w:val="0"/>
                <w:sz w:val="16"/>
              </w:rPr>
              <w:t>Office for National Statistics</w:t>
            </w:r>
          </w:p>
        </w:tc>
        <w:tc>
          <w:tcPr>
            <w:tcW w:type="dxa" w:w="2556"/>
            <w:vAlign w:val="center"/>
          </w:tcPr>
          <w:p>
            <w:r/>
            <w:r>
              <w:rPr>
                <w:b w:val="0"/>
                <w:sz w:val="16"/>
              </w:rPr>
              <w:t>Artificial intelligence in UK businesses: 2023 to 2026</w:t>
            </w:r>
          </w:p>
        </w:tc>
        <w:tc>
          <w:tcPr>
            <w:tcW w:type="dxa" w:w="2556"/>
            <w:vAlign w:val="center"/>
          </w:tcPr>
          <w:p>
            <w:r/>
            <w:r>
              <w:rPr>
                <w:b w:val="0"/>
                <w:sz w:val="16"/>
              </w:rPr>
              <w:t>20 July 2026</w:t>
            </w:r>
          </w:p>
        </w:tc>
      </w:tr>
      <w:tr>
        <w:trPr>
          <w:cantSplit/>
        </w:trPr>
        <w:tc>
          <w:tcPr>
            <w:tcW w:type="dxa" w:w="2556"/>
            <w:vAlign w:val="center"/>
          </w:tcPr>
          <w:p>
            <w:r/>
            <w:r>
              <w:rPr>
                <w:b w:val="0"/>
                <w:sz w:val="16"/>
              </w:rPr>
              <w:t>S3</w:t>
            </w:r>
          </w:p>
        </w:tc>
        <w:tc>
          <w:tcPr>
            <w:tcW w:type="dxa" w:w="2556"/>
            <w:vAlign w:val="center"/>
          </w:tcPr>
          <w:p>
            <w:r/>
            <w:r>
              <w:rPr>
                <w:b w:val="0"/>
                <w:sz w:val="16"/>
              </w:rPr>
              <w:t>Office for National Statistics</w:t>
            </w:r>
          </w:p>
        </w:tc>
        <w:tc>
          <w:tcPr>
            <w:tcW w:type="dxa" w:w="2556"/>
            <w:vAlign w:val="center"/>
          </w:tcPr>
          <w:p>
            <w:r/>
            <w:r>
              <w:rPr>
                <w:b w:val="0"/>
                <w:sz w:val="16"/>
              </w:rPr>
              <w:t>Data centres and the UK National Accounts</w:t>
            </w:r>
          </w:p>
        </w:tc>
        <w:tc>
          <w:tcPr>
            <w:tcW w:type="dxa" w:w="2556"/>
            <w:vAlign w:val="center"/>
          </w:tcPr>
          <w:p>
            <w:r/>
            <w:r>
              <w:rPr>
                <w:b w:val="0"/>
                <w:sz w:val="16"/>
              </w:rPr>
              <w:t>24 August 2026</w:t>
            </w:r>
          </w:p>
        </w:tc>
      </w:tr>
      <w:tr>
        <w:trPr>
          <w:cantSplit/>
        </w:trPr>
        <w:tc>
          <w:tcPr>
            <w:tcW w:type="dxa" w:w="2556"/>
            <w:vAlign w:val="center"/>
          </w:tcPr>
          <w:p>
            <w:r/>
            <w:r>
              <w:rPr>
                <w:b w:val="0"/>
                <w:sz w:val="16"/>
              </w:rPr>
              <w:t>S4</w:t>
            </w:r>
          </w:p>
        </w:tc>
        <w:tc>
          <w:tcPr>
            <w:tcW w:type="dxa" w:w="2556"/>
            <w:vAlign w:val="center"/>
          </w:tcPr>
          <w:p>
            <w:r/>
            <w:r>
              <w:rPr>
                <w:b w:val="0"/>
                <w:sz w:val="16"/>
              </w:rPr>
              <w:t>Office for National Statistics</w:t>
            </w:r>
          </w:p>
        </w:tc>
        <w:tc>
          <w:tcPr>
            <w:tcW w:type="dxa" w:w="2556"/>
            <w:vAlign w:val="center"/>
          </w:tcPr>
          <w:p>
            <w:r/>
            <w:r>
              <w:rPr>
                <w:b w:val="0"/>
                <w:sz w:val="16"/>
              </w:rPr>
              <w:t>Redefining investment in digital infrastructure in the UK: 2026</w:t>
            </w:r>
          </w:p>
        </w:tc>
        <w:tc>
          <w:tcPr>
            <w:tcW w:type="dxa" w:w="2556"/>
            <w:vAlign w:val="center"/>
          </w:tcPr>
          <w:p>
            <w:r/>
            <w:r>
              <w:rPr>
                <w:b w:val="0"/>
                <w:sz w:val="16"/>
              </w:rPr>
              <w:t>24 August 2026</w:t>
            </w:r>
          </w:p>
        </w:tc>
      </w:tr>
      <w:tr>
        <w:trPr>
          <w:cantSplit/>
        </w:trPr>
        <w:tc>
          <w:tcPr>
            <w:tcW w:type="dxa" w:w="2556"/>
            <w:vAlign w:val="center"/>
          </w:tcPr>
          <w:p>
            <w:r/>
            <w:r>
              <w:rPr>
                <w:b w:val="0"/>
                <w:sz w:val="16"/>
              </w:rPr>
              <w:t>S5</w:t>
            </w:r>
          </w:p>
        </w:tc>
        <w:tc>
          <w:tcPr>
            <w:tcW w:type="dxa" w:w="2556"/>
            <w:vAlign w:val="center"/>
          </w:tcPr>
          <w:p>
            <w:r/>
            <w:r>
              <w:rPr>
                <w:b w:val="0"/>
                <w:sz w:val="16"/>
              </w:rPr>
              <w:t>Office for National Statistics</w:t>
            </w:r>
          </w:p>
        </w:tc>
        <w:tc>
          <w:tcPr>
            <w:tcW w:type="dxa" w:w="2556"/>
            <w:vAlign w:val="center"/>
          </w:tcPr>
          <w:p>
            <w:r/>
            <w:r>
              <w:rPr>
                <w:b w:val="0"/>
                <w:sz w:val="16"/>
              </w:rPr>
              <w:t>Input-output supply and use tables</w:t>
            </w:r>
          </w:p>
        </w:tc>
        <w:tc>
          <w:tcPr>
            <w:tcW w:type="dxa" w:w="2556"/>
            <w:vAlign w:val="center"/>
          </w:tcPr>
          <w:p>
            <w:r/>
            <w:r>
              <w:rPr>
                <w:b w:val="0"/>
                <w:sz w:val="16"/>
              </w:rPr>
              <w:t>31 October 2025</w:t>
            </w:r>
          </w:p>
        </w:tc>
      </w:tr>
      <w:tr>
        <w:trPr>
          <w:cantSplit/>
        </w:trPr>
        <w:tc>
          <w:tcPr>
            <w:tcW w:type="dxa" w:w="2556"/>
            <w:vAlign w:val="center"/>
          </w:tcPr>
          <w:p>
            <w:r/>
            <w:r>
              <w:rPr>
                <w:b w:val="0"/>
                <w:sz w:val="16"/>
              </w:rPr>
              <w:t>S6</w:t>
            </w:r>
          </w:p>
        </w:tc>
        <w:tc>
          <w:tcPr>
            <w:tcW w:type="dxa" w:w="2556"/>
            <w:vAlign w:val="center"/>
          </w:tcPr>
          <w:p>
            <w:r/>
            <w:r>
              <w:rPr>
                <w:b w:val="0"/>
                <w:sz w:val="16"/>
              </w:rPr>
              <w:t>Office for National Statistics</w:t>
            </w:r>
          </w:p>
        </w:tc>
        <w:tc>
          <w:tcPr>
            <w:tcW w:type="dxa" w:w="2556"/>
            <w:vAlign w:val="center"/>
          </w:tcPr>
          <w:p>
            <w:r/>
            <w:r>
              <w:rPr>
                <w:b w:val="0"/>
                <w:sz w:val="16"/>
              </w:rPr>
              <w:t>Developing UK digital trade statistics: 2026 update</w:t>
            </w:r>
          </w:p>
        </w:tc>
        <w:tc>
          <w:tcPr>
            <w:tcW w:type="dxa" w:w="2556"/>
            <w:vAlign w:val="center"/>
          </w:tcPr>
          <w:p>
            <w:r/>
            <w:r>
              <w:rPr>
                <w:b w:val="0"/>
                <w:sz w:val="16"/>
              </w:rPr>
              <w:t>26 June 2026</w:t>
            </w:r>
          </w:p>
        </w:tc>
      </w:tr>
      <w:tr>
        <w:trPr>
          <w:cantSplit/>
        </w:trPr>
        <w:tc>
          <w:tcPr>
            <w:tcW w:type="dxa" w:w="2556"/>
            <w:vAlign w:val="center"/>
          </w:tcPr>
          <w:p>
            <w:r/>
            <w:r>
              <w:rPr>
                <w:b w:val="0"/>
                <w:sz w:val="16"/>
              </w:rPr>
              <w:t>S7</w:t>
            </w:r>
          </w:p>
        </w:tc>
        <w:tc>
          <w:tcPr>
            <w:tcW w:type="dxa" w:w="2556"/>
            <w:vAlign w:val="center"/>
          </w:tcPr>
          <w:p>
            <w:r/>
            <w:r>
              <w:rPr>
                <w:b w:val="0"/>
                <w:sz w:val="16"/>
              </w:rPr>
              <w:t>Office for National Statistics</w:t>
            </w:r>
          </w:p>
        </w:tc>
        <w:tc>
          <w:tcPr>
            <w:tcW w:type="dxa" w:w="2556"/>
            <w:vAlign w:val="center"/>
          </w:tcPr>
          <w:p>
            <w:r/>
            <w:r>
              <w:rPr>
                <w:b w:val="0"/>
                <w:sz w:val="16"/>
              </w:rPr>
              <w:t>UK SIC: 2026</w:t>
            </w:r>
          </w:p>
        </w:tc>
        <w:tc>
          <w:tcPr>
            <w:tcW w:type="dxa" w:w="2556"/>
            <w:vAlign w:val="center"/>
          </w:tcPr>
          <w:p>
            <w:r/>
            <w:r>
              <w:rPr>
                <w:b w:val="0"/>
                <w:sz w:val="16"/>
              </w:rPr>
              <w:t>3 August 2026</w:t>
            </w:r>
          </w:p>
        </w:tc>
      </w:tr>
      <w:tr>
        <w:trPr>
          <w:cantSplit/>
        </w:trPr>
        <w:tc>
          <w:tcPr>
            <w:tcW w:type="dxa" w:w="2556"/>
            <w:vAlign w:val="center"/>
          </w:tcPr>
          <w:p>
            <w:r/>
            <w:r>
              <w:rPr>
                <w:b w:val="0"/>
                <w:sz w:val="16"/>
              </w:rPr>
              <w:t>S8</w:t>
            </w:r>
          </w:p>
        </w:tc>
        <w:tc>
          <w:tcPr>
            <w:tcW w:type="dxa" w:w="2556"/>
            <w:vAlign w:val="center"/>
          </w:tcPr>
          <w:p>
            <w:r/>
            <w:r>
              <w:rPr>
                <w:b w:val="0"/>
                <w:sz w:val="16"/>
              </w:rPr>
              <w:t>Department for Science, Innovation and Technology</w:t>
            </w:r>
          </w:p>
        </w:tc>
        <w:tc>
          <w:tcPr>
            <w:tcW w:type="dxa" w:w="2556"/>
            <w:vAlign w:val="center"/>
          </w:tcPr>
          <w:p>
            <w:r/>
            <w:r>
              <w:rPr>
                <w:b w:val="0"/>
                <w:sz w:val="16"/>
              </w:rPr>
              <w:t>Artificial Intelligence sector study 2024</w:t>
            </w:r>
          </w:p>
        </w:tc>
        <w:tc>
          <w:tcPr>
            <w:tcW w:type="dxa" w:w="2556"/>
            <w:vAlign w:val="center"/>
          </w:tcPr>
          <w:p>
            <w:r/>
            <w:r>
              <w:rPr>
                <w:b w:val="0"/>
                <w:sz w:val="16"/>
              </w:rPr>
              <w:t>3 September 2025</w:t>
            </w:r>
          </w:p>
        </w:tc>
      </w:tr>
      <w:tr>
        <w:trPr>
          <w:cantSplit/>
        </w:trPr>
        <w:tc>
          <w:tcPr>
            <w:tcW w:type="dxa" w:w="2556"/>
            <w:vAlign w:val="center"/>
          </w:tcPr>
          <w:p>
            <w:r/>
            <w:r>
              <w:rPr>
                <w:b w:val="0"/>
                <w:sz w:val="16"/>
              </w:rPr>
              <w:t>S9</w:t>
            </w:r>
          </w:p>
        </w:tc>
        <w:tc>
          <w:tcPr>
            <w:tcW w:type="dxa" w:w="2556"/>
            <w:vAlign w:val="center"/>
          </w:tcPr>
          <w:p>
            <w:r/>
            <w:r>
              <w:rPr>
                <w:b w:val="0"/>
                <w:sz w:val="16"/>
              </w:rPr>
              <w:t>Companies House</w:t>
            </w:r>
          </w:p>
        </w:tc>
        <w:tc>
          <w:tcPr>
            <w:tcW w:type="dxa" w:w="2556"/>
            <w:vAlign w:val="center"/>
          </w:tcPr>
          <w:p>
            <w:r/>
            <w:r>
              <w:rPr>
                <w:b w:val="0"/>
                <w:sz w:val="16"/>
              </w:rPr>
              <w:t>Public Data API documentation</w:t>
            </w:r>
          </w:p>
        </w:tc>
        <w:tc>
          <w:tcPr>
            <w:tcW w:type="dxa" w:w="2556"/>
            <w:vAlign w:val="center"/>
          </w:tcPr>
          <w:p>
            <w:r/>
            <w:r>
              <w:rPr>
                <w:b w:val="0"/>
                <w:sz w:val="16"/>
              </w:rPr>
              <w:t>accessed 21 September 2026</w:t>
            </w:r>
          </w:p>
        </w:tc>
      </w:tr>
      <w:tr>
        <w:trPr>
          <w:cantSplit/>
        </w:trPr>
        <w:tc>
          <w:tcPr>
            <w:tcW w:type="dxa" w:w="2556"/>
            <w:vAlign w:val="center"/>
          </w:tcPr>
          <w:p>
            <w:r/>
            <w:r>
              <w:rPr>
                <w:b w:val="0"/>
                <w:sz w:val="16"/>
              </w:rPr>
              <w:t>S10</w:t>
            </w:r>
          </w:p>
        </w:tc>
        <w:tc>
          <w:tcPr>
            <w:tcW w:type="dxa" w:w="2556"/>
            <w:vAlign w:val="center"/>
          </w:tcPr>
          <w:p>
            <w:r/>
            <w:r>
              <w:rPr>
                <w:b w:val="0"/>
                <w:sz w:val="16"/>
              </w:rPr>
              <w:t>UK Statistics Authority</w:t>
            </w:r>
          </w:p>
        </w:tc>
        <w:tc>
          <w:tcPr>
            <w:tcW w:type="dxa" w:w="2556"/>
            <w:vAlign w:val="center"/>
          </w:tcPr>
          <w:p>
            <w:r/>
            <w:r>
              <w:rPr>
                <w:b w:val="0"/>
                <w:sz w:val="16"/>
              </w:rPr>
              <w:t>Code of Practice for Statistics 3.0</w:t>
            </w:r>
          </w:p>
        </w:tc>
        <w:tc>
          <w:tcPr>
            <w:tcW w:type="dxa" w:w="2556"/>
            <w:vAlign w:val="center"/>
          </w:tcPr>
          <w:p>
            <w:r/>
            <w:r>
              <w:rPr>
                <w:b w:val="0"/>
                <w:sz w:val="16"/>
              </w:rPr>
              <w:t>2025</w:t>
            </w:r>
          </w:p>
        </w:tc>
      </w:tr>
      <w:tr>
        <w:trPr>
          <w:cantSplit/>
        </w:trPr>
        <w:tc>
          <w:tcPr>
            <w:tcW w:type="dxa" w:w="2556"/>
            <w:vAlign w:val="center"/>
          </w:tcPr>
          <w:p>
            <w:r/>
            <w:r>
              <w:rPr>
                <w:b w:val="0"/>
                <w:sz w:val="16"/>
              </w:rPr>
              <w:t>S11</w:t>
            </w:r>
          </w:p>
        </w:tc>
        <w:tc>
          <w:tcPr>
            <w:tcW w:type="dxa" w:w="2556"/>
            <w:vAlign w:val="center"/>
          </w:tcPr>
          <w:p>
            <w:r/>
            <w:r>
              <w:rPr>
                <w:b w:val="0"/>
                <w:sz w:val="16"/>
              </w:rPr>
              <w:t>Office for National Statistics</w:t>
            </w:r>
          </w:p>
        </w:tc>
        <w:tc>
          <w:tcPr>
            <w:tcW w:type="dxa" w:w="2556"/>
            <w:vAlign w:val="center"/>
          </w:tcPr>
          <w:p>
            <w:r/>
            <w:r>
              <w:rPr>
                <w:b w:val="0"/>
                <w:sz w:val="16"/>
              </w:rPr>
              <w:t>ONS Service Manual and Design System</w:t>
            </w:r>
          </w:p>
        </w:tc>
        <w:tc>
          <w:tcPr>
            <w:tcW w:type="dxa" w:w="2556"/>
            <w:vAlign w:val="center"/>
          </w:tcPr>
          <w:p>
            <w:r/>
            <w:r>
              <w:rPr>
                <w:b w:val="0"/>
                <w:sz w:val="16"/>
              </w:rPr>
              <w:t>accessed 21 September 2026</w:t>
            </w:r>
          </w:p>
        </w:tc>
      </w:tr>
      <w:tr>
        <w:trPr>
          <w:cantSplit/>
        </w:trPr>
        <w:tc>
          <w:tcPr>
            <w:tcW w:type="dxa" w:w="2556"/>
            <w:vAlign w:val="center"/>
          </w:tcPr>
          <w:p>
            <w:r/>
            <w:r>
              <w:rPr>
                <w:b w:val="0"/>
                <w:sz w:val="16"/>
              </w:rPr>
              <w:t>S12</w:t>
            </w:r>
          </w:p>
        </w:tc>
        <w:tc>
          <w:tcPr>
            <w:tcW w:type="dxa" w:w="2556"/>
            <w:vAlign w:val="center"/>
          </w:tcPr>
          <w:p>
            <w:r/>
            <w:r>
              <w:rPr>
                <w:b w:val="0"/>
                <w:sz w:val="16"/>
              </w:rPr>
              <w:t>Government Analysis Function</w:t>
            </w:r>
          </w:p>
        </w:tc>
        <w:tc>
          <w:tcPr>
            <w:tcW w:type="dxa" w:w="2556"/>
            <w:vAlign w:val="center"/>
          </w:tcPr>
          <w:p>
            <w:r/>
            <w:r>
              <w:rPr>
                <w:b w:val="0"/>
                <w:sz w:val="16"/>
              </w:rPr>
              <w:t>Competency framework for the Government Statistician Group</w:t>
            </w:r>
          </w:p>
        </w:tc>
        <w:tc>
          <w:tcPr>
            <w:tcW w:type="dxa" w:w="2556"/>
            <w:vAlign w:val="center"/>
          </w:tcPr>
          <w:p>
            <w:r/>
            <w:r>
              <w:rPr>
                <w:b w:val="0"/>
                <w:sz w:val="16"/>
              </w:rPr>
              <w:t>1 November 2021</w:t>
            </w:r>
          </w:p>
        </w:tc>
      </w:tr>
      <w:tr>
        <w:trPr>
          <w:cantSplit/>
        </w:trPr>
        <w:tc>
          <w:tcPr>
            <w:tcW w:type="dxa" w:w="2556"/>
            <w:vAlign w:val="center"/>
          </w:tcPr>
          <w:p>
            <w:r/>
            <w:r>
              <w:rPr>
                <w:b w:val="0"/>
                <w:sz w:val="16"/>
              </w:rPr>
              <w:t>S13</w:t>
            </w:r>
          </w:p>
        </w:tc>
        <w:tc>
          <w:tcPr>
            <w:tcW w:type="dxa" w:w="2556"/>
            <w:vAlign w:val="center"/>
          </w:tcPr>
          <w:p>
            <w:r/>
            <w:r>
              <w:rPr>
                <w:b w:val="0"/>
                <w:sz w:val="16"/>
              </w:rPr>
              <w:t>Office for National Statistics</w:t>
            </w:r>
          </w:p>
        </w:tc>
        <w:tc>
          <w:tcPr>
            <w:tcW w:type="dxa" w:w="2556"/>
            <w:vAlign w:val="center"/>
          </w:tcPr>
          <w:p>
            <w:r/>
            <w:r>
              <w:rPr>
                <w:b w:val="0"/>
                <w:sz w:val="16"/>
              </w:rPr>
              <w:t>ONS surveys and economic statistics improvement plan: July 2026 update</w:t>
            </w:r>
          </w:p>
        </w:tc>
        <w:tc>
          <w:tcPr>
            <w:tcW w:type="dxa" w:w="2556"/>
            <w:vAlign w:val="center"/>
          </w:tcPr>
          <w:p>
            <w:r/>
            <w:r>
              <w:rPr>
                <w:b w:val="0"/>
                <w:sz w:val="16"/>
              </w:rPr>
              <w:t>15 July 2026</w:t>
            </w:r>
          </w:p>
        </w:tc>
      </w:tr>
    </w:tbl>
    <w:p>
      <w:r>
        <w:t>The build package contains a full data source register with proposed use, limitations, vintage and acquisition rules.</w:t>
      </w:r>
    </w:p>
    <w:p>
      <w:pPr>
        <w:pStyle w:val="Heading1"/>
      </w:pPr>
      <w:r>
        <w:t>7. Data and provenance architecture</w:t>
      </w:r>
    </w:p>
    <w:p>
      <w:r>
        <w:t>The data pipeline is: acquire → hash → validate raw → transform → validate transformed → publish analytical snapshot → build metadata manifest. Raw files are immutable. Every published value carries source, vintage, reference period, transformation version and statistical status.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AF7"/>
          </w:tcPr>
          <w:p>
            <w:r/>
            <w:r>
              <w:rPr>
                <w:b/>
                <w:sz w:val="17"/>
              </w:rPr>
              <w:t>Layer</w:t>
            </w:r>
          </w:p>
        </w:tc>
        <w:tc>
          <w:tcPr>
            <w:tcW w:type="dxa" w:w="5112"/>
            <w:vAlign w:val="center"/>
            <w:shd w:fill="D9EAF7"/>
          </w:tcPr>
          <w:p>
            <w:r/>
            <w:r>
              <w:rPr>
                <w:b/>
                <w:sz w:val="17"/>
              </w:rPr>
              <w:t>Purpose</w:t>
            </w:r>
          </w:p>
        </w:tc>
      </w:tr>
      <w:tr>
        <w:trPr>
          <w:cantSplit/>
        </w:trPr>
        <w:tc>
          <w:tcPr>
            <w:tcW w:type="dxa" w:w="5112"/>
            <w:vAlign w:val="center"/>
          </w:tcPr>
          <w:p>
            <w:r/>
            <w:r>
              <w:rPr>
                <w:b w:val="0"/>
                <w:sz w:val="16"/>
              </w:rPr>
              <w:t>raw</w:t>
            </w:r>
          </w:p>
        </w:tc>
        <w:tc>
          <w:tcPr>
            <w:tcW w:type="dxa" w:w="5112"/>
            <w:vAlign w:val="center"/>
          </w:tcPr>
          <w:p>
            <w:r/>
            <w:r>
              <w:rPr>
                <w:b w:val="0"/>
                <w:sz w:val="16"/>
              </w:rPr>
              <w:t>Exact source snapshot; immutable</w:t>
            </w:r>
          </w:p>
        </w:tc>
      </w:tr>
      <w:tr>
        <w:trPr>
          <w:cantSplit/>
        </w:trPr>
        <w:tc>
          <w:tcPr>
            <w:tcW w:type="dxa" w:w="5112"/>
            <w:vAlign w:val="center"/>
          </w:tcPr>
          <w:p>
            <w:r/>
            <w:r>
              <w:rPr>
                <w:b w:val="0"/>
                <w:sz w:val="16"/>
              </w:rPr>
              <w:t>staging</w:t>
            </w:r>
          </w:p>
        </w:tc>
        <w:tc>
          <w:tcPr>
            <w:tcW w:type="dxa" w:w="5112"/>
            <w:vAlign w:val="center"/>
          </w:tcPr>
          <w:p>
            <w:r/>
            <w:r>
              <w:rPr>
                <w:b w:val="0"/>
                <w:sz w:val="16"/>
              </w:rPr>
              <w:t>Schema/type standardisation only</w:t>
            </w:r>
          </w:p>
        </w:tc>
      </w:tr>
      <w:tr>
        <w:trPr>
          <w:cantSplit/>
        </w:trPr>
        <w:tc>
          <w:tcPr>
            <w:tcW w:type="dxa" w:w="5112"/>
            <w:vAlign w:val="center"/>
          </w:tcPr>
          <w:p>
            <w:r/>
            <w:r>
              <w:rPr>
                <w:b w:val="0"/>
                <w:sz w:val="16"/>
              </w:rPr>
              <w:t>core</w:t>
            </w:r>
          </w:p>
        </w:tc>
        <w:tc>
          <w:tcPr>
            <w:tcW w:type="dxa" w:w="5112"/>
            <w:vAlign w:val="center"/>
          </w:tcPr>
          <w:p>
            <w:r/>
            <w:r>
              <w:rPr>
                <w:b w:val="0"/>
                <w:sz w:val="16"/>
              </w:rPr>
              <w:t>Conformed product/business facts and dimensions</w:t>
            </w:r>
          </w:p>
        </w:tc>
      </w:tr>
      <w:tr>
        <w:trPr>
          <w:cantSplit/>
        </w:trPr>
        <w:tc>
          <w:tcPr>
            <w:tcW w:type="dxa" w:w="5112"/>
            <w:vAlign w:val="center"/>
          </w:tcPr>
          <w:p>
            <w:r/>
            <w:r>
              <w:rPr>
                <w:b w:val="0"/>
                <w:sz w:val="16"/>
              </w:rPr>
              <w:t>model</w:t>
            </w:r>
          </w:p>
        </w:tc>
        <w:tc>
          <w:tcPr>
            <w:tcW w:type="dxa" w:w="5112"/>
            <w:vAlign w:val="center"/>
          </w:tcPr>
          <w:p>
            <w:r/>
            <w:r>
              <w:rPr>
                <w:b w:val="0"/>
                <w:sz w:val="16"/>
              </w:rPr>
              <w:t>Features, labels, predictions and uncertainty parameters</w:t>
            </w:r>
          </w:p>
        </w:tc>
      </w:tr>
      <w:tr>
        <w:trPr>
          <w:cantSplit/>
        </w:trPr>
        <w:tc>
          <w:tcPr>
            <w:tcW w:type="dxa" w:w="5112"/>
            <w:vAlign w:val="center"/>
          </w:tcPr>
          <w:p>
            <w:r/>
            <w:r>
              <w:rPr>
                <w:b w:val="0"/>
                <w:sz w:val="16"/>
              </w:rPr>
              <w:t>publication</w:t>
            </w:r>
          </w:p>
        </w:tc>
        <w:tc>
          <w:tcPr>
            <w:tcW w:type="dxa" w:w="5112"/>
            <w:vAlign w:val="center"/>
          </w:tcPr>
          <w:p>
            <w:r/>
            <w:r>
              <w:rPr>
                <w:b w:val="0"/>
                <w:sz w:val="16"/>
              </w:rPr>
              <w:t>UI-ready aggregates with provenance envelope</w:t>
            </w:r>
          </w:p>
        </w:tc>
      </w:tr>
    </w:tbl>
    <w:p>
      <w:pPr>
        <w:pStyle w:val="Heading1"/>
      </w:pPr>
      <w:r>
        <w:t>8. Disaggregation Lab detailed design</w:t>
      </w:r>
    </w:p>
    <w:p>
      <w:r>
        <w:t>The lab is the core differentiator. A user selects a broad CPA product and method, then sees the source denominator, parameter assumptions, resulting AI/non-AI split, uncertainty and method comparison.</w:t>
      </w:r>
    </w:p>
    <w:p>
      <w:pPr>
        <w:pStyle w:val="ListBullet"/>
      </w:pPr>
      <w:r>
        <w:t>Direct values require concept and period mapping checks.</w:t>
      </w:r>
    </w:p>
    <w:p>
      <w:pPr>
        <w:pStyle w:val="ListBullet"/>
      </w:pPr>
      <w:r>
        <w:t>Proportional values expose the source of the AI share and low/base/high range.</w:t>
      </w:r>
    </w:p>
    <w:p>
      <w:pPr>
        <w:pStyle w:val="ListBullet"/>
      </w:pPr>
      <w:r>
        <w:t>Modelled values separate AI relevance probability from AI revenue/value share.</w:t>
      </w:r>
    </w:p>
    <w:p>
      <w:pPr>
        <w:pStyle w:val="ListBullet"/>
      </w:pPr>
      <w:r>
        <w:t>Hybrid values show which portions came from direct evidence versus allocation/model.</w:t>
      </w:r>
    </w:p>
    <w:p>
      <w:pPr>
        <w:pStyle w:val="ListBullet"/>
      </w:pPr>
      <w:r>
        <w:t>Exports include product, source, reference year, method version, parameters and prototype status.</w:t>
      </w:r>
    </w:p>
    <w:p>
      <w:pPr>
        <w:pStyle w:val="Heading1"/>
      </w:pPr>
      <w:r>
        <w:t>9. AI Business Classification Lab</w:t>
      </w:r>
    </w:p>
    <w:p>
      <w:r>
        <w:t>The classifier is a population-identification research feature. It does not establish a definitive public register. Start with transparent rules and TF-IDF/logistic baselines before embeddings or LLM-assisted classification.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AF7"/>
          </w:tcPr>
          <w:p>
            <w:r/>
            <w:r>
              <w:rPr>
                <w:b/>
                <w:sz w:val="17"/>
              </w:rPr>
              <w:t>Requirement</w:t>
            </w:r>
          </w:p>
        </w:tc>
        <w:tc>
          <w:tcPr>
            <w:tcW w:type="dxa" w:w="5112"/>
            <w:vAlign w:val="center"/>
            <w:shd w:fill="D9EAF7"/>
          </w:tcPr>
          <w:p>
            <w:r/>
            <w:r>
              <w:rPr>
                <w:b/>
                <w:sz w:val="17"/>
              </w:rPr>
              <w:t>Implementation</w:t>
            </w:r>
          </w:p>
        </w:tc>
      </w:tr>
      <w:tr>
        <w:trPr>
          <w:cantSplit/>
        </w:trPr>
        <w:tc>
          <w:tcPr>
            <w:tcW w:type="dxa" w:w="5112"/>
            <w:vAlign w:val="center"/>
          </w:tcPr>
          <w:p>
            <w:r/>
            <w:r>
              <w:rPr>
                <w:b w:val="0"/>
                <w:sz w:val="16"/>
              </w:rPr>
              <w:t>Labels</w:t>
            </w:r>
          </w:p>
        </w:tc>
        <w:tc>
          <w:tcPr>
            <w:tcW w:type="dxa" w:w="5112"/>
            <w:vAlign w:val="center"/>
          </w:tcPr>
          <w:p>
            <w:r/>
            <w:r>
              <w:rPr>
                <w:b w:val="0"/>
                <w:sz w:val="16"/>
              </w:rPr>
              <w:t>Multi-label activity taxonomy based on ONS Table 3 categories</w:t>
            </w:r>
          </w:p>
        </w:tc>
      </w:tr>
      <w:tr>
        <w:trPr>
          <w:cantSplit/>
        </w:trPr>
        <w:tc>
          <w:tcPr>
            <w:tcW w:type="dxa" w:w="5112"/>
            <w:vAlign w:val="center"/>
          </w:tcPr>
          <w:p>
            <w:r/>
            <w:r>
              <w:rPr>
                <w:b w:val="0"/>
                <w:sz w:val="16"/>
              </w:rPr>
              <w:t>Evaluation</w:t>
            </w:r>
          </w:p>
        </w:tc>
        <w:tc>
          <w:tcPr>
            <w:tcW w:type="dxa" w:w="5112"/>
            <w:vAlign w:val="center"/>
          </w:tcPr>
          <w:p>
            <w:r/>
            <w:r>
              <w:rPr>
                <w:b w:val="0"/>
                <w:sz w:val="16"/>
              </w:rPr>
              <w:t>Precision, recall, F1, PR-AUC where useful, per-label metrics, calibration</w:t>
            </w:r>
          </w:p>
        </w:tc>
      </w:tr>
      <w:tr>
        <w:trPr>
          <w:cantSplit/>
        </w:trPr>
        <w:tc>
          <w:tcPr>
            <w:tcW w:type="dxa" w:w="5112"/>
            <w:vAlign w:val="center"/>
          </w:tcPr>
          <w:p>
            <w:r/>
            <w:r>
              <w:rPr>
                <w:b w:val="0"/>
                <w:sz w:val="16"/>
              </w:rPr>
              <w:t>Leakage control</w:t>
            </w:r>
          </w:p>
        </w:tc>
        <w:tc>
          <w:tcPr>
            <w:tcW w:type="dxa" w:w="5112"/>
            <w:vAlign w:val="center"/>
          </w:tcPr>
          <w:p>
            <w:r/>
            <w:r>
              <w:rPr>
                <w:b w:val="0"/>
                <w:sz w:val="16"/>
              </w:rPr>
              <w:t>Split by business, not text snippet</w:t>
            </w:r>
          </w:p>
        </w:tc>
      </w:tr>
      <w:tr>
        <w:trPr>
          <w:cantSplit/>
        </w:trPr>
        <w:tc>
          <w:tcPr>
            <w:tcW w:type="dxa" w:w="5112"/>
            <w:vAlign w:val="center"/>
          </w:tcPr>
          <w:p>
            <w:r/>
            <w:r>
              <w:rPr>
                <w:b w:val="0"/>
                <w:sz w:val="16"/>
              </w:rPr>
              <w:t>Explainability</w:t>
            </w:r>
          </w:p>
        </w:tc>
        <w:tc>
          <w:tcPr>
            <w:tcW w:type="dxa" w:w="5112"/>
            <w:vAlign w:val="center"/>
          </w:tcPr>
          <w:p>
            <w:r/>
            <w:r>
              <w:rPr>
                <w:b w:val="0"/>
                <w:sz w:val="16"/>
              </w:rPr>
              <w:t>Evidence terms/features, source text, model version</w:t>
            </w:r>
          </w:p>
        </w:tc>
      </w:tr>
      <w:tr>
        <w:trPr>
          <w:cantSplit/>
        </w:trPr>
        <w:tc>
          <w:tcPr>
            <w:tcW w:type="dxa" w:w="5112"/>
            <w:vAlign w:val="center"/>
          </w:tcPr>
          <w:p>
            <w:r/>
            <w:r>
              <w:rPr>
                <w:b w:val="0"/>
                <w:sz w:val="16"/>
              </w:rPr>
              <w:t>Review</w:t>
            </w:r>
          </w:p>
        </w:tc>
        <w:tc>
          <w:tcPr>
            <w:tcW w:type="dxa" w:w="5112"/>
            <w:vAlign w:val="center"/>
          </w:tcPr>
          <w:p>
            <w:r/>
            <w:r>
              <w:rPr>
                <w:b w:val="0"/>
                <w:sz w:val="16"/>
              </w:rPr>
              <w:t>Accept/reject/amend/adjudicate workflow</w:t>
            </w:r>
          </w:p>
        </w:tc>
      </w:tr>
      <w:tr>
        <w:trPr>
          <w:cantSplit/>
        </w:trPr>
        <w:tc>
          <w:tcPr>
            <w:tcW w:type="dxa" w:w="5112"/>
            <w:vAlign w:val="center"/>
          </w:tcPr>
          <w:p>
            <w:r/>
            <w:r>
              <w:rPr>
                <w:b w:val="0"/>
                <w:sz w:val="16"/>
              </w:rPr>
              <w:t>Drift</w:t>
            </w:r>
          </w:p>
        </w:tc>
        <w:tc>
          <w:tcPr>
            <w:tcW w:type="dxa" w:w="5112"/>
            <w:vAlign w:val="center"/>
          </w:tcPr>
          <w:p>
            <w:r/>
            <w:r>
              <w:rPr>
                <w:b w:val="0"/>
                <w:sz w:val="16"/>
              </w:rPr>
              <w:t>Monitor vocabulary, prevalence, confidence and reviewer disagreement</w:t>
            </w:r>
          </w:p>
        </w:tc>
      </w:tr>
    </w:tbl>
    <w:p>
      <w:pPr>
        <w:pStyle w:val="Heading1"/>
      </w:pPr>
      <w:r>
        <w:t>10. SNA Decision Engine</w:t>
      </w:r>
    </w:p>
    <w:p>
      <w:r>
        <w:t>The engine is deterministic and educational. It asks what is being acquired or produced, whether a non-financial asset is created, expected service life, own-account development, economic ownership, residency, licence/cloud access and cross-border status. The output begins: “Indicative treatment for investigation — not an official classification.”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AF7"/>
          </w:tcPr>
          <w:p>
            <w:r/>
            <w:r>
              <w:rPr>
                <w:b/>
                <w:sz w:val="17"/>
              </w:rPr>
              <w:t>Scenario</w:t>
            </w:r>
          </w:p>
        </w:tc>
        <w:tc>
          <w:tcPr>
            <w:tcW w:type="dxa" w:w="5112"/>
            <w:vAlign w:val="center"/>
            <w:shd w:fill="D9EAF7"/>
          </w:tcPr>
          <w:p>
            <w:r/>
            <w:r>
              <w:rPr>
                <w:b/>
                <w:sz w:val="17"/>
              </w:rPr>
              <w:t>Concepts surfaced</w:t>
            </w:r>
          </w:p>
        </w:tc>
      </w:tr>
      <w:tr>
        <w:trPr>
          <w:cantSplit/>
        </w:trPr>
        <w:tc>
          <w:tcPr>
            <w:tcW w:type="dxa" w:w="5112"/>
            <w:vAlign w:val="center"/>
          </w:tcPr>
          <w:p>
            <w:r/>
            <w:r>
              <w:rPr>
                <w:b w:val="0"/>
                <w:sz w:val="16"/>
              </w:rPr>
              <w:t>UK firm develops proprietary AI software for own use</w:t>
            </w:r>
          </w:p>
        </w:tc>
        <w:tc>
          <w:tcPr>
            <w:tcW w:type="dxa" w:w="5112"/>
            <w:vAlign w:val="center"/>
          </w:tcPr>
          <w:p>
            <w:r/>
            <w:r>
              <w:rPr>
                <w:b w:val="0"/>
                <w:sz w:val="16"/>
              </w:rPr>
              <w:t>own-account IP/software, asset boundary, possible GFCF</w:t>
            </w:r>
          </w:p>
        </w:tc>
      </w:tr>
      <w:tr>
        <w:trPr>
          <w:cantSplit/>
        </w:trPr>
        <w:tc>
          <w:tcPr>
            <w:tcW w:type="dxa" w:w="5112"/>
            <w:vAlign w:val="center"/>
          </w:tcPr>
          <w:p>
            <w:r/>
            <w:r>
              <w:rPr>
                <w:b w:val="0"/>
                <w:sz w:val="16"/>
              </w:rPr>
              <w:t>UK firm pays recurring fee to foreign AI API provider</w:t>
            </w:r>
          </w:p>
        </w:tc>
        <w:tc>
          <w:tcPr>
            <w:tcW w:type="dxa" w:w="5112"/>
            <w:vAlign w:val="center"/>
          </w:tcPr>
          <w:p>
            <w:r/>
            <w:r>
              <w:rPr>
                <w:b w:val="0"/>
                <w:sz w:val="16"/>
              </w:rPr>
              <w:t>service access, intermediate consumption, import/residency</w:t>
            </w:r>
          </w:p>
        </w:tc>
      </w:tr>
      <w:tr>
        <w:trPr>
          <w:cantSplit/>
        </w:trPr>
        <w:tc>
          <w:tcPr>
            <w:tcW w:type="dxa" w:w="5112"/>
            <w:vAlign w:val="center"/>
          </w:tcPr>
          <w:p>
            <w:r/>
            <w:r>
              <w:rPr>
                <w:b w:val="0"/>
                <w:sz w:val="16"/>
              </w:rPr>
              <w:t>UK firm purchases GPU/server hardware</w:t>
            </w:r>
          </w:p>
        </w:tc>
        <w:tc>
          <w:tcPr>
            <w:tcW w:type="dxa" w:w="5112"/>
            <w:vAlign w:val="center"/>
          </w:tcPr>
          <w:p>
            <w:r/>
            <w:r>
              <w:rPr>
                <w:b w:val="0"/>
                <w:sz w:val="16"/>
              </w:rPr>
              <w:t>computer hardware fixed asset, GFCF, imports if applicable</w:t>
            </w:r>
          </w:p>
        </w:tc>
      </w:tr>
      <w:tr>
        <w:trPr>
          <w:cantSplit/>
        </w:trPr>
        <w:tc>
          <w:tcPr>
            <w:tcW w:type="dxa" w:w="5112"/>
            <w:vAlign w:val="center"/>
          </w:tcPr>
          <w:p>
            <w:r/>
            <w:r>
              <w:rPr>
                <w:b w:val="0"/>
                <w:sz w:val="16"/>
              </w:rPr>
              <w:t>UK firm buys AI implementation consulting</w:t>
            </w:r>
          </w:p>
        </w:tc>
        <w:tc>
          <w:tcPr>
            <w:tcW w:type="dxa" w:w="5112"/>
            <w:vAlign w:val="center"/>
          </w:tcPr>
          <w:p>
            <w:r/>
            <w:r>
              <w:rPr>
                <w:b w:val="0"/>
                <w:sz w:val="16"/>
              </w:rPr>
              <w:t>service input; possible link to asset creation depends on facts</w:t>
            </w:r>
          </w:p>
        </w:tc>
      </w:tr>
    </w:tbl>
    <w:p>
      <w:pPr>
        <w:pStyle w:val="Heading1"/>
      </w:pPr>
      <w:r>
        <w:t>11. Technical architecture</w:t>
      </w:r>
    </w:p>
    <w:p>
      <w:r>
        <w:t>Recommended stack: Next.js/React/TypeScript frontend; Python analytical service; DuckDB + Parquet; pytest plus dataframe/schema validation; GitHub Actions; immutable source snapshots and versioned method/model artefacts.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AF7"/>
          </w:tcPr>
          <w:p>
            <w:r/>
            <w:r>
              <w:rPr>
                <w:b/>
                <w:sz w:val="17"/>
              </w:rPr>
              <w:t>Component</w:t>
            </w:r>
          </w:p>
        </w:tc>
        <w:tc>
          <w:tcPr>
            <w:tcW w:type="dxa" w:w="5112"/>
            <w:vAlign w:val="center"/>
            <w:shd w:fill="D9EAF7"/>
          </w:tcPr>
          <w:p>
            <w:r/>
            <w:r>
              <w:rPr>
                <w:b/>
                <w:sz w:val="17"/>
              </w:rPr>
              <w:t>Recommendation</w:t>
            </w:r>
          </w:p>
        </w:tc>
      </w:tr>
      <w:tr>
        <w:trPr>
          <w:cantSplit/>
        </w:trPr>
        <w:tc>
          <w:tcPr>
            <w:tcW w:type="dxa" w:w="5112"/>
            <w:vAlign w:val="center"/>
          </w:tcPr>
          <w:p>
            <w:r/>
            <w:r>
              <w:rPr>
                <w:b w:val="0"/>
                <w:sz w:val="16"/>
              </w:rPr>
              <w:t>Web</w:t>
            </w:r>
          </w:p>
        </w:tc>
        <w:tc>
          <w:tcPr>
            <w:tcW w:type="dxa" w:w="5112"/>
            <w:vAlign w:val="center"/>
          </w:tcPr>
          <w:p>
            <w:r/>
            <w:r>
              <w:rPr>
                <w:b w:val="0"/>
                <w:sz w:val="16"/>
              </w:rPr>
              <w:t>Next.js / React / TypeScript</w:t>
            </w:r>
          </w:p>
        </w:tc>
      </w:tr>
      <w:tr>
        <w:trPr>
          <w:cantSplit/>
        </w:trPr>
        <w:tc>
          <w:tcPr>
            <w:tcW w:type="dxa" w:w="5112"/>
            <w:vAlign w:val="center"/>
          </w:tcPr>
          <w:p>
            <w:r/>
            <w:r>
              <w:rPr>
                <w:b w:val="0"/>
                <w:sz w:val="16"/>
              </w:rPr>
              <w:t>Analytical API</w:t>
            </w:r>
          </w:p>
        </w:tc>
        <w:tc>
          <w:tcPr>
            <w:tcW w:type="dxa" w:w="5112"/>
            <w:vAlign w:val="center"/>
          </w:tcPr>
          <w:p>
            <w:r/>
            <w:r>
              <w:rPr>
                <w:b w:val="0"/>
                <w:sz w:val="16"/>
              </w:rPr>
              <w:t>FastAPI or precomputed/static analytical layer for MVP</w:t>
            </w:r>
          </w:p>
        </w:tc>
      </w:tr>
      <w:tr>
        <w:trPr>
          <w:cantSplit/>
        </w:trPr>
        <w:tc>
          <w:tcPr>
            <w:tcW w:type="dxa" w:w="5112"/>
            <w:vAlign w:val="center"/>
          </w:tcPr>
          <w:p>
            <w:r/>
            <w:r>
              <w:rPr>
                <w:b w:val="0"/>
                <w:sz w:val="16"/>
              </w:rPr>
              <w:t>Store</w:t>
            </w:r>
          </w:p>
        </w:tc>
        <w:tc>
          <w:tcPr>
            <w:tcW w:type="dxa" w:w="5112"/>
            <w:vAlign w:val="center"/>
          </w:tcPr>
          <w:p>
            <w:r/>
            <w:r>
              <w:rPr>
                <w:b w:val="0"/>
                <w:sz w:val="16"/>
              </w:rPr>
              <w:t>DuckDB + Parquet</w:t>
            </w:r>
          </w:p>
        </w:tc>
      </w:tr>
      <w:tr>
        <w:trPr>
          <w:cantSplit/>
        </w:trPr>
        <w:tc>
          <w:tcPr>
            <w:tcW w:type="dxa" w:w="5112"/>
            <w:vAlign w:val="center"/>
          </w:tcPr>
          <w:p>
            <w:r/>
            <w:r>
              <w:rPr>
                <w:b w:val="0"/>
                <w:sz w:val="16"/>
              </w:rPr>
              <w:t>Testing</w:t>
            </w:r>
          </w:p>
        </w:tc>
        <w:tc>
          <w:tcPr>
            <w:tcW w:type="dxa" w:w="5112"/>
            <w:vAlign w:val="center"/>
          </w:tcPr>
          <w:p>
            <w:r/>
            <w:r>
              <w:rPr>
                <w:b w:val="0"/>
                <w:sz w:val="16"/>
              </w:rPr>
              <w:t>pytest + data validation + Playwright + accessibility automation</w:t>
            </w:r>
          </w:p>
        </w:tc>
      </w:tr>
      <w:tr>
        <w:trPr>
          <w:cantSplit/>
        </w:trPr>
        <w:tc>
          <w:tcPr>
            <w:tcW w:type="dxa" w:w="5112"/>
            <w:vAlign w:val="center"/>
          </w:tcPr>
          <w:p>
            <w:r/>
            <w:r>
              <w:rPr>
                <w:b w:val="0"/>
                <w:sz w:val="16"/>
              </w:rPr>
              <w:t>CI</w:t>
            </w:r>
          </w:p>
        </w:tc>
        <w:tc>
          <w:tcPr>
            <w:tcW w:type="dxa" w:w="5112"/>
            <w:vAlign w:val="center"/>
          </w:tcPr>
          <w:p>
            <w:r/>
            <w:r>
              <w:rPr>
                <w:b w:val="0"/>
                <w:sz w:val="16"/>
              </w:rPr>
              <w:t>GitHub Actions</w:t>
            </w:r>
          </w:p>
        </w:tc>
      </w:tr>
      <w:tr>
        <w:trPr>
          <w:cantSplit/>
        </w:trPr>
        <w:tc>
          <w:tcPr>
            <w:tcW w:type="dxa" w:w="5112"/>
            <w:vAlign w:val="center"/>
          </w:tcPr>
          <w:p>
            <w:r/>
            <w:r>
              <w:rPr>
                <w:b w:val="0"/>
                <w:sz w:val="16"/>
              </w:rPr>
              <w:t>Deploy</w:t>
            </w:r>
          </w:p>
        </w:tc>
        <w:tc>
          <w:tcPr>
            <w:tcW w:type="dxa" w:w="5112"/>
            <w:vAlign w:val="center"/>
          </w:tcPr>
          <w:p>
            <w:r/>
            <w:r>
              <w:rPr>
                <w:b w:val="0"/>
                <w:sz w:val="16"/>
              </w:rPr>
              <w:t>Vercel web + container/serverless Python if required</w:t>
            </w:r>
          </w:p>
        </w:tc>
      </w:tr>
    </w:tbl>
    <w:p>
      <w:pPr>
        <w:pStyle w:val="Heading1"/>
      </w:pPr>
      <w:r>
        <w:t>12. UX and accessibility</w:t>
      </w:r>
    </w:p>
    <w:p>
      <w:pPr>
        <w:pStyle w:val="ListBullet"/>
      </w:pPr>
      <w:r>
        <w:t>Independent prototype phase banner and own branding.</w:t>
      </w:r>
    </w:p>
    <w:p>
      <w:pPr>
        <w:pStyle w:val="ListBullet"/>
      </w:pPr>
      <w:r>
        <w:t>Source/vintage/method-status available from every analytical view.</w:t>
      </w:r>
    </w:p>
    <w:p>
      <w:pPr>
        <w:pStyle w:val="ListBullet"/>
      </w:pPr>
      <w:r>
        <w:t>One H1, logical headings, keyboard operability, visible focus and colour-independent encoding.</w:t>
      </w:r>
    </w:p>
    <w:p>
      <w:pPr>
        <w:pStyle w:val="ListBullet"/>
      </w:pPr>
      <w:r>
        <w:t>Every chart has a data-table alternative and plain-English interpretation.</w:t>
      </w:r>
    </w:p>
    <w:p>
      <w:pPr>
        <w:pStyle w:val="ListBullet"/>
      </w:pPr>
      <w:r>
        <w:t>Every experimental estimate has “What this does not mean” text.</w:t>
      </w:r>
    </w:p>
    <w:p>
      <w:pPr>
        <w:pStyle w:val="ListBullet"/>
      </w:pPr>
      <w:r>
        <w:t>Target WCAG 2.2 AA as project standard.</w:t>
      </w:r>
    </w:p>
    <w:p>
      <w:pPr>
        <w:pStyle w:val="Heading1"/>
      </w:pPr>
      <w:r>
        <w:t>13. QA and release controls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AF7"/>
          </w:tcPr>
          <w:p>
            <w:r/>
            <w:r>
              <w:rPr>
                <w:b/>
                <w:sz w:val="17"/>
              </w:rPr>
              <w:t>Quality area</w:t>
            </w:r>
          </w:p>
        </w:tc>
        <w:tc>
          <w:tcPr>
            <w:tcW w:type="dxa" w:w="5112"/>
            <w:vAlign w:val="center"/>
            <w:shd w:fill="D9EAF7"/>
          </w:tcPr>
          <w:p>
            <w:r/>
            <w:r>
              <w:rPr>
                <w:b/>
                <w:sz w:val="17"/>
              </w:rPr>
              <w:t>Minimum gate</w:t>
            </w:r>
          </w:p>
        </w:tc>
      </w:tr>
      <w:tr>
        <w:trPr>
          <w:cantSplit/>
        </w:trPr>
        <w:tc>
          <w:tcPr>
            <w:tcW w:type="dxa" w:w="5112"/>
            <w:vAlign w:val="center"/>
          </w:tcPr>
          <w:p>
            <w:r/>
            <w:r>
              <w:rPr>
                <w:b w:val="0"/>
                <w:sz w:val="16"/>
              </w:rPr>
              <w:t>Source data</w:t>
            </w:r>
          </w:p>
        </w:tc>
        <w:tc>
          <w:tcPr>
            <w:tcW w:type="dxa" w:w="5112"/>
            <w:vAlign w:val="center"/>
          </w:tcPr>
          <w:p>
            <w:r/>
            <w:r>
              <w:rPr>
                <w:b w:val="0"/>
                <w:sz w:val="16"/>
              </w:rPr>
              <w:t>schema, code presence, totals/reconciliation, hash</w:t>
            </w:r>
          </w:p>
        </w:tc>
      </w:tr>
      <w:tr>
        <w:trPr>
          <w:cantSplit/>
        </w:trPr>
        <w:tc>
          <w:tcPr>
            <w:tcW w:type="dxa" w:w="5112"/>
            <w:vAlign w:val="center"/>
          </w:tcPr>
          <w:p>
            <w:r/>
            <w:r>
              <w:rPr>
                <w:b w:val="0"/>
                <w:sz w:val="16"/>
              </w:rPr>
              <w:t>Calculation</w:t>
            </w:r>
          </w:p>
        </w:tc>
        <w:tc>
          <w:tcPr>
            <w:tcW w:type="dxa" w:w="5112"/>
            <w:vAlign w:val="center"/>
          </w:tcPr>
          <w:p>
            <w:r/>
            <w:r>
              <w:rPr>
                <w:b w:val="0"/>
                <w:sz w:val="16"/>
              </w:rPr>
              <w:t>fixtures, boundaries, invalid-input rejection, reproducibility</w:t>
            </w:r>
          </w:p>
        </w:tc>
      </w:tr>
      <w:tr>
        <w:trPr>
          <w:cantSplit/>
        </w:trPr>
        <w:tc>
          <w:tcPr>
            <w:tcW w:type="dxa" w:w="5112"/>
            <w:vAlign w:val="center"/>
          </w:tcPr>
          <w:p>
            <w:r/>
            <w:r>
              <w:rPr>
                <w:b w:val="0"/>
                <w:sz w:val="16"/>
              </w:rPr>
              <w:t>Classifier</w:t>
            </w:r>
          </w:p>
        </w:tc>
        <w:tc>
          <w:tcPr>
            <w:tcW w:type="dxa" w:w="5112"/>
            <w:vAlign w:val="center"/>
          </w:tcPr>
          <w:p>
            <w:r/>
            <w:r>
              <w:rPr>
                <w:b w:val="0"/>
                <w:sz w:val="16"/>
              </w:rPr>
              <w:t>fixed split, baseline, metrics, error analysis, calibration/review</w:t>
            </w:r>
          </w:p>
        </w:tc>
      </w:tr>
      <w:tr>
        <w:trPr>
          <w:cantSplit/>
        </w:trPr>
        <w:tc>
          <w:tcPr>
            <w:tcW w:type="dxa" w:w="5112"/>
            <w:vAlign w:val="center"/>
          </w:tcPr>
          <w:p>
            <w:r/>
            <w:r>
              <w:rPr>
                <w:b w:val="0"/>
                <w:sz w:val="16"/>
              </w:rPr>
              <w:t>Accessibility</w:t>
            </w:r>
          </w:p>
        </w:tc>
        <w:tc>
          <w:tcPr>
            <w:tcW w:type="dxa" w:w="5112"/>
            <w:vAlign w:val="center"/>
          </w:tcPr>
          <w:p>
            <w:r/>
            <w:r>
              <w:rPr>
                <w:b w:val="0"/>
                <w:sz w:val="16"/>
              </w:rPr>
              <w:t>automated + keyboard + zoom + screen-reader smoke</w:t>
            </w:r>
          </w:p>
        </w:tc>
      </w:tr>
      <w:tr>
        <w:trPr>
          <w:cantSplit/>
        </w:trPr>
        <w:tc>
          <w:tcPr>
            <w:tcW w:type="dxa" w:w="5112"/>
            <w:vAlign w:val="center"/>
          </w:tcPr>
          <w:p>
            <w:r/>
            <w:r>
              <w:rPr>
                <w:b w:val="0"/>
                <w:sz w:val="16"/>
              </w:rPr>
              <w:t>Release</w:t>
            </w:r>
          </w:p>
        </w:tc>
        <w:tc>
          <w:tcPr>
            <w:tcW w:type="dxa" w:w="5112"/>
            <w:vAlign w:val="center"/>
          </w:tcPr>
          <w:p>
            <w:r/>
            <w:r>
              <w:rPr>
                <w:b w:val="0"/>
                <w:sz w:val="16"/>
              </w:rPr>
              <w:t>validation report, known issues, version/vintage, Git tag</w:t>
            </w:r>
          </w:p>
        </w:tc>
      </w:tr>
    </w:tbl>
    <w:p>
      <w:r>
        <w:t>Use Trustworthiness, Quality and Value as the quality mindset: transparency and integrity; suitable data/methods; and usefulness/accessibility [S10].</w:t>
      </w:r>
    </w:p>
    <w:p>
      <w:pPr>
        <w:pStyle w:val="Heading1"/>
      </w:pPr>
      <w:r>
        <w:t>14. Eight-week delivery roadmap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AF7"/>
          </w:tcPr>
          <w:p>
            <w:r/>
            <w:r>
              <w:rPr>
                <w:b/>
                <w:sz w:val="17"/>
              </w:rPr>
              <w:t>Week</w:t>
            </w:r>
          </w:p>
        </w:tc>
        <w:tc>
          <w:tcPr>
            <w:tcW w:type="dxa" w:w="3408"/>
            <w:vAlign w:val="center"/>
            <w:shd w:fill="D9EAF7"/>
          </w:tcPr>
          <w:p>
            <w:r/>
            <w:r>
              <w:rPr>
                <w:b/>
                <w:sz w:val="17"/>
              </w:rPr>
              <w:t>Theme</w:t>
            </w:r>
          </w:p>
        </w:tc>
        <w:tc>
          <w:tcPr>
            <w:tcW w:type="dxa" w:w="3408"/>
            <w:vAlign w:val="center"/>
            <w:shd w:fill="D9EAF7"/>
          </w:tcPr>
          <w:p>
            <w:r/>
            <w:r>
              <w:rPr>
                <w:b/>
                <w:sz w:val="17"/>
              </w:rPr>
              <w:t>Deliverable</w:t>
            </w:r>
          </w:p>
        </w:tc>
      </w:tr>
      <w:tr>
        <w:trPr>
          <w:cantSplit/>
        </w:trPr>
        <w:tc>
          <w:tcPr>
            <w:tcW w:type="dxa" w:w="3408"/>
            <w:vAlign w:val="center"/>
          </w:tcPr>
          <w:p>
            <w:r/>
            <w:r>
              <w:rPr>
                <w:b w:val="0"/>
                <w:sz w:val="16"/>
              </w:rPr>
              <w:t>0</w:t>
            </w:r>
          </w:p>
        </w:tc>
        <w:tc>
          <w:tcPr>
            <w:tcW w:type="dxa" w:w="3408"/>
            <w:vAlign w:val="center"/>
          </w:tcPr>
          <w:p>
            <w:r/>
            <w:r>
              <w:rPr>
                <w:b w:val="0"/>
                <w:sz w:val="16"/>
              </w:rPr>
              <w:t>Controls</w:t>
            </w:r>
          </w:p>
        </w:tc>
        <w:tc>
          <w:tcPr>
            <w:tcW w:type="dxa" w:w="3408"/>
            <w:vAlign w:val="center"/>
          </w:tcPr>
          <w:p>
            <w:r/>
            <w:r>
              <w:rPr>
                <w:b w:val="0"/>
                <w:sz w:val="16"/>
              </w:rPr>
              <w:t>Repo, docs, CI/test skeleton, source manifest</w:t>
            </w:r>
          </w:p>
        </w:tc>
      </w:tr>
      <w:tr>
        <w:trPr>
          <w:cantSplit/>
        </w:trPr>
        <w:tc>
          <w:tcPr>
            <w:tcW w:type="dxa" w:w="3408"/>
            <w:vAlign w:val="center"/>
          </w:tcPr>
          <w:p>
            <w:r/>
            <w:r>
              <w:rPr>
                <w:b w:val="0"/>
                <w:sz w:val="16"/>
              </w:rPr>
              <w:t>1</w:t>
            </w:r>
          </w:p>
        </w:tc>
        <w:tc>
          <w:tcPr>
            <w:tcW w:type="dxa" w:w="3408"/>
            <w:vAlign w:val="center"/>
          </w:tcPr>
          <w:p>
            <w:r/>
            <w:r>
              <w:rPr>
                <w:b w:val="0"/>
                <w:sz w:val="16"/>
              </w:rPr>
              <w:t>Data foundation</w:t>
            </w:r>
          </w:p>
        </w:tc>
        <w:tc>
          <w:tcPr>
            <w:tcW w:type="dxa" w:w="3408"/>
            <w:vAlign w:val="center"/>
          </w:tcPr>
          <w:p>
            <w:r/>
            <w:r>
              <w:rPr>
                <w:b w:val="0"/>
                <w:sz w:val="16"/>
              </w:rPr>
              <w:t>Acquire/validate ONS data, product dictionary, provenance</w:t>
            </w:r>
          </w:p>
        </w:tc>
      </w:tr>
      <w:tr>
        <w:trPr>
          <w:cantSplit/>
        </w:trPr>
        <w:tc>
          <w:tcPr>
            <w:tcW w:type="dxa" w:w="3408"/>
            <w:vAlign w:val="center"/>
          </w:tcPr>
          <w:p>
            <w:r/>
            <w:r>
              <w:rPr>
                <w:b w:val="0"/>
                <w:sz w:val="16"/>
              </w:rPr>
              <w:t>2</w:t>
            </w:r>
          </w:p>
        </w:tc>
        <w:tc>
          <w:tcPr>
            <w:tcW w:type="dxa" w:w="3408"/>
            <w:vAlign w:val="center"/>
          </w:tcPr>
          <w:p>
            <w:r/>
            <w:r>
              <w:rPr>
                <w:b w:val="0"/>
                <w:sz w:val="16"/>
              </w:rPr>
              <w:t>Exploration</w:t>
            </w:r>
          </w:p>
        </w:tc>
        <w:tc>
          <w:tcPr>
            <w:tcW w:type="dxa" w:w="3408"/>
            <w:vAlign w:val="center"/>
          </w:tcPr>
          <w:p>
            <w:r/>
            <w:r>
              <w:rPr>
                <w:b w:val="0"/>
                <w:sz w:val="16"/>
              </w:rPr>
              <w:t>Stack + Supply &amp; Use pages</w:t>
            </w:r>
          </w:p>
        </w:tc>
      </w:tr>
      <w:tr>
        <w:trPr>
          <w:cantSplit/>
        </w:trPr>
        <w:tc>
          <w:tcPr>
            <w:tcW w:type="dxa" w:w="3408"/>
            <w:vAlign w:val="center"/>
          </w:tcPr>
          <w:p>
            <w:r/>
            <w:r>
              <w:rPr>
                <w:b w:val="0"/>
                <w:sz w:val="16"/>
              </w:rPr>
              <w:t>3</w:t>
            </w:r>
          </w:p>
        </w:tc>
        <w:tc>
          <w:tcPr>
            <w:tcW w:type="dxa" w:w="3408"/>
            <w:vAlign w:val="center"/>
          </w:tcPr>
          <w:p>
            <w:r/>
            <w:r>
              <w:rPr>
                <w:b w:val="0"/>
                <w:sz w:val="16"/>
              </w:rPr>
              <w:t>Disaggregation v1</w:t>
            </w:r>
          </w:p>
        </w:tc>
        <w:tc>
          <w:tcPr>
            <w:tcW w:type="dxa" w:w="3408"/>
            <w:vAlign w:val="center"/>
          </w:tcPr>
          <w:p>
            <w:r/>
            <w:r>
              <w:rPr>
                <w:b w:val="0"/>
                <w:sz w:val="16"/>
              </w:rPr>
              <w:t>Direct/proportional + low/base/high + exports</w:t>
            </w:r>
          </w:p>
        </w:tc>
      </w:tr>
      <w:tr>
        <w:trPr>
          <w:cantSplit/>
        </w:trPr>
        <w:tc>
          <w:tcPr>
            <w:tcW w:type="dxa" w:w="3408"/>
            <w:vAlign w:val="center"/>
          </w:tcPr>
          <w:p>
            <w:r/>
            <w:r>
              <w:rPr>
                <w:b w:val="0"/>
                <w:sz w:val="16"/>
              </w:rPr>
              <w:t>4</w:t>
            </w:r>
          </w:p>
        </w:tc>
        <w:tc>
          <w:tcPr>
            <w:tcW w:type="dxa" w:w="3408"/>
            <w:vAlign w:val="center"/>
          </w:tcPr>
          <w:p>
            <w:r/>
            <w:r>
              <w:rPr>
                <w:b w:val="0"/>
                <w:sz w:val="16"/>
              </w:rPr>
              <w:t>Disaggregation v2</w:t>
            </w:r>
          </w:p>
        </w:tc>
        <w:tc>
          <w:tcPr>
            <w:tcW w:type="dxa" w:w="3408"/>
            <w:vAlign w:val="center"/>
          </w:tcPr>
          <w:p>
            <w:r/>
            <w:r>
              <w:rPr>
                <w:b w:val="0"/>
                <w:sz w:val="16"/>
              </w:rPr>
              <w:t>Hybrid/model interface + uncertainty comparison</w:t>
            </w:r>
          </w:p>
        </w:tc>
      </w:tr>
      <w:tr>
        <w:trPr>
          <w:cantSplit/>
        </w:trPr>
        <w:tc>
          <w:tcPr>
            <w:tcW w:type="dxa" w:w="3408"/>
            <w:vAlign w:val="center"/>
          </w:tcPr>
          <w:p>
            <w:r/>
            <w:r>
              <w:rPr>
                <w:b w:val="0"/>
                <w:sz w:val="16"/>
              </w:rPr>
              <w:t>5</w:t>
            </w:r>
          </w:p>
        </w:tc>
        <w:tc>
          <w:tcPr>
            <w:tcW w:type="dxa" w:w="3408"/>
            <w:vAlign w:val="center"/>
          </w:tcPr>
          <w:p>
            <w:r/>
            <w:r>
              <w:rPr>
                <w:b w:val="0"/>
                <w:sz w:val="16"/>
              </w:rPr>
              <w:t>Classifier</w:t>
            </w:r>
          </w:p>
        </w:tc>
        <w:tc>
          <w:tcPr>
            <w:tcW w:type="dxa" w:w="3408"/>
            <w:vAlign w:val="center"/>
          </w:tcPr>
          <w:p>
            <w:r/>
            <w:r>
              <w:rPr>
                <w:b w:val="0"/>
                <w:sz w:val="16"/>
              </w:rPr>
              <w:t>Rules + TF-IDF baseline + metrics + review</w:t>
            </w:r>
          </w:p>
        </w:tc>
      </w:tr>
      <w:tr>
        <w:trPr>
          <w:cantSplit/>
        </w:trPr>
        <w:tc>
          <w:tcPr>
            <w:tcW w:type="dxa" w:w="3408"/>
            <w:vAlign w:val="center"/>
          </w:tcPr>
          <w:p>
            <w:r/>
            <w:r>
              <w:rPr>
                <w:b w:val="0"/>
                <w:sz w:val="16"/>
              </w:rPr>
              <w:t>6</w:t>
            </w:r>
          </w:p>
        </w:tc>
        <w:tc>
          <w:tcPr>
            <w:tcW w:type="dxa" w:w="3408"/>
            <w:vAlign w:val="center"/>
          </w:tcPr>
          <w:p>
            <w:r/>
            <w:r>
              <w:rPr>
                <w:b w:val="0"/>
                <w:sz w:val="16"/>
              </w:rPr>
              <w:t>SNA/gaps</w:t>
            </w:r>
          </w:p>
        </w:tc>
        <w:tc>
          <w:tcPr>
            <w:tcW w:type="dxa" w:w="3408"/>
            <w:vAlign w:val="center"/>
          </w:tcPr>
          <w:p>
            <w:r/>
            <w:r>
              <w:rPr>
                <w:b w:val="0"/>
                <w:sz w:val="16"/>
              </w:rPr>
              <w:t>Decision engine + research gap registry</w:t>
            </w:r>
          </w:p>
        </w:tc>
      </w:tr>
      <w:tr>
        <w:trPr>
          <w:cantSplit/>
        </w:trPr>
        <w:tc>
          <w:tcPr>
            <w:tcW w:type="dxa" w:w="3408"/>
            <w:vAlign w:val="center"/>
          </w:tcPr>
          <w:p>
            <w:r/>
            <w:r>
              <w:rPr>
                <w:b w:val="0"/>
                <w:sz w:val="16"/>
              </w:rPr>
              <w:t>7</w:t>
            </w:r>
          </w:p>
        </w:tc>
        <w:tc>
          <w:tcPr>
            <w:tcW w:type="dxa" w:w="3408"/>
            <w:vAlign w:val="center"/>
          </w:tcPr>
          <w:p>
            <w:r/>
            <w:r>
              <w:rPr>
                <w:b w:val="0"/>
                <w:sz w:val="16"/>
              </w:rPr>
              <w:t>Hardening</w:t>
            </w:r>
          </w:p>
        </w:tc>
        <w:tc>
          <w:tcPr>
            <w:tcW w:type="dxa" w:w="3408"/>
            <w:vAlign w:val="center"/>
          </w:tcPr>
          <w:p>
            <w:r/>
            <w:r>
              <w:rPr>
                <w:b w:val="0"/>
                <w:sz w:val="16"/>
              </w:rPr>
              <w:t>E2E, accessibility, performance, validation report</w:t>
            </w:r>
          </w:p>
        </w:tc>
      </w:tr>
      <w:tr>
        <w:trPr>
          <w:cantSplit/>
        </w:trPr>
        <w:tc>
          <w:tcPr>
            <w:tcW w:type="dxa" w:w="3408"/>
            <w:vAlign w:val="center"/>
          </w:tcPr>
          <w:p>
            <w:r/>
            <w:r>
              <w:rPr>
                <w:b w:val="0"/>
                <w:sz w:val="16"/>
              </w:rPr>
              <w:t>8</w:t>
            </w:r>
          </w:p>
        </w:tc>
        <w:tc>
          <w:tcPr>
            <w:tcW w:type="dxa" w:w="3408"/>
            <w:vAlign w:val="center"/>
          </w:tcPr>
          <w:p>
            <w:r/>
            <w:r>
              <w:rPr>
                <w:b w:val="0"/>
                <w:sz w:val="16"/>
              </w:rPr>
              <w:t>Launch</w:t>
            </w:r>
          </w:p>
        </w:tc>
        <w:tc>
          <w:tcPr>
            <w:tcW w:type="dxa" w:w="3408"/>
            <w:vAlign w:val="center"/>
          </w:tcPr>
          <w:p>
            <w:r/>
            <w:r>
              <w:rPr>
                <w:b w:val="0"/>
                <w:sz w:val="16"/>
              </w:rPr>
              <w:t>Production, GitHub release, demo, LinkedIn research post</w:t>
            </w:r>
          </w:p>
        </w:tc>
      </w:tr>
    </w:tbl>
    <w:p>
      <w:pPr>
        <w:pStyle w:val="Heading1"/>
      </w:pPr>
      <w:r>
        <w:t>15. Public launch strategy</w:t>
      </w:r>
    </w:p>
    <w:p>
      <w:r>
        <w:t>Lead with the question “How do we measure AI’s contribution to the UK economy when AI is embedded inside broader products, services and global supply chains?” Show the methodology workflow before the visual dashboard. Emphasise independent status, uncertainty and reproducibility. After a stable release, request technical feedback from the ONS contact named on the public methodology page, not endorsement.</w:t>
      </w:r>
    </w:p>
    <w:p>
      <w:pPr>
        <w:pStyle w:val="Heading1"/>
      </w:pPr>
      <w:r>
        <w:t>16. Model handoff instructions</w:t>
      </w:r>
    </w:p>
    <w:p>
      <w:r>
        <w:t>Google Antigravity must read the full package, starting with START_ANTIGRAVITY_HERE.md and AGENTS.md. Phase 0/1 should only establish reproducible source ingestion/provenance plus Home and Supply &amp; Use Explorer. Antigravity must stop with a validation report and independent review before beginning the classifier or any AI-GDP-style estimate.</w:t>
      </w:r>
    </w:p>
    <w:p>
      <w:r>
        <w:t>The exact first Antigravity prompt is in `prompts/00_FIRST_ANTIGRAVITY_PROMPT.md`; `docs/20_BUILD_PROMPT.md` routes the controlled Antigravity workflow.</w:t>
      </w:r>
    </w:p>
    <w:p>
      <w:pPr>
        <w:pStyle w:val="Heading1"/>
      </w:pPr>
      <w:r>
        <w:t>17. Definition of done</w:t>
      </w:r>
    </w:p>
    <w:p>
      <w:pPr>
        <w:pStyle w:val="ListBullet"/>
      </w:pPr>
      <w:r>
        <w:t>No displayed number without provenance.</w:t>
      </w:r>
    </w:p>
    <w:p>
      <w:pPr>
        <w:pStyle w:val="ListBullet"/>
      </w:pPr>
      <w:r>
        <w:t>No experimental output without a visible method/status.</w:t>
      </w:r>
    </w:p>
    <w:p>
      <w:pPr>
        <w:pStyle w:val="ListBullet"/>
      </w:pPr>
      <w:r>
        <w:t>No material analytical feature without tests and limitations.</w:t>
      </w:r>
    </w:p>
    <w:p>
      <w:pPr>
        <w:pStyle w:val="ListBullet"/>
      </w:pPr>
      <w:r>
        <w:t>No public classifier without published validation metrics.</w:t>
      </w:r>
    </w:p>
    <w:p>
      <w:pPr>
        <w:pStyle w:val="ListBullet"/>
      </w:pPr>
      <w:r>
        <w:t>No core flow with critical accessibility failures.</w:t>
      </w:r>
    </w:p>
    <w:p>
      <w:pPr>
        <w:pStyle w:val="ListBullet"/>
      </w:pPr>
      <w:r>
        <w:t>No launch without a completed validation report and known-issues note.</w:t>
      </w:r>
    </w:p>
    <w:p>
      <w:pPr>
        <w:pStyle w:val="Heading1"/>
      </w:pPr>
      <w:r>
        <w:t>18. Immediate next action</w:t>
      </w:r>
    </w:p>
    <w:p>
      <w:r>
        <w:t>Open this repository root as a Google Antigravity Project, keep the workspace boundary narrow, use Planning Mode, and paste `prompts/00_FIRST_ANTIGRAVITY_PROMPT.md`. Review the Implementation Plan artifact before clicking Proceed. Do not ask Antigravity to “build everything at once”; enforce the phase gates.</w:t>
      </w:r>
    </w:p>
    <w:p>
      <w:pPr>
        <w:pStyle w:val="Heading1"/>
      </w:pPr>
      <w:r>
        <w:t>Appendix A — Source bibliography</w:t>
      </w:r>
    </w:p>
    <w:p>
      <w:r>
        <w:rPr>
          <w:b/>
        </w:rPr>
        <w:t xml:space="preserve">S1. Office for National Statistics. Measuring artificial intelligence in the UK economy using a thematic account. 21 September 2026. </w:t>
      </w:r>
      <w:hyperlink r:id="rId9">
        <w:r>
          <w:rPr>
            <w:color w:val="0563C1"/>
            <w:u w:val="single"/>
          </w:rPr>
          <w:t>Open source</w:t>
        </w:r>
      </w:hyperlink>
    </w:p>
    <w:p>
      <w:r>
        <w:rPr>
          <w:b/>
        </w:rPr>
        <w:t xml:space="preserve">S2. Office for National Statistics. Artificial intelligence in UK businesses: 2023 to 2026. 20 July 2026. </w:t>
      </w:r>
      <w:hyperlink r:id="rId10">
        <w:r>
          <w:rPr>
            <w:color w:val="0563C1"/>
            <w:u w:val="single"/>
          </w:rPr>
          <w:t>Open source</w:t>
        </w:r>
      </w:hyperlink>
    </w:p>
    <w:p>
      <w:r>
        <w:rPr>
          <w:b/>
        </w:rPr>
        <w:t xml:space="preserve">S3. Office for National Statistics. Data centres and the UK National Accounts. 24 August 2026. </w:t>
      </w:r>
      <w:hyperlink r:id="rId11">
        <w:r>
          <w:rPr>
            <w:color w:val="0563C1"/>
            <w:u w:val="single"/>
          </w:rPr>
          <w:t>Open source</w:t>
        </w:r>
      </w:hyperlink>
    </w:p>
    <w:p>
      <w:r>
        <w:rPr>
          <w:b/>
        </w:rPr>
        <w:t xml:space="preserve">S4. Office for National Statistics. Redefining investment in digital infrastructure in the UK: 2026. 24 August 2026. </w:t>
      </w:r>
      <w:hyperlink r:id="rId12">
        <w:r>
          <w:rPr>
            <w:color w:val="0563C1"/>
            <w:u w:val="single"/>
          </w:rPr>
          <w:t>Open source</w:t>
        </w:r>
      </w:hyperlink>
    </w:p>
    <w:p>
      <w:r>
        <w:rPr>
          <w:b/>
        </w:rPr>
        <w:t xml:space="preserve">S5. Office for National Statistics. Input-output supply and use tables. 31 October 2025. </w:t>
      </w:r>
      <w:hyperlink r:id="rId13">
        <w:r>
          <w:rPr>
            <w:color w:val="0563C1"/>
            <w:u w:val="single"/>
          </w:rPr>
          <w:t>Open source</w:t>
        </w:r>
      </w:hyperlink>
    </w:p>
    <w:p>
      <w:r>
        <w:rPr>
          <w:b/>
        </w:rPr>
        <w:t xml:space="preserve">S6. Office for National Statistics. Developing UK digital trade statistics: 2026 update. 26 June 2026. </w:t>
      </w:r>
      <w:hyperlink r:id="rId14">
        <w:r>
          <w:rPr>
            <w:color w:val="0563C1"/>
            <w:u w:val="single"/>
          </w:rPr>
          <w:t>Open source</w:t>
        </w:r>
      </w:hyperlink>
    </w:p>
    <w:p>
      <w:r>
        <w:rPr>
          <w:b/>
        </w:rPr>
        <w:t xml:space="preserve">S7. Office for National Statistics. UK SIC: 2026. 3 August 2026. </w:t>
      </w:r>
      <w:hyperlink r:id="rId15">
        <w:r>
          <w:rPr>
            <w:color w:val="0563C1"/>
            <w:u w:val="single"/>
          </w:rPr>
          <w:t>Open source</w:t>
        </w:r>
      </w:hyperlink>
    </w:p>
    <w:p>
      <w:r>
        <w:rPr>
          <w:b/>
        </w:rPr>
        <w:t xml:space="preserve">S8. Department for Science, Innovation and Technology. Artificial Intelligence sector study 2024. 3 September 2025. </w:t>
      </w:r>
      <w:hyperlink r:id="rId16">
        <w:r>
          <w:rPr>
            <w:color w:val="0563C1"/>
            <w:u w:val="single"/>
          </w:rPr>
          <w:t>Open source</w:t>
        </w:r>
      </w:hyperlink>
    </w:p>
    <w:p>
      <w:r>
        <w:rPr>
          <w:b/>
        </w:rPr>
        <w:t xml:space="preserve">S9. Companies House. Public Data API documentation. accessed 21 September 2026. </w:t>
      </w:r>
      <w:hyperlink r:id="rId17">
        <w:r>
          <w:rPr>
            <w:color w:val="0563C1"/>
            <w:u w:val="single"/>
          </w:rPr>
          <w:t>Open source</w:t>
        </w:r>
      </w:hyperlink>
    </w:p>
    <w:p>
      <w:r>
        <w:rPr>
          <w:b/>
        </w:rPr>
        <w:t xml:space="preserve">S10. UK Statistics Authority. Code of Practice for Statistics 3.0. 2025. </w:t>
      </w:r>
      <w:hyperlink r:id="rId18">
        <w:r>
          <w:rPr>
            <w:color w:val="0563C1"/>
            <w:u w:val="single"/>
          </w:rPr>
          <w:t>Open source</w:t>
        </w:r>
      </w:hyperlink>
    </w:p>
    <w:p>
      <w:r>
        <w:rPr>
          <w:b/>
        </w:rPr>
        <w:t xml:space="preserve">S11. Office for National Statistics. ONS Service Manual and Design System. accessed 21 September 2026. </w:t>
      </w:r>
      <w:hyperlink r:id="rId19">
        <w:r>
          <w:rPr>
            <w:color w:val="0563C1"/>
            <w:u w:val="single"/>
          </w:rPr>
          <w:t>Open source</w:t>
        </w:r>
      </w:hyperlink>
    </w:p>
    <w:p>
      <w:r>
        <w:rPr>
          <w:b/>
        </w:rPr>
        <w:t xml:space="preserve">S12. Government Analysis Function. Competency framework for the Government Statistician Group. 1 November 2021. </w:t>
      </w:r>
      <w:hyperlink r:id="rId20">
        <w:r>
          <w:rPr>
            <w:color w:val="0563C1"/>
            <w:u w:val="single"/>
          </w:rPr>
          <w:t>Open source</w:t>
        </w:r>
      </w:hyperlink>
    </w:p>
    <w:p>
      <w:r>
        <w:rPr>
          <w:b/>
        </w:rPr>
        <w:t xml:space="preserve">S13. Office for National Statistics. ONS surveys and economic statistics improvement plan: July 2026 update. 15 July 2026. </w:t>
      </w:r>
      <w:hyperlink r:id="rId21">
        <w:r>
          <w:rPr>
            <w:color w:val="0563C1"/>
            <w:u w:val="single"/>
          </w:rPr>
          <w:t>Open source</w:t>
        </w:r>
      </w:hyperlink>
    </w:p>
    <w:p>
      <w:pPr>
        <w:pStyle w:val="Heading1"/>
        <w:spacing w:before="160" w:after="40"/>
      </w:pPr>
      <w:r>
        <w:t>Appendix B — File package index</w:t>
      </w:r>
    </w:p>
    <w:p>
      <w:pPr>
        <w:pStyle w:val="ListBullet"/>
        <w:spacing w:before="0" w:after="0" w:line="228" w:lineRule="auto"/>
      </w:pPr>
      <w:r>
        <w:rPr>
          <w:sz w:val="20"/>
        </w:rPr>
        <w:t>README_FIRST.md</w:t>
      </w:r>
    </w:p>
    <w:p>
      <w:pPr>
        <w:pStyle w:val="ListBullet"/>
        <w:spacing w:before="0" w:after="0" w:line="228" w:lineRule="auto"/>
      </w:pPr>
      <w:r>
        <w:rPr>
          <w:sz w:val="20"/>
        </w:rPr>
        <w:t>AGENTS.md</w:t>
      </w:r>
    </w:p>
    <w:p>
      <w:pPr>
        <w:pStyle w:val="ListBullet"/>
        <w:spacing w:before="0" w:after="0" w:line="228" w:lineRule="auto"/>
      </w:pPr>
      <w:r>
        <w:rPr>
          <w:sz w:val="20"/>
        </w:rPr>
        <w:t>docs/00_MASTER_CHARTER.md</w:t>
      </w:r>
    </w:p>
    <w:p>
      <w:pPr>
        <w:pStyle w:val="ListBullet"/>
        <w:spacing w:before="0" w:after="0" w:line="228" w:lineRule="auto"/>
      </w:pPr>
      <w:r>
        <w:rPr>
          <w:sz w:val="20"/>
        </w:rPr>
        <w:t>docs/01_PRODUCT_REQUIREMENTS_DOCUMENT.md</w:t>
      </w:r>
    </w:p>
    <w:p>
      <w:pPr>
        <w:pStyle w:val="ListBullet"/>
        <w:spacing w:before="0" w:after="0" w:line="228" w:lineRule="auto"/>
      </w:pPr>
      <w:r>
        <w:rPr>
          <w:sz w:val="20"/>
        </w:rPr>
        <w:t>docs/02_STATISTICAL_MEASUREMENT_FRAMEWORK.md</w:t>
      </w:r>
    </w:p>
    <w:p>
      <w:pPr>
        <w:pStyle w:val="ListBullet"/>
        <w:spacing w:before="0" w:after="0" w:line="228" w:lineRule="auto"/>
      </w:pPr>
      <w:r>
        <w:rPr>
          <w:sz w:val="20"/>
        </w:rPr>
        <w:t>docs/03_RESEARCH_QUESTIONS_AND_HYPOTHESES.md</w:t>
      </w:r>
    </w:p>
    <w:p>
      <w:pPr>
        <w:pStyle w:val="ListBullet"/>
        <w:spacing w:before="0" w:after="0" w:line="228" w:lineRule="auto"/>
      </w:pPr>
      <w:r>
        <w:rPr>
          <w:sz w:val="20"/>
        </w:rPr>
        <w:t>docs/04_DATA_SOURCE_REGISTER.md</w:t>
      </w:r>
    </w:p>
    <w:p>
      <w:pPr>
        <w:pStyle w:val="ListBullet"/>
        <w:spacing w:before="0" w:after="0" w:line="228" w:lineRule="auto"/>
      </w:pPr>
      <w:r>
        <w:rPr>
          <w:sz w:val="20"/>
        </w:rPr>
        <w:t>docs/05_DATA_MODEL.md</w:t>
      </w:r>
    </w:p>
    <w:p>
      <w:pPr>
        <w:pStyle w:val="ListBullet"/>
        <w:spacing w:before="0" w:after="0" w:line="228" w:lineRule="auto"/>
      </w:pPr>
      <w:r>
        <w:rPr>
          <w:sz w:val="20"/>
        </w:rPr>
        <w:t>docs/06_DISAGGREGATION_METHODOLOGY_SPEC.md</w:t>
      </w:r>
    </w:p>
    <w:p>
      <w:pPr>
        <w:pStyle w:val="ListBullet"/>
        <w:spacing w:before="0" w:after="0" w:line="228" w:lineRule="auto"/>
      </w:pPr>
      <w:r>
        <w:rPr>
          <w:sz w:val="20"/>
        </w:rPr>
        <w:t>docs/07_AI_BUSINESS_CLASSIFIER_SPEC.md</w:t>
      </w:r>
    </w:p>
    <w:p>
      <w:pPr>
        <w:pStyle w:val="ListBullet"/>
        <w:spacing w:before="0" w:after="0" w:line="228" w:lineRule="auto"/>
      </w:pPr>
      <w:r>
        <w:rPr>
          <w:sz w:val="20"/>
        </w:rPr>
        <w:t>docs/08_SNA_DECISION_ENGINE_SPEC.md</w:t>
      </w:r>
    </w:p>
    <w:p>
      <w:pPr>
        <w:pStyle w:val="ListBullet"/>
        <w:spacing w:before="0" w:after="0" w:line="228" w:lineRule="auto"/>
      </w:pPr>
      <w:r>
        <w:rPr>
          <w:sz w:val="20"/>
        </w:rPr>
        <w:t>docs/09_TECHNICAL_ARCHITECTURE.md</w:t>
      </w:r>
    </w:p>
    <w:p>
      <w:pPr>
        <w:pStyle w:val="ListBullet"/>
        <w:spacing w:before="0" w:after="0" w:line="228" w:lineRule="auto"/>
      </w:pPr>
      <w:r>
        <w:rPr>
          <w:sz w:val="20"/>
        </w:rPr>
        <w:t>docs/10_UX_ACCESSIBILITY.md</w:t>
      </w:r>
    </w:p>
    <w:p>
      <w:pPr>
        <w:pStyle w:val="ListBullet"/>
        <w:spacing w:before="0" w:after="0" w:line="228" w:lineRule="auto"/>
      </w:pPr>
      <w:r>
        <w:rPr>
          <w:sz w:val="20"/>
        </w:rPr>
        <w:t>docs/11_QA_VALIDATION_REPRODUCIBILITY.md</w:t>
      </w:r>
    </w:p>
    <w:p>
      <w:pPr>
        <w:pStyle w:val="ListBullet"/>
        <w:spacing w:before="0" w:after="0" w:line="228" w:lineRule="auto"/>
      </w:pPr>
      <w:r>
        <w:rPr>
          <w:sz w:val="20"/>
        </w:rPr>
        <w:t>docs/12_GOVERNANCE_ETHICS_DISCLOSURE.md</w:t>
      </w:r>
    </w:p>
    <w:p>
      <w:pPr>
        <w:pStyle w:val="ListBullet"/>
        <w:spacing w:before="0" w:after="0" w:line="228" w:lineRule="auto"/>
      </w:pPr>
      <w:r>
        <w:rPr>
          <w:sz w:val="20"/>
        </w:rPr>
        <w:t>docs/13_PRODUCT_ROADMAP.md</w:t>
      </w:r>
    </w:p>
    <w:p>
      <w:pPr>
        <w:pStyle w:val="ListBullet"/>
        <w:spacing w:before="0" w:after="0" w:line="228" w:lineRule="auto"/>
      </w:pPr>
      <w:r>
        <w:rPr>
          <w:sz w:val="20"/>
        </w:rPr>
        <w:t>docs/14_PRODUCT_BACKLOG.md</w:t>
      </w:r>
    </w:p>
    <w:p>
      <w:pPr>
        <w:pStyle w:val="ListBullet"/>
        <w:spacing w:before="0" w:after="0" w:line="228" w:lineRule="auto"/>
      </w:pPr>
      <w:r>
        <w:rPr>
          <w:sz w:val="20"/>
        </w:rPr>
        <w:t>docs/15_TEST_STRATEGY.md</w:t>
      </w:r>
    </w:p>
    <w:p>
      <w:pPr>
        <w:pStyle w:val="ListBullet"/>
        <w:spacing w:before="0" w:after="0" w:line="228" w:lineRule="auto"/>
      </w:pPr>
      <w:r>
        <w:rPr>
          <w:sz w:val="20"/>
        </w:rPr>
        <w:t>docs/16_RISK_ASSUMPTIONS_DECISIONS.md</w:t>
      </w:r>
    </w:p>
    <w:p>
      <w:pPr>
        <w:pStyle w:val="ListBullet"/>
        <w:spacing w:before="0" w:after="0" w:line="228" w:lineRule="auto"/>
      </w:pPr>
      <w:r>
        <w:rPr>
          <w:sz w:val="20"/>
        </w:rPr>
        <w:t>docs/17_RELEASE_VERSIONING.md</w:t>
      </w:r>
    </w:p>
    <w:p>
      <w:pPr>
        <w:pStyle w:val="ListBullet"/>
        <w:spacing w:before="0" w:after="0" w:line="228" w:lineRule="auto"/>
      </w:pPr>
      <w:r>
        <w:rPr>
          <w:sz w:val="20"/>
        </w:rPr>
        <w:t>docs/18_PUBLICATION_LINKEDIN_OUTREACH.md</w:t>
      </w:r>
    </w:p>
    <w:p>
      <w:pPr>
        <w:pStyle w:val="ListBullet"/>
        <w:spacing w:before="0" w:after="0" w:line="228" w:lineRule="auto"/>
      </w:pPr>
      <w:r>
        <w:rPr>
          <w:sz w:val="20"/>
        </w:rPr>
        <w:t>docs/19_DEFINITION_OF_DONE.md</w:t>
      </w:r>
    </w:p>
    <w:p>
      <w:pPr>
        <w:pStyle w:val="ListBullet"/>
        <w:spacing w:before="0" w:after="0" w:line="228" w:lineRule="auto"/>
      </w:pPr>
      <w:r>
        <w:rPr>
          <w:sz w:val="20"/>
        </w:rPr>
        <w:t>docs/20_BUILD_PROMPT.md</w:t>
      </w:r>
    </w:p>
    <w:p>
      <w:pPr>
        <w:pStyle w:val="ListBullet"/>
        <w:spacing w:before="0" w:after="0" w:line="228" w:lineRule="auto"/>
      </w:pPr>
      <w:r>
        <w:rPr>
          <w:sz w:val="20"/>
        </w:rPr>
        <w:t>docs/21_SOURCE_BIBLIOGRAPHY.md</w:t>
      </w:r>
    </w:p>
    <w:p>
      <w:pPr>
        <w:pStyle w:val="ListBullet"/>
        <w:spacing w:before="0" w:after="0" w:line="228" w:lineRule="auto"/>
      </w:pPr>
      <w:r>
        <w:rPr>
          <w:sz w:val="20"/>
        </w:rPr>
        <w:t>docs/AGENTS.md</w:t>
      </w:r>
    </w:p>
    <w:p>
      <w:pPr>
        <w:pStyle w:val="ListBullet"/>
        <w:spacing w:before="0" w:after="0" w:line="228" w:lineRule="auto"/>
      </w:pPr>
      <w:r>
        <w:rPr>
          <w:sz w:val="20"/>
        </w:rPr>
        <w:t>docs/README_FIRST.md</w:t>
      </w:r>
    </w:p>
    <w:p>
      <w:pPr>
        <w:pStyle w:val="ListBullet"/>
        <w:spacing w:before="0" w:after="0" w:line="228" w:lineRule="auto"/>
      </w:pPr>
      <w:r>
        <w:rPr>
          <w:sz w:val="20"/>
        </w:rPr>
        <w:t>templates/method_change_template.md</w:t>
      </w:r>
    </w:p>
    <w:p>
      <w:pPr>
        <w:pStyle w:val="ListBullet"/>
        <w:spacing w:before="0" w:after="0" w:line="228" w:lineRule="auto"/>
      </w:pPr>
      <w:r>
        <w:rPr>
          <w:sz w:val="20"/>
        </w:rPr>
        <w:t>templates/release_note_template.md</w:t>
      </w:r>
    </w:p>
    <w:p>
      <w:pPr>
        <w:pStyle w:val="ListBullet"/>
        <w:spacing w:before="0" w:after="0" w:line="228" w:lineRule="auto"/>
      </w:pPr>
      <w:r>
        <w:rPr>
          <w:sz w:val="20"/>
        </w:rPr>
        <w:t>templates/research_note_template.md</w:t>
      </w:r>
    </w:p>
    <w:p>
      <w:pPr>
        <w:pStyle w:val="ListBullet"/>
        <w:spacing w:before="0" w:after="0" w:line="228" w:lineRule="auto"/>
      </w:pPr>
      <w:r>
        <w:rPr>
          <w:sz w:val="20"/>
        </w:rPr>
        <w:t>templates/validation_report_template.md</w:t>
      </w:r>
    </w:p>
    <w:p>
      <w:pPr>
        <w:pStyle w:val="ListBullet"/>
        <w:spacing w:before="0" w:after="0" w:line="228" w:lineRule="auto"/>
      </w:pPr>
      <w:r>
        <w:rPr>
          <w:sz w:val="20"/>
        </w:rPr>
        <w:t>reference/ONS_SOURCE_NOTES.md</w:t>
      </w:r>
    </w:p>
    <w:p>
      <w:pPr>
        <w:pStyle w:val="ListBullet"/>
        <w:spacing w:before="0" w:after="0" w:line="228" w:lineRule="auto"/>
      </w:pPr>
      <w:r>
        <w:rPr>
          <w:sz w:val="20"/>
        </w:rPr>
        <w:t>PROJECT_MANIFEST.yaml</w:t>
      </w:r>
    </w:p>
    <w:p>
      <w:r>
        <w:rPr>
          <w:b/>
          <w:sz w:val="24"/>
        </w:rPr>
        <w:t>Antigravity operating addendum</w:t>
      </w:r>
    </w:p>
    <w:p>
      <w:pPr>
        <w:pStyle w:val="ListBullet"/>
      </w:pPr>
      <w:r>
        <w:t>START_ANTIGRAVITY_HERE.md</w:t>
      </w:r>
    </w:p>
    <w:p>
      <w:pPr>
        <w:pStyle w:val="ListBullet"/>
      </w:pPr>
      <w:r>
        <w:t>docs/22_ANTIGRAVITY_OPERATING_MODEL.md</w:t>
      </w:r>
    </w:p>
    <w:p>
      <w:pPr>
        <w:pStyle w:val="ListBullet"/>
      </w:pPr>
      <w:r>
        <w:t>docs/23_ANTIGRAVITY_PHASE_0_1_EXECUTION_SPEC.md</w:t>
      </w:r>
    </w:p>
    <w:p>
      <w:pPr>
        <w:pStyle w:val="ListBullet"/>
      </w:pPr>
      <w:r>
        <w:t>docs/24_ANTIGRAVITY_AGENT_TEAM.md</w:t>
      </w:r>
    </w:p>
    <w:p>
      <w:pPr>
        <w:pStyle w:val="ListBullet"/>
      </w:pPr>
      <w:r>
        <w:t>docs/25_ANTIGRAVITY_PROMPTING_STANDARD.md</w:t>
      </w:r>
    </w:p>
    <w:p>
      <w:pPr>
        <w:pStyle w:val="ListBullet"/>
      </w:pPr>
      <w:r>
        <w:t>docs/26_ANTIGRAVITY_SECURITY_AND_PERMISSIONS.md</w:t>
      </w:r>
    </w:p>
    <w:p>
      <w:pPr>
        <w:pStyle w:val="ListBullet"/>
      </w:pPr>
      <w:r>
        <w:t>prompts/00_FIRST_ANTIGRAVITY_PROMPT.md</w:t>
      </w:r>
    </w:p>
    <w:p>
      <w:pPr>
        <w:pStyle w:val="ListBullet"/>
      </w:pPr>
      <w:r>
        <w:t>prompts/01_EXECUTE_APPROVED_PHASE_0_1.md</w:t>
      </w:r>
    </w:p>
    <w:p>
      <w:pPr>
        <w:pStyle w:val="ListBullet"/>
      </w:pPr>
      <w:r>
        <w:t>prompts/02_PHASE_0_1_INDEPENDENT_REVIEW.md</w:t>
      </w:r>
    </w:p>
    <w:p>
      <w:pPr>
        <w:pStyle w:val="ListBullet"/>
      </w:pPr>
      <w:r>
        <w:t>prompts/03_FIX_REVIEW_GAPS_ONLY.md</w:t>
      </w:r>
    </w:p>
    <w:p>
      <w:pPr>
        <w:pStyle w:val="ListBullet"/>
      </w:pPr>
      <w:r>
        <w:t>prompts/04_PREPARE_PHASE_2_PLAN_ONLY.md</w:t>
      </w:r>
    </w:p>
    <w:p>
      <w:pPr>
        <w:pStyle w:val="ListBullet"/>
      </w:pPr>
      <w:r>
        <w:t>.agents/rules/</w:t>
      </w:r>
    </w:p>
    <w:p>
      <w:pPr>
        <w:pStyle w:val="ListBullet"/>
      </w:pPr>
      <w:r>
        <w:t>.agents/skills/</w:t>
      </w:r>
    </w:p>
    <w:p>
      <w:pPr>
        <w:pStyle w:val="ListBullet"/>
      </w:pPr>
      <w:r>
        <w:t>.agents/agents/</w:t>
      </w:r>
    </w:p>
    <w:p>
      <w:pPr>
        <w:pStyle w:val="ListBullet"/>
      </w:pPr>
      <w:r>
        <w:t>project-status/STATUS.md</w:t>
      </w:r>
    </w:p>
    <w:p>
      <w:pPr>
        <w:pStyle w:val="ListBullet"/>
      </w:pPr>
      <w:r>
        <w:t>UK_AI_Economic_Measurement_Lab_Antigravity_Operator_Guide.docx</w:t>
      </w:r>
    </w:p>
    <w:sectPr w:rsidR="00FC693F" w:rsidRPr="0006063C" w:rsidSect="00034616">
      <w:headerReference w:type="default" r:id="rId22"/>
      <w:footerReference w:type="default" r:id="rId2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Independent research prototype — not an ONS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UK AI Economic Measurement Lab | 0.2.0-antigravity-planning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3D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5C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28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s.gov.uk/economy/nationalaccounts/satelliteaccounts/methodologies/measuringartificialintelligenceintheukeconomyusingathematicaccount" TargetMode="External"/><Relationship Id="rId10" Type="http://schemas.openxmlformats.org/officeDocument/2006/relationships/hyperlink" Target="https://www.ons.gov.uk/businessindustryandtrade/business/businessservices/articles/artificialintelligenceinukbusinesses/2023to2026" TargetMode="External"/><Relationship Id="rId11" Type="http://schemas.openxmlformats.org/officeDocument/2006/relationships/hyperlink" Target="https://www.ons.gov.uk/economy/nationalaccounts/uksectoraccounts/methodologies/datacentresandtheuknationalaccounts" TargetMode="External"/><Relationship Id="rId12" Type="http://schemas.openxmlformats.org/officeDocument/2006/relationships/hyperlink" Target="https://www.ons.gov.uk/economy/economicoutputandproductivity/productivitymeasures/articles/redefininginvestmentindigitalinfrastructureintheuk/2026" TargetMode="External"/><Relationship Id="rId13" Type="http://schemas.openxmlformats.org/officeDocument/2006/relationships/hyperlink" Target="https://www.ons.gov.uk/economy/nationalaccounts/supplyandusetables/datasets/inputoutputsupplyandusetables" TargetMode="External"/><Relationship Id="rId14" Type="http://schemas.openxmlformats.org/officeDocument/2006/relationships/hyperlink" Target="https://www.ons.gov.uk/businessindustryandtrade/internationaltrade/articles/developingukdigitaltradestatistics/2026update" TargetMode="External"/><Relationship Id="rId15" Type="http://schemas.openxmlformats.org/officeDocument/2006/relationships/hyperlink" Target="https://www.ons.gov.uk/methodology/classificationsandstandards/ukstandardindustrialclassificationofeconomicactivities/uksic2026" TargetMode="External"/><Relationship Id="rId16" Type="http://schemas.openxmlformats.org/officeDocument/2006/relationships/hyperlink" Target="https://www.gov.uk/government/publications/artificial-intelligence-sector-study-2024/artificial-intelligence-sector-study-2024" TargetMode="External"/><Relationship Id="rId17" Type="http://schemas.openxmlformats.org/officeDocument/2006/relationships/hyperlink" Target="https://developer-specs.company-information.service.gov.uk/companies-house-public-data-api/reference" TargetMode="External"/><Relationship Id="rId18" Type="http://schemas.openxmlformats.org/officeDocument/2006/relationships/hyperlink" Target="https://code.statisticsauthority.gov.uk/wp-content/uploads/2025/10/Code-of-Practice-for-Statistics-3.0.pdf" TargetMode="External"/><Relationship Id="rId19" Type="http://schemas.openxmlformats.org/officeDocument/2006/relationships/hyperlink" Target="https://service-manual.ons.gov.uk/" TargetMode="External"/><Relationship Id="rId20" Type="http://schemas.openxmlformats.org/officeDocument/2006/relationships/hyperlink" Target="https://analysisfunction.civilservice.gov.uk/policy-store/competency-framework-for-the-government-statistician-group-gsg/" TargetMode="External"/><Relationship Id="rId21" Type="http://schemas.openxmlformats.org/officeDocument/2006/relationships/hyperlink" Target="https://www.ons.gov.uk/aboutus/ourstrategyandplans/onsimprovementplans/onssurveyimprovementandenhancement/onssurveysandeconomicstatisticsimprovementplanquarterlyprogressupdatejuly2026" TargetMode="External"/><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