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57C1E"/>
          <w:spacing w:val="40"/>
          <w:sz w:val="18"/>
          <w:szCs w:val="18"/>
        </w:rPr>
        <w:t xml:space="preserve">ALDANAT CARE FOOTBALL CLUB</w:t>
      </w:r>
    </w:p>
    <w:p>
      <w:pPr>
        <w:spacing w:after="60"/>
      </w:pPr>
      <w:r>
        <w:rPr>
          <w:rFonts w:ascii="Arial" w:cs="Arial" w:eastAsia="Arial" w:hAnsi="Arial"/>
          <w:b/>
          <w:bCs/>
          <w:color w:val="1B2E52"/>
          <w:sz w:val="40"/>
          <w:szCs w:val="40"/>
        </w:rPr>
        <w:t xml:space="preserve">Match Predictor: Organiser Pack</w:t>
      </w:r>
    </w:p>
    <w:p>
      <w:pPr>
        <w:spacing w:after="120"/>
      </w:pPr>
      <w:r>
        <w:rPr>
          <w:rFonts w:ascii="Arial" w:cs="Arial" w:eastAsia="Arial" w:hAnsi="Arial"/>
          <w:b w:val="false"/>
          <w:bCs w:val="false"/>
          <w:i w:val="false"/>
          <w:iCs w:val="false"/>
          <w:color w:val="555555"/>
          <w:sz w:val="20"/>
          <w:szCs w:val="20"/>
        </w:rPr>
        <w:t xml:space="preserve">Operating procedure, money handling controls, compliance notes and forms. Supported Living v Residential, Wednesday 26 August, kick off 2pm, Harwich and Parkeston Football Ground.</w:t>
      </w:r>
    </w:p>
    <w:p>
      <w:pPr>
        <w:pBdr>
          <w:bottom w:val="single" w:color="B57C1E" w:sz="6" w:space="1"/>
        </w:pBdr>
        <w:spacing w:after="160" w:before="60"/>
      </w:pPr>
      <w:r>
        <w:rPr>
          <w:rFonts w:ascii="Arial" w:cs="Arial" w:eastAsia="Arial" w:hAnsi="Arial"/>
          <w:sz w:val="2"/>
          <w:szCs w:val="2"/>
        </w:rPr>
        <w:t xml:space="preserve"/>
      </w:r>
    </w:p>
    <w:p>
      <w:pPr>
        <w:pStyle w:val="Heading1"/>
        <w:spacing w:after="140" w:before="320"/>
      </w:pPr>
      <w:r>
        <w:rPr>
          <w:rFonts w:ascii="Arial" w:cs="Arial" w:eastAsia="Arial" w:hAnsi="Arial"/>
          <w:b/>
          <w:bCs/>
          <w:color w:val="1B2E52"/>
          <w:sz w:val="28"/>
          <w:szCs w:val="28"/>
        </w:rPr>
        <w:t xml:space="preserve">1. Purpose</w:t>
      </w:r>
    </w:p>
    <w:p>
      <w:pPr>
        <w:spacing w:after="120"/>
      </w:pPr>
      <w:r>
        <w:rPr>
          <w:rFonts w:ascii="Arial" w:cs="Arial" w:eastAsia="Arial" w:hAnsi="Arial"/>
          <w:b w:val="false"/>
          <w:bCs w:val="false"/>
          <w:i w:val="false"/>
          <w:iCs w:val="false"/>
          <w:color w:val="1A1A1A"/>
          <w:sz w:val="21"/>
          <w:szCs w:val="21"/>
        </w:rPr>
        <w:t xml:space="preserve">This pack covers the running of the Match Predictor prediction game and the handling of the money pledged through it. It does not cover the fixture itself, which is governed by the ground booking, the club risk assessment and the usual safeguarding arrangements.</w:t>
      </w:r>
    </w:p>
    <w:p>
      <w:pPr>
        <w:spacing w:after="120"/>
      </w:pPr>
      <w:r>
        <w:rPr>
          <w:rFonts w:ascii="Arial" w:cs="Arial" w:eastAsia="Arial" w:hAnsi="Arial"/>
          <w:b/>
          <w:bCs/>
          <w:i w:val="false"/>
          <w:iCs w:val="false"/>
          <w:color w:val="1A1A1A"/>
          <w:sz w:val="21"/>
          <w:szCs w:val="21"/>
        </w:rPr>
        <w:t xml:space="preserve">The design principle is simple. The game carries no prize and no stake, so it is a fundraising activity rather than gambling. Keep it that way. See section 6 before changing anything about prizes or entry fees.</w:t>
      </w:r>
    </w:p>
    <w:p>
      <w:pPr>
        <w:pStyle w:val="Heading1"/>
        <w:spacing w:after="140" w:before="320"/>
      </w:pPr>
      <w:r>
        <w:rPr>
          <w:rFonts w:ascii="Arial" w:cs="Arial" w:eastAsia="Arial" w:hAnsi="Arial"/>
          <w:b/>
          <w:bCs/>
          <w:color w:val="1B2E52"/>
          <w:sz w:val="28"/>
          <w:szCs w:val="28"/>
        </w:rPr>
        <w:t xml:space="preserve">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Role</w:t>
            </w:r>
          </w:p>
        </w:tc>
        <w:tc>
          <w:tcPr>
            <w:tcW w:type="dxa" w:w="55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Responsibility</w:t>
            </w:r>
          </w:p>
        </w:tc>
        <w:tc>
          <w:tcPr>
            <w:tcW w:type="dxa" w:w="19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Name</w:t>
            </w:r>
          </w:p>
        </w:tc>
      </w:tr>
      <w:tr>
        <w:tc>
          <w:tcPr>
            <w:tcW w:type="dxa" w:w="1900"/>
            <w:tcMar>
              <w:top w:type="dxa" w:w="80"/>
              <w:left w:type="dxa" w:w="110"/>
              <w:bottom w:type="dxa" w:w="80"/>
              <w:right w:type="dxa" w:w="110"/>
            </w:tcMar>
          </w:tcPr>
          <w:p>
            <w:r>
              <w:rPr>
                <w:rFonts w:ascii="Arial" w:cs="Arial" w:eastAsia="Arial" w:hAnsi="Arial"/>
                <w:b w:val="false"/>
                <w:bCs w:val="false"/>
                <w:color w:val="1A1A1A"/>
                <w:sz w:val="20"/>
                <w:szCs w:val="20"/>
              </w:rPr>
              <w:t xml:space="preserve">Predictor lead</w:t>
            </w:r>
          </w:p>
        </w:tc>
        <w:tc>
          <w:tcPr>
            <w:tcW w:type="dxa" w:w="5560"/>
            <w:tcMar>
              <w:top w:type="dxa" w:w="80"/>
              <w:left w:type="dxa" w:w="110"/>
              <w:bottom w:type="dxa" w:w="80"/>
              <w:right w:type="dxa" w:w="110"/>
            </w:tcMar>
          </w:tcPr>
          <w:p>
            <w:r>
              <w:rPr>
                <w:rFonts w:ascii="Arial" w:cs="Arial" w:eastAsia="Arial" w:hAnsi="Arial"/>
                <w:b w:val="false"/>
                <w:bCs w:val="false"/>
                <w:color w:val="1A1A1A"/>
                <w:sz w:val="20"/>
                <w:szCs w:val="20"/>
              </w:rPr>
              <w:t xml:space="preserve">Publishes the link, promotes entries, closes entries at 1.45pm, publishes the result and the table.</w:t>
            </w:r>
          </w:p>
        </w:tc>
        <w:tc>
          <w:tcPr>
            <w:tcW w:type="dxa" w:w="1900"/>
            <w:tcMar>
              <w:top w:type="dxa" w:w="80"/>
              <w:left w:type="dxa" w:w="110"/>
              <w:bottom w:type="dxa" w:w="80"/>
              <w:right w:type="dxa" w:w="110"/>
            </w:tcMar>
          </w:tcPr>
          <w:p>
            <w:r>
              <w:rPr>
                <w:rFonts w:ascii="Arial" w:cs="Arial" w:eastAsia="Arial" w:hAnsi="Arial"/>
                <w:b w:val="false"/>
                <w:bCs w:val="false"/>
                <w:color w:val="1A1A1A"/>
                <w:sz w:val="20"/>
                <w:szCs w:val="20"/>
              </w:rPr>
              <w:t xml:space="preserve">[    ]</w:t>
            </w:r>
          </w:p>
        </w:tc>
      </w:tr>
      <w:tr>
        <w:tc>
          <w:tcPr>
            <w:tcW w:type="dxa" w:w="19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Money custodian</w:t>
            </w:r>
          </w:p>
        </w:tc>
        <w:tc>
          <w:tcPr>
            <w:tcW w:type="dxa" w:w="55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Holds the sealed collection tin and the card reader, issues receipts on request.</w:t>
            </w:r>
          </w:p>
        </w:tc>
        <w:tc>
          <w:tcPr>
            <w:tcW w:type="dxa" w:w="19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t>
            </w:r>
          </w:p>
        </w:tc>
      </w:tr>
      <w:tr>
        <w:tc>
          <w:tcPr>
            <w:tcW w:type="dxa" w:w="1900"/>
            <w:tcMar>
              <w:top w:type="dxa" w:w="80"/>
              <w:left w:type="dxa" w:w="110"/>
              <w:bottom w:type="dxa" w:w="80"/>
              <w:right w:type="dxa" w:w="110"/>
            </w:tcMar>
          </w:tcPr>
          <w:p>
            <w:r>
              <w:rPr>
                <w:rFonts w:ascii="Arial" w:cs="Arial" w:eastAsia="Arial" w:hAnsi="Arial"/>
                <w:b w:val="false"/>
                <w:bCs w:val="false"/>
                <w:color w:val="1A1A1A"/>
                <w:sz w:val="20"/>
                <w:szCs w:val="20"/>
              </w:rPr>
              <w:t xml:space="preserve">Second counter</w:t>
            </w:r>
          </w:p>
        </w:tc>
        <w:tc>
          <w:tcPr>
            <w:tcW w:type="dxa" w:w="5560"/>
            <w:tcMar>
              <w:top w:type="dxa" w:w="80"/>
              <w:left w:type="dxa" w:w="110"/>
              <w:bottom w:type="dxa" w:w="80"/>
              <w:right w:type="dxa" w:w="110"/>
            </w:tcMar>
          </w:tcPr>
          <w:p>
            <w:r>
              <w:rPr>
                <w:rFonts w:ascii="Arial" w:cs="Arial" w:eastAsia="Arial" w:hAnsi="Arial"/>
                <w:b w:val="false"/>
                <w:bCs w:val="false"/>
                <w:color w:val="1A1A1A"/>
                <w:sz w:val="20"/>
                <w:szCs w:val="20"/>
              </w:rPr>
              <w:t xml:space="preserve">Independent of the custodian. Counts alongside and countersigns the reconciliation.</w:t>
            </w:r>
          </w:p>
        </w:tc>
        <w:tc>
          <w:tcPr>
            <w:tcW w:type="dxa" w:w="1900"/>
            <w:tcMar>
              <w:top w:type="dxa" w:w="80"/>
              <w:left w:type="dxa" w:w="110"/>
              <w:bottom w:type="dxa" w:w="80"/>
              <w:right w:type="dxa" w:w="110"/>
            </w:tcMar>
          </w:tcPr>
          <w:p>
            <w:r>
              <w:rPr>
                <w:rFonts w:ascii="Arial" w:cs="Arial" w:eastAsia="Arial" w:hAnsi="Arial"/>
                <w:b w:val="false"/>
                <w:bCs w:val="false"/>
                <w:color w:val="1A1A1A"/>
                <w:sz w:val="20"/>
                <w:szCs w:val="20"/>
              </w:rPr>
              <w:t xml:space="preserve">[    ]</w:t>
            </w:r>
          </w:p>
        </w:tc>
      </w:tr>
      <w:tr>
        <w:tc>
          <w:tcPr>
            <w:tcW w:type="dxa" w:w="19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Result verifier</w:t>
            </w:r>
          </w:p>
        </w:tc>
        <w:tc>
          <w:tcPr>
            <w:tcW w:type="dxa" w:w="55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Confirms the final score and first goalscorer with the referee or match secretary before publication.</w:t>
            </w:r>
          </w:p>
        </w:tc>
        <w:tc>
          <w:tcPr>
            <w:tcW w:type="dxa" w:w="19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t>
            </w:r>
          </w:p>
        </w:tc>
      </w:tr>
      <w:tr>
        <w:tc>
          <w:tcPr>
            <w:tcW w:type="dxa" w:w="1900"/>
            <w:tcMar>
              <w:top w:type="dxa" w:w="80"/>
              <w:left w:type="dxa" w:w="110"/>
              <w:bottom w:type="dxa" w:w="80"/>
              <w:right w:type="dxa" w:w="110"/>
            </w:tcMar>
          </w:tcPr>
          <w:p>
            <w:r>
              <w:rPr>
                <w:rFonts w:ascii="Arial" w:cs="Arial" w:eastAsia="Arial" w:hAnsi="Arial"/>
                <w:b w:val="false"/>
                <w:bCs w:val="false"/>
                <w:color w:val="1A1A1A"/>
                <w:sz w:val="20"/>
                <w:szCs w:val="20"/>
              </w:rPr>
              <w:t xml:space="preserve">Data owner</w:t>
            </w:r>
          </w:p>
        </w:tc>
        <w:tc>
          <w:tcPr>
            <w:tcW w:type="dxa" w:w="5560"/>
            <w:tcMar>
              <w:top w:type="dxa" w:w="80"/>
              <w:left w:type="dxa" w:w="110"/>
              <w:bottom w:type="dxa" w:w="80"/>
              <w:right w:type="dxa" w:w="110"/>
            </w:tcMar>
          </w:tcPr>
          <w:p>
            <w:r>
              <w:rPr>
                <w:rFonts w:ascii="Arial" w:cs="Arial" w:eastAsia="Arial" w:hAnsi="Arial"/>
                <w:b w:val="false"/>
                <w:bCs w:val="false"/>
                <w:color w:val="1A1A1A"/>
                <w:sz w:val="20"/>
                <w:szCs w:val="20"/>
              </w:rPr>
              <w:t xml:space="preserve">Deletes entries within 30 days and signs the record at Appendix B.</w:t>
            </w:r>
          </w:p>
        </w:tc>
        <w:tc>
          <w:tcPr>
            <w:tcW w:type="dxa" w:w="1900"/>
            <w:tcMar>
              <w:top w:type="dxa" w:w="80"/>
              <w:left w:type="dxa" w:w="110"/>
              <w:bottom w:type="dxa" w:w="80"/>
              <w:right w:type="dxa" w:w="110"/>
            </w:tcMar>
          </w:tcPr>
          <w:p>
            <w:r>
              <w:rPr>
                <w:rFonts w:ascii="Arial" w:cs="Arial" w:eastAsia="Arial" w:hAnsi="Arial"/>
                <w:b w:val="false"/>
                <w:bCs w:val="false"/>
                <w:color w:val="1A1A1A"/>
                <w:sz w:val="20"/>
                <w:szCs w:val="20"/>
              </w:rPr>
              <w:t xml:space="preserve">[    ]</w:t>
            </w:r>
          </w:p>
        </w:tc>
      </w:tr>
    </w:tbl>
    <w:p>
      <w:pPr>
        <w:pStyle w:val="Heading1"/>
        <w:spacing w:after="140" w:before="320"/>
      </w:pPr>
      <w:r>
        <w:rPr>
          <w:rFonts w:ascii="Arial" w:cs="Arial" w:eastAsia="Arial" w:hAnsi="Arial"/>
          <w:b/>
          <w:bCs/>
          <w:color w:val="1B2E52"/>
          <w:sz w:val="28"/>
          <w:szCs w:val="28"/>
        </w:rPr>
        <w:t xml:space="preserve">3. Run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Time</w:t>
            </w:r>
          </w:p>
        </w:tc>
        <w:tc>
          <w:tcPr>
            <w:tcW w:type="dxa" w:w="76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Action</w:t>
            </w:r>
          </w:p>
        </w:tc>
      </w:tr>
      <w:tr>
        <w:tc>
          <w:tcPr>
            <w:tcW w:type="dxa" w:w="1700"/>
            <w:tcMar>
              <w:top w:type="dxa" w:w="80"/>
              <w:left w:type="dxa" w:w="110"/>
              <w:bottom w:type="dxa" w:w="80"/>
              <w:right w:type="dxa" w:w="110"/>
            </w:tcMar>
          </w:tcPr>
          <w:p>
            <w:r>
              <w:rPr>
                <w:rFonts w:ascii="Arial" w:cs="Arial" w:eastAsia="Arial" w:hAnsi="Arial"/>
                <w:b w:val="false"/>
                <w:bCs w:val="false"/>
                <w:color w:val="1A1A1A"/>
                <w:sz w:val="20"/>
                <w:szCs w:val="20"/>
              </w:rPr>
              <w:t xml:space="preserve">Two weeks out</w:t>
            </w:r>
          </w:p>
        </w:tc>
        <w:tc>
          <w:tcPr>
            <w:tcW w:type="dxa" w:w="7660"/>
            <w:tcMar>
              <w:top w:type="dxa" w:w="80"/>
              <w:left w:type="dxa" w:w="110"/>
              <w:bottom w:type="dxa" w:w="80"/>
              <w:right w:type="dxa" w:w="110"/>
            </w:tcMar>
          </w:tcPr>
          <w:p>
            <w:r>
              <w:rPr>
                <w:rFonts w:ascii="Arial" w:cs="Arial" w:eastAsia="Arial" w:hAnsi="Arial"/>
                <w:b w:val="false"/>
                <w:bCs w:val="false"/>
                <w:color w:val="1A1A1A"/>
                <w:sz w:val="20"/>
                <w:szCs w:val="20"/>
              </w:rPr>
              <w:t xml:space="preserve">Notify CRY that a third party event is planned and request their fundraising pack and authority to fundraise in their name. Confirm the ground booking and first aid cover.</w:t>
            </w:r>
          </w:p>
        </w:tc>
      </w:tr>
      <w:tr>
        <w:tc>
          <w:tcPr>
            <w:tcW w:type="dxa" w:w="17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One week out</w:t>
            </w:r>
          </w:p>
        </w:tc>
        <w:tc>
          <w:tcPr>
            <w:tcW w:type="dxa" w:w="76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Circulate the link and the participant rules to all services. Print paper slips at Appendix A for anyone without a phone.</w:t>
            </w:r>
          </w:p>
        </w:tc>
      </w:tr>
      <w:tr>
        <w:tc>
          <w:tcPr>
            <w:tcW w:type="dxa" w:w="1700"/>
            <w:tcMar>
              <w:top w:type="dxa" w:w="80"/>
              <w:left w:type="dxa" w:w="110"/>
              <w:bottom w:type="dxa" w:w="80"/>
              <w:right w:type="dxa" w:w="110"/>
            </w:tcMar>
          </w:tcPr>
          <w:p>
            <w:r>
              <w:rPr>
                <w:rFonts w:ascii="Arial" w:cs="Arial" w:eastAsia="Arial" w:hAnsi="Arial"/>
                <w:b w:val="false"/>
                <w:bCs w:val="false"/>
                <w:color w:val="1A1A1A"/>
                <w:sz w:val="20"/>
                <w:szCs w:val="20"/>
              </w:rPr>
              <w:t xml:space="preserve">Matchday 12.00</w:t>
            </w:r>
          </w:p>
        </w:tc>
        <w:tc>
          <w:tcPr>
            <w:tcW w:type="dxa" w:w="7660"/>
            <w:tcMar>
              <w:top w:type="dxa" w:w="80"/>
              <w:left w:type="dxa" w:w="110"/>
              <w:bottom w:type="dxa" w:w="80"/>
              <w:right w:type="dxa" w:w="110"/>
            </w:tcMar>
          </w:tcPr>
          <w:p>
            <w:r>
              <w:rPr>
                <w:rFonts w:ascii="Arial" w:cs="Arial" w:eastAsia="Arial" w:hAnsi="Arial"/>
                <w:b w:val="false"/>
                <w:bCs w:val="false"/>
                <w:color w:val="1A1A1A"/>
                <w:sz w:val="20"/>
                <w:szCs w:val="20"/>
              </w:rPr>
              <w:t xml:space="preserve">Collection desk open. Final push for entries.</w:t>
            </w:r>
          </w:p>
        </w:tc>
      </w:tr>
      <w:tr>
        <w:tc>
          <w:tcPr>
            <w:tcW w:type="dxa" w:w="17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13.45</w:t>
            </w:r>
          </w:p>
        </w:tc>
        <w:tc>
          <w:tcPr>
            <w:tcW w:type="dxa" w:w="76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Close entries. Screenshot the table and save it as the record of what was submitted before kick off.</w:t>
            </w:r>
          </w:p>
        </w:tc>
      </w:tr>
      <w:tr>
        <w:tc>
          <w:tcPr>
            <w:tcW w:type="dxa" w:w="1700"/>
            <w:tcMar>
              <w:top w:type="dxa" w:w="80"/>
              <w:left w:type="dxa" w:w="110"/>
              <w:bottom w:type="dxa" w:w="80"/>
              <w:right w:type="dxa" w:w="110"/>
            </w:tcMar>
          </w:tcPr>
          <w:p>
            <w:r>
              <w:rPr>
                <w:rFonts w:ascii="Arial" w:cs="Arial" w:eastAsia="Arial" w:hAnsi="Arial"/>
                <w:b w:val="false"/>
                <w:bCs w:val="false"/>
                <w:color w:val="1A1A1A"/>
                <w:sz w:val="20"/>
                <w:szCs w:val="20"/>
              </w:rPr>
              <w:t xml:space="preserve">14.00</w:t>
            </w:r>
          </w:p>
        </w:tc>
        <w:tc>
          <w:tcPr>
            <w:tcW w:type="dxa" w:w="7660"/>
            <w:tcMar>
              <w:top w:type="dxa" w:w="80"/>
              <w:left w:type="dxa" w:w="110"/>
              <w:bottom w:type="dxa" w:w="80"/>
              <w:right w:type="dxa" w:w="110"/>
            </w:tcMar>
          </w:tcPr>
          <w:p>
            <w:r>
              <w:rPr>
                <w:rFonts w:ascii="Arial" w:cs="Arial" w:eastAsia="Arial" w:hAnsi="Arial"/>
                <w:b w:val="false"/>
                <w:bCs w:val="false"/>
                <w:color w:val="1A1A1A"/>
                <w:sz w:val="20"/>
                <w:szCs w:val="20"/>
              </w:rPr>
              <w:t xml:space="preserve">Kick off. No further entries accepted, no exceptions.</w:t>
            </w:r>
          </w:p>
        </w:tc>
      </w:tr>
      <w:tr>
        <w:tc>
          <w:tcPr>
            <w:tcW w:type="dxa" w:w="17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Full time</w:t>
            </w:r>
          </w:p>
        </w:tc>
        <w:tc>
          <w:tcPr>
            <w:tcW w:type="dxa" w:w="76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Verifier confirms the score and first goalscorer. Lead enters it on the Result tab and settles the table.</w:t>
            </w:r>
          </w:p>
        </w:tc>
      </w:tr>
      <w:tr>
        <w:tc>
          <w:tcPr>
            <w:tcW w:type="dxa" w:w="1700"/>
            <w:tcMar>
              <w:top w:type="dxa" w:w="80"/>
              <w:left w:type="dxa" w:w="110"/>
              <w:bottom w:type="dxa" w:w="80"/>
              <w:right w:type="dxa" w:w="110"/>
            </w:tcMar>
          </w:tcPr>
          <w:p>
            <w:r>
              <w:rPr>
                <w:rFonts w:ascii="Arial" w:cs="Arial" w:eastAsia="Arial" w:hAnsi="Arial"/>
                <w:b w:val="false"/>
                <w:bCs w:val="false"/>
                <w:color w:val="1A1A1A"/>
                <w:sz w:val="20"/>
                <w:szCs w:val="20"/>
              </w:rPr>
              <w:t xml:space="preserve">Full time plus 30</w:t>
            </w:r>
          </w:p>
        </w:tc>
        <w:tc>
          <w:tcPr>
            <w:tcW w:type="dxa" w:w="7660"/>
            <w:tcMar>
              <w:top w:type="dxa" w:w="80"/>
              <w:left w:type="dxa" w:w="110"/>
              <w:bottom w:type="dxa" w:w="80"/>
              <w:right w:type="dxa" w:w="110"/>
            </w:tcMar>
          </w:tcPr>
          <w:p>
            <w:r>
              <w:rPr>
                <w:rFonts w:ascii="Arial" w:cs="Arial" w:eastAsia="Arial" w:hAnsi="Arial"/>
                <w:b w:val="false"/>
                <w:bCs w:val="false"/>
                <w:color w:val="1A1A1A"/>
                <w:sz w:val="20"/>
                <w:szCs w:val="20"/>
              </w:rPr>
              <w:t xml:space="preserve">Announce the top three. Present the trophy or certificates.</w:t>
            </w:r>
          </w:p>
        </w:tc>
      </w:tr>
      <w:tr>
        <w:tc>
          <w:tcPr>
            <w:tcW w:type="dxa" w:w="17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Before leaving site</w:t>
            </w:r>
          </w:p>
        </w:tc>
        <w:tc>
          <w:tcPr>
            <w:tcW w:type="dxa" w:w="76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Count the money with two people present. Complete the reconciliation workbook and both sign.</w:t>
            </w:r>
          </w:p>
        </w:tc>
      </w:tr>
      <w:tr>
        <w:tc>
          <w:tcPr>
            <w:tcW w:type="dxa" w:w="1700"/>
            <w:tcMar>
              <w:top w:type="dxa" w:w="80"/>
              <w:left w:type="dxa" w:w="110"/>
              <w:bottom w:type="dxa" w:w="80"/>
              <w:right w:type="dxa" w:w="110"/>
            </w:tcMar>
          </w:tcPr>
          <w:p>
            <w:r>
              <w:rPr>
                <w:rFonts w:ascii="Arial" w:cs="Arial" w:eastAsia="Arial" w:hAnsi="Arial"/>
                <w:b w:val="false"/>
                <w:bCs w:val="false"/>
                <w:color w:val="1A1A1A"/>
                <w:sz w:val="20"/>
                <w:szCs w:val="20"/>
              </w:rPr>
              <w:t xml:space="preserve">Next working day</w:t>
            </w:r>
          </w:p>
        </w:tc>
        <w:tc>
          <w:tcPr>
            <w:tcW w:type="dxa" w:w="7660"/>
            <w:tcMar>
              <w:top w:type="dxa" w:w="80"/>
              <w:left w:type="dxa" w:w="110"/>
              <w:bottom w:type="dxa" w:w="80"/>
              <w:right w:type="dxa" w:w="110"/>
            </w:tcMar>
          </w:tcPr>
          <w:p>
            <w:r>
              <w:rPr>
                <w:rFonts w:ascii="Arial" w:cs="Arial" w:eastAsia="Arial" w:hAnsi="Arial"/>
                <w:b w:val="false"/>
                <w:bCs w:val="false"/>
                <w:color w:val="1A1A1A"/>
                <w:sz w:val="20"/>
                <w:szCs w:val="20"/>
              </w:rPr>
              <w:t xml:space="preserve">Bank the cash or transfer the total. Retain the paying in slip.</w:t>
            </w:r>
          </w:p>
        </w:tc>
      </w:tr>
      <w:tr>
        <w:tc>
          <w:tcPr>
            <w:tcW w:type="dxa" w:w="17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Within 14 days</w:t>
            </w:r>
          </w:p>
        </w:tc>
        <w:tc>
          <w:tcPr>
            <w:tcW w:type="dxa" w:w="76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Remit the gross total to CRY and record the reference. Publish the amount raised to staff.</w:t>
            </w:r>
          </w:p>
        </w:tc>
      </w:tr>
      <w:tr>
        <w:tc>
          <w:tcPr>
            <w:tcW w:type="dxa" w:w="1700"/>
            <w:tcMar>
              <w:top w:type="dxa" w:w="80"/>
              <w:left w:type="dxa" w:w="110"/>
              <w:bottom w:type="dxa" w:w="80"/>
              <w:right w:type="dxa" w:w="110"/>
            </w:tcMar>
          </w:tcPr>
          <w:p>
            <w:r>
              <w:rPr>
                <w:rFonts w:ascii="Arial" w:cs="Arial" w:eastAsia="Arial" w:hAnsi="Arial"/>
                <w:b w:val="false"/>
                <w:bCs w:val="false"/>
                <w:color w:val="1A1A1A"/>
                <w:sz w:val="20"/>
                <w:szCs w:val="20"/>
              </w:rPr>
              <w:t xml:space="preserve">Within 30 days</w:t>
            </w:r>
          </w:p>
        </w:tc>
        <w:tc>
          <w:tcPr>
            <w:tcW w:type="dxa" w:w="7660"/>
            <w:tcMar>
              <w:top w:type="dxa" w:w="80"/>
              <w:left w:type="dxa" w:w="110"/>
              <w:bottom w:type="dxa" w:w="80"/>
              <w:right w:type="dxa" w:w="110"/>
            </w:tcMar>
          </w:tcPr>
          <w:p>
            <w:r>
              <w:rPr>
                <w:rFonts w:ascii="Arial" w:cs="Arial" w:eastAsia="Arial" w:hAnsi="Arial"/>
                <w:b w:val="false"/>
                <w:bCs w:val="false"/>
                <w:color w:val="1A1A1A"/>
                <w:sz w:val="20"/>
                <w:szCs w:val="20"/>
              </w:rPr>
              <w:t xml:space="preserve">Delete the entries from the app and sign Appendix B.</w:t>
            </w:r>
          </w:p>
        </w:tc>
      </w:tr>
    </w:tbl>
    <w:p>
      <w:r>
        <w:br w:type="page"/>
      </w:r>
    </w:p>
    <w:p>
      <w:pPr>
        <w:pStyle w:val="Heading1"/>
        <w:spacing w:after="140" w:before="320"/>
      </w:pPr>
      <w:r>
        <w:rPr>
          <w:rFonts w:ascii="Arial" w:cs="Arial" w:eastAsia="Arial" w:hAnsi="Arial"/>
          <w:b/>
          <w:bCs/>
          <w:color w:val="1B2E52"/>
          <w:sz w:val="28"/>
          <w:szCs w:val="28"/>
        </w:rPr>
        <w:t xml:space="preserve">4. Operating the app</w:t>
      </w:r>
    </w:p>
    <w:p>
      <w:pPr>
        <w:pStyle w:val="ListParagraph"/>
        <w:numPr>
          <w:ilvl w:val="0"/>
          <w:numId w:val="1"/>
        </w:numPr>
        <w:spacing w:after="70"/>
      </w:pPr>
      <w:r>
        <w:rPr>
          <w:rFonts w:ascii="Arial" w:cs="Arial" w:eastAsia="Arial" w:hAnsi="Arial"/>
          <w:color w:val="1A1A1A"/>
          <w:sz w:val="21"/>
          <w:szCs w:val="21"/>
        </w:rPr>
        <w:t xml:space="preserve">Predict tab is for participants. Table tab shows the pot, the entry count and the ranking. Result tab is for the organiser only.</w:t>
      </w:r>
    </w:p>
    <w:p>
      <w:pPr>
        <w:pStyle w:val="ListParagraph"/>
        <w:numPr>
          <w:ilvl w:val="0"/>
          <w:numId w:val="1"/>
        </w:numPr>
        <w:spacing w:after="70"/>
      </w:pPr>
      <w:r>
        <w:rPr>
          <w:rFonts w:ascii="Arial" w:cs="Arial" w:eastAsia="Arial" w:hAnsi="Arial"/>
          <w:color w:val="1A1A1A"/>
          <w:sz w:val="21"/>
          <w:szCs w:val="21"/>
        </w:rPr>
        <w:t xml:space="preserve">Each entry records how the person intends to pay, being cash at the desk, card at the desk, or direct on the CRY page. That field drives the splits on the Pledge Log tab of the reconciliation workbook, so it must be recorded accurately.</w:t>
      </w:r>
    </w:p>
    <w:p>
      <w:pPr>
        <w:pStyle w:val="ListParagraph"/>
        <w:numPr>
          <w:ilvl w:val="0"/>
          <w:numId w:val="1"/>
        </w:numPr>
        <w:spacing w:after="70"/>
      </w:pPr>
      <w:r>
        <w:rPr>
          <w:rFonts w:ascii="Arial" w:cs="Arial" w:eastAsia="Arial" w:hAnsi="Arial"/>
          <w:color w:val="1A1A1A"/>
          <w:sz w:val="21"/>
          <w:szCs w:val="21"/>
        </w:rPr>
        <w:t xml:space="preserve">To settle: open Result, set the final score, type the first goalscorer exactly as participants would have spelled it, then select Publish result and settle table. Points are applied automatically.</w:t>
      </w:r>
    </w:p>
    <w:p>
      <w:pPr>
        <w:pStyle w:val="ListParagraph"/>
        <w:numPr>
          <w:ilvl w:val="0"/>
          <w:numId w:val="1"/>
        </w:numPr>
        <w:spacing w:after="70"/>
      </w:pPr>
      <w:r>
        <w:rPr>
          <w:rFonts w:ascii="Arial" w:cs="Arial" w:eastAsia="Arial" w:hAnsi="Arial"/>
          <w:color w:val="1A1A1A"/>
          <w:sz w:val="21"/>
          <w:szCs w:val="21"/>
        </w:rPr>
        <w:t xml:space="preserve">Reopen predictions removes the published result and unlocks the sheet. Use it only to correct a mistyped score, and tell participants you have done so.</w:t>
      </w:r>
    </w:p>
    <w:p>
      <w:pPr>
        <w:pStyle w:val="ListParagraph"/>
        <w:numPr>
          <w:ilvl w:val="0"/>
          <w:numId w:val="1"/>
        </w:numPr>
        <w:spacing w:after="70"/>
      </w:pPr>
      <w:r>
        <w:rPr>
          <w:rFonts w:ascii="Arial" w:cs="Arial" w:eastAsia="Arial" w:hAnsi="Arial"/>
          <w:color w:val="1A1A1A"/>
          <w:sz w:val="21"/>
          <w:szCs w:val="21"/>
        </w:rPr>
        <w:t xml:space="preserve">Clear all entries is irreversible and is used at the deletion step, not before.</w:t>
      </w:r>
    </w:p>
    <w:p>
      <w:pPr>
        <w:spacing w:after="120"/>
      </w:pPr>
      <w:r>
        <w:rPr>
          <w:rFonts w:ascii="Arial" w:cs="Arial" w:eastAsia="Arial" w:hAnsi="Arial"/>
          <w:b/>
          <w:bCs/>
          <w:i w:val="false"/>
          <w:iCs w:val="false"/>
          <w:color w:val="1A1A1A"/>
          <w:sz w:val="21"/>
          <w:szCs w:val="21"/>
        </w:rPr>
        <w:t xml:space="preserve">Known limitations, which the lead should manage around:</w:t>
      </w:r>
    </w:p>
    <w:p>
      <w:pPr>
        <w:pStyle w:val="ListParagraph"/>
        <w:numPr>
          <w:ilvl w:val="0"/>
          <w:numId w:val="1"/>
        </w:numPr>
        <w:spacing w:after="70"/>
      </w:pPr>
      <w:r>
        <w:rPr>
          <w:rFonts w:ascii="Arial" w:cs="Arial" w:eastAsia="Arial" w:hAnsi="Arial"/>
          <w:color w:val="1A1A1A"/>
          <w:sz w:val="21"/>
          <w:szCs w:val="21"/>
        </w:rPr>
        <w:t xml:space="preserve">There is no login. Entries are on trust and are keyed on the name typed, so two people with the same name will overwrite each other. Ask them to add an initial.</w:t>
      </w:r>
    </w:p>
    <w:p>
      <w:pPr>
        <w:pStyle w:val="ListParagraph"/>
        <w:numPr>
          <w:ilvl w:val="0"/>
          <w:numId w:val="1"/>
        </w:numPr>
        <w:spacing w:after="70"/>
      </w:pPr>
      <w:r>
        <w:rPr>
          <w:rFonts w:ascii="Arial" w:cs="Arial" w:eastAsia="Arial" w:hAnsi="Arial"/>
          <w:color w:val="1A1A1A"/>
          <w:sz w:val="21"/>
          <w:szCs w:val="21"/>
        </w:rPr>
        <w:t xml:space="preserve">If two people submit at the same instant, the later save wins and one entry can be lost. Check the entry count against the paper slips at close.</w:t>
      </w:r>
    </w:p>
    <w:p>
      <w:pPr>
        <w:pStyle w:val="ListParagraph"/>
        <w:numPr>
          <w:ilvl w:val="0"/>
          <w:numId w:val="1"/>
        </w:numPr>
        <w:spacing w:after="70"/>
      </w:pPr>
      <w:r>
        <w:rPr>
          <w:rFonts w:ascii="Arial" w:cs="Arial" w:eastAsia="Arial" w:hAnsi="Arial"/>
          <w:color w:val="1A1A1A"/>
          <w:sz w:val="21"/>
          <w:szCs w:val="21"/>
        </w:rPr>
        <w:t xml:space="preserve">The screenshot taken at 1.45pm, not the app, is the authoritative record if anything is disputed.</w:t>
      </w:r>
    </w:p>
    <w:p>
      <w:pPr>
        <w:pStyle w:val="Heading1"/>
        <w:spacing w:after="140" w:before="320"/>
      </w:pPr>
      <w:r>
        <w:rPr>
          <w:rFonts w:ascii="Arial" w:cs="Arial" w:eastAsia="Arial" w:hAnsi="Arial"/>
          <w:b/>
          <w:bCs/>
          <w:color w:val="1B2E52"/>
          <w:sz w:val="28"/>
          <w:szCs w:val="28"/>
        </w:rPr>
        <w:t xml:space="preserve">5. Money handling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Control</w:t>
            </w:r>
          </w:p>
        </w:tc>
        <w:tc>
          <w:tcPr>
            <w:tcW w:type="dxa" w:w="70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How it is applied</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Dual custody</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Cash is never handled by one person alone. The tin stays sealed until the count and the count is done by two people.</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Segregation</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The person counting is not the person who held the tin.</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Immediate recording</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Every collection is written into the Pledge Log tab of the reconciliation workbook as it is taken, not from memory afterwards.</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Reconciliation</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Cash counted plus card and transfer receipts must equal amounts recorded as received. Any difference above five pounds is written up and reported to [manager] the same day.</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No deductions</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Costs are not netted off. The gross amount collected is remitted to CRY and any costs are met separately by the club.</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Segregated funds</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Money collected is held for CRY and is not mixed with company income. Keep it out of any till or petty cash float.</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Evidence</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Retain the count sheet, both signatures, the paying in slip and the CRY remittance confirmation for six years.</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Online donations</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Money given direct on the CRY page never enters the tin and must not be banked or remitted by us. Record it on the log, confirm it against the CRY dashboard, and report it inside the total raised only.</w:t>
            </w:r>
          </w:p>
        </w:tc>
      </w:tr>
    </w:tbl>
    <w:p>
      <w:pPr>
        <w:pStyle w:val="Heading1"/>
        <w:spacing w:after="140" w:before="320"/>
      </w:pPr>
      <w:r>
        <w:rPr>
          <w:rFonts w:ascii="Arial" w:cs="Arial" w:eastAsia="Arial" w:hAnsi="Arial"/>
          <w:b/>
          <w:bCs/>
          <w:color w:val="1B2E52"/>
          <w:sz w:val="28"/>
          <w:szCs w:val="28"/>
        </w:rPr>
        <w:t xml:space="preserve">6. Compliance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Area</w:t>
            </w:r>
          </w:p>
        </w:tc>
        <w:tc>
          <w:tcPr>
            <w:tcW w:type="dxa" w:w="70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Position and what to watch</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Gambling Act 2005</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As designed there is no prize and no stake, so no licence or permit is engaged. Introducing a cash prize, a prize pot funded from entry money, or a compulsory entry fee would turn this into a lottery or prize competition and bring licensing conditions with it. Take advice before doing so.</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Fundraising standards</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Follow the Code of Fundraising Practice. Be clear that this is in aid of CRY, do not pressure anyone to pledge, and make it easy to take part without giving.</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Charity permission</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Get CRY written agreement to fundraise in their name and use their logo, and follow any conditions in their third party fundraising pack.</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Gift Aid</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Available on voluntary donations from UK taxpayers with a declaration giving name and home address. It cannot be claimed on anything that buys entry or a prize, which is another reason to keep the game free to enter.</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UK GDPR</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The privacy notice in the participant pack must be circulated with the link, not after. Names are visible to all participants, so no entry field should ever invite health or service user information.</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Safeguarding and images</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No person we support is named in the app. Photography on the day follows the usual consent process and no image is posted without it.</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Insurance</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Confirm public liability cover through the ground or the club before the fixture. The prediction game itself adds no separate exposure.</w:t>
            </w:r>
          </w:p>
        </w:tc>
      </w:tr>
    </w:tbl>
    <w:p>
      <w:r>
        <w:br w:type="page"/>
      </w:r>
    </w:p>
    <w:p>
      <w:pPr>
        <w:pStyle w:val="Heading1"/>
        <w:spacing w:after="140" w:before="320"/>
      </w:pPr>
      <w:r>
        <w:rPr>
          <w:rFonts w:ascii="Arial" w:cs="Arial" w:eastAsia="Arial" w:hAnsi="Arial"/>
          <w:b/>
          <w:bCs/>
          <w:color w:val="1B2E52"/>
          <w:sz w:val="28"/>
          <w:szCs w:val="28"/>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160"/>
        <w:gridCol w:w="1500"/>
      </w:tblGrid>
      <w:tr>
        <w:trPr>
          <w:tblHeader/>
        </w:trPr>
        <w:tc>
          <w:tcPr>
            <w:tcW w:type="dxa" w:w="25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Risk</w:t>
            </w:r>
          </w:p>
        </w:tc>
        <w:tc>
          <w:tcPr>
            <w:tcW w:type="dxa" w:w="12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Impact</w:t>
            </w:r>
          </w:p>
        </w:tc>
        <w:tc>
          <w:tcPr>
            <w:tcW w:type="dxa" w:w="41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Control</w:t>
            </w:r>
          </w:p>
        </w:tc>
        <w:tc>
          <w:tcPr>
            <w:tcW w:type="dxa" w:w="15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Owner</w:t>
            </w:r>
          </w:p>
        </w:tc>
      </w:tr>
      <w:tr>
        <w:tc>
          <w:tcPr>
            <w:tcW w:type="dxa" w:w="2500"/>
            <w:tcMar>
              <w:top w:type="dxa" w:w="80"/>
              <w:left w:type="dxa" w:w="110"/>
              <w:bottom w:type="dxa" w:w="80"/>
              <w:right w:type="dxa" w:w="110"/>
            </w:tcMar>
          </w:tcPr>
          <w:p>
            <w:r>
              <w:rPr>
                <w:rFonts w:ascii="Arial" w:cs="Arial" w:eastAsia="Arial" w:hAnsi="Arial"/>
                <w:b w:val="false"/>
                <w:bCs w:val="false"/>
                <w:color w:val="1A1A1A"/>
                <w:sz w:val="20"/>
                <w:szCs w:val="20"/>
              </w:rPr>
              <w:t xml:space="preserve">Cash goes missing between collection and banking</w:t>
            </w:r>
          </w:p>
        </w:tc>
        <w:tc>
          <w:tcPr>
            <w:tcW w:type="dxa" w:w="1200"/>
            <w:tcMar>
              <w:top w:type="dxa" w:w="80"/>
              <w:left w:type="dxa" w:w="110"/>
              <w:bottom w:type="dxa" w:w="80"/>
              <w:right w:type="dxa" w:w="110"/>
            </w:tcMar>
          </w:tcPr>
          <w:p>
            <w:r>
              <w:rPr>
                <w:rFonts w:ascii="Arial" w:cs="Arial" w:eastAsia="Arial" w:hAnsi="Arial"/>
                <w:b w:val="false"/>
                <w:bCs w:val="false"/>
                <w:color w:val="1A1A1A"/>
                <w:sz w:val="20"/>
                <w:szCs w:val="20"/>
              </w:rPr>
              <w:t xml:space="preserve">High</w:t>
            </w:r>
          </w:p>
        </w:tc>
        <w:tc>
          <w:tcPr>
            <w:tcW w:type="dxa" w:w="4160"/>
            <w:tcMar>
              <w:top w:type="dxa" w:w="80"/>
              <w:left w:type="dxa" w:w="110"/>
              <w:bottom w:type="dxa" w:w="80"/>
              <w:right w:type="dxa" w:w="110"/>
            </w:tcMar>
          </w:tcPr>
          <w:p>
            <w:r>
              <w:rPr>
                <w:rFonts w:ascii="Arial" w:cs="Arial" w:eastAsia="Arial" w:hAnsi="Arial"/>
                <w:b w:val="false"/>
                <w:bCs w:val="false"/>
                <w:color w:val="1A1A1A"/>
                <w:sz w:val="20"/>
                <w:szCs w:val="20"/>
              </w:rPr>
              <w:t xml:space="preserve">Sealed tin, dual custody, same day count, next day banking.</w:t>
            </w:r>
          </w:p>
        </w:tc>
        <w:tc>
          <w:tcPr>
            <w:tcW w:type="dxa" w:w="1500"/>
            <w:tcMar>
              <w:top w:type="dxa" w:w="80"/>
              <w:left w:type="dxa" w:w="110"/>
              <w:bottom w:type="dxa" w:w="80"/>
              <w:right w:type="dxa" w:w="110"/>
            </w:tcMar>
          </w:tcPr>
          <w:p>
            <w:r>
              <w:rPr>
                <w:rFonts w:ascii="Arial" w:cs="Arial" w:eastAsia="Arial" w:hAnsi="Arial"/>
                <w:b w:val="false"/>
                <w:bCs w:val="false"/>
                <w:color w:val="1A1A1A"/>
                <w:sz w:val="20"/>
                <w:szCs w:val="20"/>
              </w:rPr>
              <w:t xml:space="preserve">Custodian</w:t>
            </w:r>
          </w:p>
        </w:tc>
      </w:tr>
      <w:tr>
        <w:tc>
          <w:tcPr>
            <w:tcW w:type="dxa" w:w="25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Entries lost or overwritten in the app</w:t>
            </w:r>
          </w:p>
        </w:tc>
        <w:tc>
          <w:tcPr>
            <w:tcW w:type="dxa" w:w="12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Medium</w:t>
            </w:r>
          </w:p>
        </w:tc>
        <w:tc>
          <w:tcPr>
            <w:tcW w:type="dxa" w:w="41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Screenshot at close, paper slips retained, entry count reconciled.</w:t>
            </w:r>
          </w:p>
        </w:tc>
        <w:tc>
          <w:tcPr>
            <w:tcW w:type="dxa" w:w="15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Lead</w:t>
            </w:r>
          </w:p>
        </w:tc>
      </w:tr>
      <w:tr>
        <w:tc>
          <w:tcPr>
            <w:tcW w:type="dxa" w:w="2500"/>
            <w:tcMar>
              <w:top w:type="dxa" w:w="80"/>
              <w:left w:type="dxa" w:w="110"/>
              <w:bottom w:type="dxa" w:w="80"/>
              <w:right w:type="dxa" w:w="110"/>
            </w:tcMar>
          </w:tcPr>
          <w:p>
            <w:r>
              <w:rPr>
                <w:rFonts w:ascii="Arial" w:cs="Arial" w:eastAsia="Arial" w:hAnsi="Arial"/>
                <w:b w:val="false"/>
                <w:bCs w:val="false"/>
                <w:color w:val="1A1A1A"/>
                <w:sz w:val="20"/>
                <w:szCs w:val="20"/>
              </w:rPr>
              <w:t xml:space="preserve">Dispute over the winner</w:t>
            </w:r>
          </w:p>
        </w:tc>
        <w:tc>
          <w:tcPr>
            <w:tcW w:type="dxa" w:w="1200"/>
            <w:tcMar>
              <w:top w:type="dxa" w:w="80"/>
              <w:left w:type="dxa" w:w="110"/>
              <w:bottom w:type="dxa" w:w="80"/>
              <w:right w:type="dxa" w:w="110"/>
            </w:tcMar>
          </w:tcPr>
          <w:p>
            <w:r>
              <w:rPr>
                <w:rFonts w:ascii="Arial" w:cs="Arial" w:eastAsia="Arial" w:hAnsi="Arial"/>
                <w:b w:val="false"/>
                <w:bCs w:val="false"/>
                <w:color w:val="1A1A1A"/>
                <w:sz w:val="20"/>
                <w:szCs w:val="20"/>
              </w:rPr>
              <w:t xml:space="preserve">Medium</w:t>
            </w:r>
          </w:p>
        </w:tc>
        <w:tc>
          <w:tcPr>
            <w:tcW w:type="dxa" w:w="4160"/>
            <w:tcMar>
              <w:top w:type="dxa" w:w="80"/>
              <w:left w:type="dxa" w:w="110"/>
              <w:bottom w:type="dxa" w:w="80"/>
              <w:right w:type="dxa" w:w="110"/>
            </w:tcMar>
          </w:tcPr>
          <w:p>
            <w:r>
              <w:rPr>
                <w:rFonts w:ascii="Arial" w:cs="Arial" w:eastAsia="Arial" w:hAnsi="Arial"/>
                <w:b w:val="false"/>
                <w:bCs w:val="false"/>
                <w:color w:val="1A1A1A"/>
                <w:sz w:val="20"/>
                <w:szCs w:val="20"/>
              </w:rPr>
              <w:t xml:space="preserve">Verifier confirms the score with the referee, tie break published in advance, organiser decision final.</w:t>
            </w:r>
          </w:p>
        </w:tc>
        <w:tc>
          <w:tcPr>
            <w:tcW w:type="dxa" w:w="1500"/>
            <w:tcMar>
              <w:top w:type="dxa" w:w="80"/>
              <w:left w:type="dxa" w:w="110"/>
              <w:bottom w:type="dxa" w:w="80"/>
              <w:right w:type="dxa" w:w="110"/>
            </w:tcMar>
          </w:tcPr>
          <w:p>
            <w:r>
              <w:rPr>
                <w:rFonts w:ascii="Arial" w:cs="Arial" w:eastAsia="Arial" w:hAnsi="Arial"/>
                <w:b w:val="false"/>
                <w:bCs w:val="false"/>
                <w:color w:val="1A1A1A"/>
                <w:sz w:val="20"/>
                <w:szCs w:val="20"/>
              </w:rPr>
              <w:t xml:space="preserve">Verifier</w:t>
            </w:r>
          </w:p>
        </w:tc>
      </w:tr>
      <w:tr>
        <w:tc>
          <w:tcPr>
            <w:tcW w:type="dxa" w:w="25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Pledges promised but not collected</w:t>
            </w:r>
          </w:p>
        </w:tc>
        <w:tc>
          <w:tcPr>
            <w:tcW w:type="dxa" w:w="12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Medium</w:t>
            </w:r>
          </w:p>
        </w:tc>
        <w:tc>
          <w:tcPr>
            <w:tcW w:type="dxa" w:w="41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Collect at the point of entry wherever possible, chase from the log within seven days, write off after 30 days.</w:t>
            </w:r>
          </w:p>
        </w:tc>
        <w:tc>
          <w:tcPr>
            <w:tcW w:type="dxa" w:w="15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Custodian</w:t>
            </w:r>
          </w:p>
        </w:tc>
      </w:tr>
      <w:tr>
        <w:tc>
          <w:tcPr>
            <w:tcW w:type="dxa" w:w="2500"/>
            <w:tcMar>
              <w:top w:type="dxa" w:w="80"/>
              <w:left w:type="dxa" w:w="110"/>
              <w:bottom w:type="dxa" w:w="80"/>
              <w:right w:type="dxa" w:w="110"/>
            </w:tcMar>
          </w:tcPr>
          <w:p>
            <w:r>
              <w:rPr>
                <w:rFonts w:ascii="Arial" w:cs="Arial" w:eastAsia="Arial" w:hAnsi="Arial"/>
                <w:b w:val="false"/>
                <w:bCs w:val="false"/>
                <w:color w:val="1A1A1A"/>
                <w:sz w:val="20"/>
                <w:szCs w:val="20"/>
              </w:rPr>
              <w:t xml:space="preserve">Personal data left in the app</w:t>
            </w:r>
          </w:p>
        </w:tc>
        <w:tc>
          <w:tcPr>
            <w:tcW w:type="dxa" w:w="1200"/>
            <w:tcMar>
              <w:top w:type="dxa" w:w="80"/>
              <w:left w:type="dxa" w:w="110"/>
              <w:bottom w:type="dxa" w:w="80"/>
              <w:right w:type="dxa" w:w="110"/>
            </w:tcMar>
          </w:tcPr>
          <w:p>
            <w:r>
              <w:rPr>
                <w:rFonts w:ascii="Arial" w:cs="Arial" w:eastAsia="Arial" w:hAnsi="Arial"/>
                <w:b w:val="false"/>
                <w:bCs w:val="false"/>
                <w:color w:val="1A1A1A"/>
                <w:sz w:val="20"/>
                <w:szCs w:val="20"/>
              </w:rPr>
              <w:t xml:space="preserve">Medium</w:t>
            </w:r>
          </w:p>
        </w:tc>
        <w:tc>
          <w:tcPr>
            <w:tcW w:type="dxa" w:w="4160"/>
            <w:tcMar>
              <w:top w:type="dxa" w:w="80"/>
              <w:left w:type="dxa" w:w="110"/>
              <w:bottom w:type="dxa" w:w="80"/>
              <w:right w:type="dxa" w:w="110"/>
            </w:tcMar>
          </w:tcPr>
          <w:p>
            <w:r>
              <w:rPr>
                <w:rFonts w:ascii="Arial" w:cs="Arial" w:eastAsia="Arial" w:hAnsi="Arial"/>
                <w:b w:val="false"/>
                <w:bCs w:val="false"/>
                <w:color w:val="1A1A1A"/>
                <w:sz w:val="20"/>
                <w:szCs w:val="20"/>
              </w:rPr>
              <w:t xml:space="preserve">Deletion at 30 days, signed off at Appendix B.</w:t>
            </w:r>
          </w:p>
        </w:tc>
        <w:tc>
          <w:tcPr>
            <w:tcW w:type="dxa" w:w="1500"/>
            <w:tcMar>
              <w:top w:type="dxa" w:w="80"/>
              <w:left w:type="dxa" w:w="110"/>
              <w:bottom w:type="dxa" w:w="80"/>
              <w:right w:type="dxa" w:w="110"/>
            </w:tcMar>
          </w:tcPr>
          <w:p>
            <w:r>
              <w:rPr>
                <w:rFonts w:ascii="Arial" w:cs="Arial" w:eastAsia="Arial" w:hAnsi="Arial"/>
                <w:b w:val="false"/>
                <w:bCs w:val="false"/>
                <w:color w:val="1A1A1A"/>
                <w:sz w:val="20"/>
                <w:szCs w:val="20"/>
              </w:rPr>
              <w:t xml:space="preserve">Data owner</w:t>
            </w:r>
          </w:p>
        </w:tc>
      </w:tr>
      <w:tr>
        <w:tc>
          <w:tcPr>
            <w:tcW w:type="dxa" w:w="25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Someone feels obliged to give</w:t>
            </w:r>
          </w:p>
        </w:tc>
        <w:tc>
          <w:tcPr>
            <w:tcW w:type="dxa" w:w="12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Medium</w:t>
            </w:r>
          </w:p>
        </w:tc>
        <w:tc>
          <w:tcPr>
            <w:tcW w:type="dxa" w:w="41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Pledge of zero is allowed and stated in the rules, no team or service totals published.</w:t>
            </w:r>
          </w:p>
        </w:tc>
        <w:tc>
          <w:tcPr>
            <w:tcW w:type="dxa" w:w="15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Lead</w:t>
            </w:r>
          </w:p>
        </w:tc>
      </w:tr>
      <w:tr>
        <w:tc>
          <w:tcPr>
            <w:tcW w:type="dxa" w:w="2500"/>
            <w:tcMar>
              <w:top w:type="dxa" w:w="80"/>
              <w:left w:type="dxa" w:w="110"/>
              <w:bottom w:type="dxa" w:w="80"/>
              <w:right w:type="dxa" w:w="110"/>
            </w:tcMar>
          </w:tcPr>
          <w:p>
            <w:r>
              <w:rPr>
                <w:rFonts w:ascii="Arial" w:cs="Arial" w:eastAsia="Arial" w:hAnsi="Arial"/>
                <w:b w:val="false"/>
                <w:bCs w:val="false"/>
                <w:color w:val="1A1A1A"/>
                <w:sz w:val="20"/>
                <w:szCs w:val="20"/>
              </w:rPr>
              <w:t xml:space="preserve">Match abandoned</w:t>
            </w:r>
          </w:p>
        </w:tc>
        <w:tc>
          <w:tcPr>
            <w:tcW w:type="dxa" w:w="1200"/>
            <w:tcMar>
              <w:top w:type="dxa" w:w="80"/>
              <w:left w:type="dxa" w:w="110"/>
              <w:bottom w:type="dxa" w:w="80"/>
              <w:right w:type="dxa" w:w="110"/>
            </w:tcMar>
          </w:tcPr>
          <w:p>
            <w:r>
              <w:rPr>
                <w:rFonts w:ascii="Arial" w:cs="Arial" w:eastAsia="Arial" w:hAnsi="Arial"/>
                <w:b w:val="false"/>
                <w:bCs w:val="false"/>
                <w:color w:val="1A1A1A"/>
                <w:sz w:val="20"/>
                <w:szCs w:val="20"/>
              </w:rPr>
              <w:t xml:space="preserve">Low</w:t>
            </w:r>
          </w:p>
        </w:tc>
        <w:tc>
          <w:tcPr>
            <w:tcW w:type="dxa" w:w="4160"/>
            <w:tcMar>
              <w:top w:type="dxa" w:w="80"/>
              <w:left w:type="dxa" w:w="110"/>
              <w:bottom w:type="dxa" w:w="80"/>
              <w:right w:type="dxa" w:w="110"/>
            </w:tcMar>
          </w:tcPr>
          <w:p>
            <w:r>
              <w:rPr>
                <w:rFonts w:ascii="Arial" w:cs="Arial" w:eastAsia="Arial" w:hAnsi="Arial"/>
                <w:b w:val="false"/>
                <w:bCs w:val="false"/>
                <w:color w:val="1A1A1A"/>
                <w:sz w:val="20"/>
                <w:szCs w:val="20"/>
              </w:rPr>
              <w:t xml:space="preserve">Table void, pledges still donated, rerun on the rearranged date as stated in the rules.</w:t>
            </w:r>
          </w:p>
        </w:tc>
        <w:tc>
          <w:tcPr>
            <w:tcW w:type="dxa" w:w="1500"/>
            <w:tcMar>
              <w:top w:type="dxa" w:w="80"/>
              <w:left w:type="dxa" w:w="110"/>
              <w:bottom w:type="dxa" w:w="80"/>
              <w:right w:type="dxa" w:w="110"/>
            </w:tcMar>
          </w:tcPr>
          <w:p>
            <w:r>
              <w:rPr>
                <w:rFonts w:ascii="Arial" w:cs="Arial" w:eastAsia="Arial" w:hAnsi="Arial"/>
                <w:b w:val="false"/>
                <w:bCs w:val="false"/>
                <w:color w:val="1A1A1A"/>
                <w:sz w:val="20"/>
                <w:szCs w:val="20"/>
              </w:rPr>
              <w:t xml:space="preserve">Lead</w:t>
            </w:r>
          </w:p>
        </w:tc>
      </w:tr>
    </w:tbl>
    <w:p>
      <w:pPr>
        <w:pStyle w:val="Heading1"/>
        <w:spacing w:after="140" w:before="320"/>
      </w:pPr>
      <w:r>
        <w:rPr>
          <w:rFonts w:ascii="Arial" w:cs="Arial" w:eastAsia="Arial" w:hAnsi="Arial"/>
          <w:b/>
          <w:bCs/>
          <w:color w:val="1B2E52"/>
          <w:sz w:val="28"/>
          <w:szCs w:val="28"/>
        </w:rPr>
        <w:t xml:space="preserve">8. After the event</w:t>
      </w:r>
    </w:p>
    <w:p>
      <w:pPr>
        <w:pStyle w:val="ListParagraph"/>
        <w:numPr>
          <w:ilvl w:val="0"/>
          <w:numId w:val="1"/>
        </w:numPr>
        <w:spacing w:after="70"/>
      </w:pPr>
      <w:r>
        <w:rPr>
          <w:rFonts w:ascii="Arial" w:cs="Arial" w:eastAsia="Arial" w:hAnsi="Arial"/>
          <w:color w:val="1A1A1A"/>
          <w:sz w:val="21"/>
          <w:szCs w:val="21"/>
        </w:rPr>
        <w:t xml:space="preserve">Report to staff within seven days: amount raised, number of entries, participation rate by service, and the winners.</w:t>
      </w:r>
    </w:p>
    <w:p>
      <w:pPr>
        <w:pStyle w:val="ListParagraph"/>
        <w:numPr>
          <w:ilvl w:val="0"/>
          <w:numId w:val="1"/>
        </w:numPr>
        <w:spacing w:after="70"/>
      </w:pPr>
      <w:r>
        <w:rPr>
          <w:rFonts w:ascii="Arial" w:cs="Arial" w:eastAsia="Arial" w:hAnsi="Arial"/>
          <w:color w:val="1A1A1A"/>
          <w:sz w:val="21"/>
          <w:szCs w:val="21"/>
        </w:rPr>
        <w:t xml:space="preserve">Send CRY the remittance with the event name so it is credited correctly, and share the total with them for their acknowledgement.</w:t>
      </w:r>
    </w:p>
    <w:p>
      <w:pPr>
        <w:pStyle w:val="ListParagraph"/>
        <w:numPr>
          <w:ilvl w:val="0"/>
          <w:numId w:val="1"/>
        </w:numPr>
        <w:spacing w:after="70"/>
      </w:pPr>
      <w:r>
        <w:rPr>
          <w:rFonts w:ascii="Arial" w:cs="Arial" w:eastAsia="Arial" w:hAnsi="Arial"/>
          <w:color w:val="1A1A1A"/>
          <w:sz w:val="21"/>
          <w:szCs w:val="21"/>
        </w:rPr>
        <w:t xml:space="preserve">Record the gross amount raised in the fundraising log for the annual report.</w:t>
      </w:r>
    </w:p>
    <w:p>
      <w:pPr>
        <w:pStyle w:val="ListParagraph"/>
        <w:numPr>
          <w:ilvl w:val="0"/>
          <w:numId w:val="1"/>
        </w:numPr>
        <w:spacing w:after="70"/>
      </w:pPr>
      <w:r>
        <w:rPr>
          <w:rFonts w:ascii="Arial" w:cs="Arial" w:eastAsia="Arial" w:hAnsi="Arial"/>
          <w:color w:val="1A1A1A"/>
          <w:sz w:val="21"/>
          <w:szCs w:val="21"/>
        </w:rPr>
        <w:t xml:space="preserve">Hold a fifteen minute debrief and note what to change next time.</w:t>
      </w:r>
    </w:p>
    <w:p>
      <w:r>
        <w:br w:type="page"/>
      </w:r>
    </w:p>
    <w:p>
      <w:pPr>
        <w:pStyle w:val="Heading1"/>
        <w:spacing w:after="140" w:before="320"/>
      </w:pPr>
      <w:r>
        <w:rPr>
          <w:rFonts w:ascii="Arial" w:cs="Arial" w:eastAsia="Arial" w:hAnsi="Arial"/>
          <w:b/>
          <w:bCs/>
          <w:color w:val="1B2E52"/>
          <w:sz w:val="28"/>
          <w:szCs w:val="28"/>
        </w:rPr>
        <w:t xml:space="preserve">Appendix A: paper entry slip</w:t>
      </w:r>
    </w:p>
    <w:p>
      <w:pPr>
        <w:spacing w:after="120"/>
      </w:pPr>
      <w:r>
        <w:rPr>
          <w:rFonts w:ascii="Arial" w:cs="Arial" w:eastAsia="Arial" w:hAnsi="Arial"/>
          <w:b w:val="false"/>
          <w:bCs w:val="false"/>
          <w:i w:val="false"/>
          <w:iCs w:val="false"/>
          <w:color w:val="1A1A1A"/>
          <w:sz w:val="21"/>
          <w:szCs w:val="21"/>
        </w:rPr>
        <w:t xml:space="preserve">For anyone without a phone. Complete, hand in at the desk before 1.45pm, and the desk enters it into the app on their behalf. Retain the slips until the reconciliation is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Field</w:t>
            </w:r>
          </w:p>
        </w:tc>
        <w:tc>
          <w:tcPr>
            <w:tcW w:type="dxa" w:w="57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Entry</w:t>
            </w:r>
          </w:p>
        </w:tc>
      </w:tr>
      <w:tr>
        <w:tc>
          <w:tcPr>
            <w:tcW w:type="dxa" w:w="3600"/>
            <w:tcMar>
              <w:top w:type="dxa" w:w="80"/>
              <w:left w:type="dxa" w:w="110"/>
              <w:bottom w:type="dxa" w:w="80"/>
              <w:right w:type="dxa" w:w="110"/>
            </w:tcMar>
          </w:tcPr>
          <w:p>
            <w:r>
              <w:rPr>
                <w:rFonts w:ascii="Arial" w:cs="Arial" w:eastAsia="Arial" w:hAnsi="Arial"/>
                <w:b w:val="false"/>
                <w:bCs w:val="false"/>
                <w:color w:val="1A1A1A"/>
                <w:sz w:val="20"/>
                <w:szCs w:val="20"/>
              </w:rPr>
              <w:t xml:space="preserve">Name</w:t>
            </w:r>
          </w:p>
        </w:tc>
        <w:tc>
          <w:tcPr>
            <w:tcW w:type="dxa" w:w="5760"/>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Service or team</w:t>
            </w:r>
          </w:p>
        </w:tc>
        <w:tc>
          <w:tcPr>
            <w:tcW w:type="dxa" w:w="57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tcMar>
              <w:top w:type="dxa" w:w="80"/>
              <w:left w:type="dxa" w:w="110"/>
              <w:bottom w:type="dxa" w:w="80"/>
              <w:right w:type="dxa" w:w="110"/>
            </w:tcMar>
          </w:tcPr>
          <w:p>
            <w:r>
              <w:rPr>
                <w:rFonts w:ascii="Arial" w:cs="Arial" w:eastAsia="Arial" w:hAnsi="Arial"/>
                <w:b w:val="false"/>
                <w:bCs w:val="false"/>
                <w:color w:val="1A1A1A"/>
                <w:sz w:val="20"/>
                <w:szCs w:val="20"/>
              </w:rPr>
              <w:t xml:space="preserve">Predicted score, Supported Living</w:t>
            </w:r>
          </w:p>
        </w:tc>
        <w:tc>
          <w:tcPr>
            <w:tcW w:type="dxa" w:w="5760"/>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Predicted score, Residential</w:t>
            </w:r>
          </w:p>
        </w:tc>
        <w:tc>
          <w:tcPr>
            <w:tcW w:type="dxa" w:w="57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tcMar>
              <w:top w:type="dxa" w:w="80"/>
              <w:left w:type="dxa" w:w="110"/>
              <w:bottom w:type="dxa" w:w="80"/>
              <w:right w:type="dxa" w:w="110"/>
            </w:tcMar>
          </w:tcPr>
          <w:p>
            <w:r>
              <w:rPr>
                <w:rFonts w:ascii="Arial" w:cs="Arial" w:eastAsia="Arial" w:hAnsi="Arial"/>
                <w:b w:val="false"/>
                <w:bCs w:val="false"/>
                <w:color w:val="1A1A1A"/>
                <w:sz w:val="20"/>
                <w:szCs w:val="20"/>
              </w:rPr>
              <w:t xml:space="preserve">First goalscorer, optional</w:t>
            </w:r>
          </w:p>
        </w:tc>
        <w:tc>
          <w:tcPr>
            <w:tcW w:type="dxa" w:w="5760"/>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Pledge amount</w:t>
            </w:r>
          </w:p>
        </w:tc>
        <w:tc>
          <w:tcPr>
            <w:tcW w:type="dxa" w:w="57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tcMar>
              <w:top w:type="dxa" w:w="80"/>
              <w:left w:type="dxa" w:w="110"/>
              <w:bottom w:type="dxa" w:w="80"/>
              <w:right w:type="dxa" w:w="110"/>
            </w:tcMar>
          </w:tcPr>
          <w:p>
            <w:r>
              <w:rPr>
                <w:rFonts w:ascii="Arial" w:cs="Arial" w:eastAsia="Arial" w:hAnsi="Arial"/>
                <w:b w:val="false"/>
                <w:bCs w:val="false"/>
                <w:color w:val="1A1A1A"/>
                <w:sz w:val="20"/>
                <w:szCs w:val="20"/>
              </w:rPr>
              <w:t xml:space="preserve">How paid, cash, card or CRY page</w:t>
            </w:r>
          </w:p>
        </w:tc>
        <w:tc>
          <w:tcPr>
            <w:tcW w:type="dxa" w:w="5760"/>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Taken by, initials and time</w:t>
            </w:r>
          </w:p>
        </w:tc>
        <w:tc>
          <w:tcPr>
            <w:tcW w:type="dxa" w:w="57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bl>
    <w:p>
      <w:pPr>
        <w:spacing w:after="200"/>
      </w:pPr>
      <w:r>
        <w:rPr>
          <w:rFonts w:ascii="Arial" w:cs="Arial" w:eastAsia="Arial" w:hAnsi="Arial"/>
          <w:b w:val="false"/>
          <w:bCs w:val="false"/>
          <w:i w:val="false"/>
          <w:iCs w:val="false"/>
          <w:color w:val="1A1A1A"/>
          <w:sz w:val="21"/>
          <w:szCs w:val="21"/>
        </w:rPr>
        <w:t xml:space="preserve"/>
      </w:r>
    </w:p>
    <w:p>
      <w:pPr>
        <w:spacing w:after="120"/>
      </w:pPr>
      <w:r>
        <w:rPr>
          <w:rFonts w:ascii="Arial" w:cs="Arial" w:eastAsia="Arial" w:hAnsi="Arial"/>
          <w:b w:val="false"/>
          <w:bCs w:val="false"/>
          <w:i/>
          <w:iCs/>
          <w:color w:val="1A1A1A"/>
          <w:sz w:val="18"/>
          <w:szCs w:val="18"/>
        </w:rPr>
        <w:t xml:space="preserve">I understand this is a free to enter prediction game with no cash prize, that my pledge is a voluntary donation to Cardiac Risk in the Young, and that my name, prediction and pledge will appear on a table visible to other participants.</w:t>
      </w:r>
    </w:p>
    <w:p>
      <w:pPr>
        <w:spacing w:after="120"/>
      </w:pPr>
      <w:r>
        <w:rPr>
          <w:rFonts w:ascii="Arial" w:cs="Arial" w:eastAsia="Arial" w:hAnsi="Arial"/>
          <w:b w:val="false"/>
          <w:bCs w:val="false"/>
          <w:i w:val="false"/>
          <w:iCs w:val="false"/>
          <w:color w:val="1A1A1A"/>
          <w:sz w:val="20"/>
          <w:szCs w:val="20"/>
        </w:rPr>
        <w:t xml:space="preserve">Signature: ............................................    Date: ....................</w:t>
      </w:r>
    </w:p>
    <w:p>
      <w:pPr>
        <w:pStyle w:val="Heading1"/>
        <w:spacing w:after="140" w:before="320"/>
      </w:pPr>
      <w:r>
        <w:rPr>
          <w:rFonts w:ascii="Arial" w:cs="Arial" w:eastAsia="Arial" w:hAnsi="Arial"/>
          <w:b/>
          <w:bCs/>
          <w:color w:val="1B2E52"/>
          <w:sz w:val="28"/>
          <w:szCs w:val="28"/>
        </w:rPr>
        <w:t xml:space="preserve">Appendix B: data deletion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Item</w:t>
            </w:r>
          </w:p>
        </w:tc>
        <w:tc>
          <w:tcPr>
            <w:tcW w:type="dxa" w:w="57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Record</w:t>
            </w:r>
          </w:p>
        </w:tc>
      </w:tr>
      <w:tr>
        <w:tc>
          <w:tcPr>
            <w:tcW w:type="dxa" w:w="3600"/>
            <w:tcMar>
              <w:top w:type="dxa" w:w="80"/>
              <w:left w:type="dxa" w:w="110"/>
              <w:bottom w:type="dxa" w:w="80"/>
              <w:right w:type="dxa" w:w="110"/>
            </w:tcMar>
          </w:tcPr>
          <w:p>
            <w:r>
              <w:rPr>
                <w:rFonts w:ascii="Arial" w:cs="Arial" w:eastAsia="Arial" w:hAnsi="Arial"/>
                <w:b w:val="false"/>
                <w:bCs w:val="false"/>
                <w:color w:val="1A1A1A"/>
                <w:sz w:val="20"/>
                <w:szCs w:val="20"/>
              </w:rPr>
              <w:t xml:space="preserve">Date entries deleted from the app</w:t>
            </w:r>
          </w:p>
        </w:tc>
        <w:tc>
          <w:tcPr>
            <w:tcW w:type="dxa" w:w="5760"/>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Paper slips destroyed, date and method</w:t>
            </w:r>
          </w:p>
        </w:tc>
        <w:tc>
          <w:tcPr>
            <w:tcW w:type="dxa" w:w="57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tcMar>
              <w:top w:type="dxa" w:w="80"/>
              <w:left w:type="dxa" w:w="110"/>
              <w:bottom w:type="dxa" w:w="80"/>
              <w:right w:type="dxa" w:w="110"/>
            </w:tcMar>
          </w:tcPr>
          <w:p>
            <w:r>
              <w:rPr>
                <w:rFonts w:ascii="Arial" w:cs="Arial" w:eastAsia="Arial" w:hAnsi="Arial"/>
                <w:b w:val="false"/>
                <w:bCs w:val="false"/>
                <w:color w:val="1A1A1A"/>
                <w:sz w:val="20"/>
                <w:szCs w:val="20"/>
              </w:rPr>
              <w:t xml:space="preserve">Totals retained, amount raised and entry count</w:t>
            </w:r>
          </w:p>
        </w:tc>
        <w:tc>
          <w:tcPr>
            <w:tcW w:type="dxa" w:w="5760"/>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Deleted by, name and signature</w:t>
            </w:r>
          </w:p>
        </w:tc>
        <w:tc>
          <w:tcPr>
            <w:tcW w:type="dxa" w:w="57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r>
        <w:tc>
          <w:tcPr>
            <w:tcW w:type="dxa" w:w="3600"/>
            <w:tcMar>
              <w:top w:type="dxa" w:w="80"/>
              <w:left w:type="dxa" w:w="110"/>
              <w:bottom w:type="dxa" w:w="80"/>
              <w:right w:type="dxa" w:w="110"/>
            </w:tcMar>
          </w:tcPr>
          <w:p>
            <w:r>
              <w:rPr>
                <w:rFonts w:ascii="Arial" w:cs="Arial" w:eastAsia="Arial" w:hAnsi="Arial"/>
                <w:b w:val="false"/>
                <w:bCs w:val="false"/>
                <w:color w:val="1A1A1A"/>
                <w:sz w:val="20"/>
                <w:szCs w:val="20"/>
              </w:rPr>
              <w:t xml:space="preserve">Countersigned by</w:t>
            </w:r>
          </w:p>
        </w:tc>
        <w:tc>
          <w:tcPr>
            <w:tcW w:type="dxa" w:w="5760"/>
            <w:tcMar>
              <w:top w:type="dxa" w:w="80"/>
              <w:left w:type="dxa" w:w="110"/>
              <w:bottom w:type="dxa" w:w="80"/>
              <w:right w:type="dxa" w:w="110"/>
            </w:tcMar>
          </w:tcPr>
          <w:p>
            <w:r>
              <w:rPr>
                <w:rFonts w:ascii="Arial" w:cs="Arial" w:eastAsia="Arial" w:hAnsi="Arial"/>
                <w:b w:val="false"/>
                <w:bCs w:val="false"/>
                <w:color w:val="1A1A1A"/>
                <w:sz w:val="20"/>
                <w:szCs w:val="20"/>
              </w:rPr>
              <w:t xml:space="preserve"/>
            </w:r>
          </w:p>
        </w:tc>
      </w:tr>
    </w:tbl>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Predictor Organiser Pack</dc:title>
  <dc:creator>Aldanat Care Football Club</dc:creator>
  <cp:lastModifiedBy>Un-named</cp:lastModifiedBy>
  <cp:revision>1</cp:revision>
  <dcterms:created xsi:type="dcterms:W3CDTF">2026-08-22T08:51:25.723Z</dcterms:created>
  <dcterms:modified xsi:type="dcterms:W3CDTF">2026-08-22T08:51:25.723Z</dcterms:modified>
</cp:coreProperties>
</file>

<file path=docProps/custom.xml><?xml version="1.0" encoding="utf-8"?>
<Properties xmlns="http://schemas.openxmlformats.org/officeDocument/2006/custom-properties" xmlns:vt="http://schemas.openxmlformats.org/officeDocument/2006/docPropsVTypes"/>
</file>