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julien-porschen"/>
    <w:p>
      <w:pPr>
        <w:pStyle w:val="Heading1"/>
      </w:pPr>
      <w:r>
        <w:t xml:space="preserve">Julien Porschen</w:t>
      </w:r>
    </w:p>
    <w:p>
      <w:pPr>
        <w:pStyle w:val="FirstParagraph"/>
      </w:pPr>
      <w:r>
        <w:t xml:space="preserve">Localisation : Luxembourg</w:t>
      </w:r>
      <w:r>
        <w:br/>
      </w:r>
      <w:r>
        <w:t xml:space="preserve">Téléphone : +352 691 458 566</w:t>
      </w:r>
      <w:r>
        <w:br/>
      </w:r>
      <w:r>
        <w:t xml:space="preserve">E-mail : julien@disruptiveminds.eu</w:t>
      </w:r>
      <w:r>
        <w:br/>
      </w:r>
      <w:r>
        <w:t xml:space="preserve">LinkedIn : https://www.linkedin.com/in/julienporschen/</w:t>
      </w:r>
    </w:p>
    <w:bookmarkStart w:id="20" w:name="X72ce254a3ab925bc6da61fd9273268e31a0d365"/>
    <w:p>
      <w:pPr>
        <w:pStyle w:val="Heading2"/>
      </w:pPr>
      <w:r>
        <w:t xml:space="preserve">Expert Infrastructures Linux &amp; Virtualisation</w:t>
      </w:r>
    </w:p>
    <w:p>
      <w:pPr>
        <w:pStyle w:val="BlockText"/>
      </w:pPr>
      <w:r>
        <w:t xml:space="preserve">Plus de</w:t>
      </w:r>
      <w:r>
        <w:t xml:space="preserve"> </w:t>
      </w:r>
      <w:r>
        <w:rPr>
          <w:b/>
          <w:bCs/>
        </w:rPr>
        <w:t xml:space="preserve">20 ans de pratique de terrain</w:t>
      </w:r>
      <w:r>
        <w:t xml:space="preserve"> </w:t>
      </w:r>
      <w:r>
        <w:t xml:space="preserve">sur les infrastructures critiques.</w:t>
      </w:r>
      <w:r>
        <w:br/>
      </w:r>
      <w:r>
        <w:t xml:space="preserve">Mon quotidien :</w:t>
      </w:r>
      <w:r>
        <w:t xml:space="preserve"> </w:t>
      </w:r>
      <w:r>
        <w:rPr>
          <w:b/>
          <w:bCs/>
        </w:rPr>
        <w:t xml:space="preserve">concevoir des architectures robustes</w:t>
      </w:r>
      <w:r>
        <w:t xml:space="preserve">, automatiser ce qui peut l’être, et intervenir quand le système a besoin d’être stabilisé.</w:t>
      </w:r>
    </w:p>
    <w:p>
      <w:r>
        <w:pict>
          <v:rect style="width:0;height:1.5pt" o:hralign="center" o:hrstd="t" o:hr="t"/>
        </w:pict>
      </w:r>
    </w:p>
    <w:bookmarkEnd w:id="20"/>
    <w:bookmarkStart w:id="21" w:name="profil"/>
    <w:p>
      <w:pPr>
        <w:pStyle w:val="Heading2"/>
      </w:pPr>
      <w:r>
        <w:t xml:space="preserve">Profil</w:t>
      </w:r>
    </w:p>
    <w:p>
      <w:pPr>
        <w:pStyle w:val="FirstParagraph"/>
      </w:pPr>
      <w:r>
        <w:t xml:space="preserve">Ingénieur système dans l’âme, je me définis avant tout comme un</w:t>
      </w:r>
      <w:r>
        <w:t xml:space="preserve"> </w:t>
      </w:r>
      <w:r>
        <w:rPr>
          <w:b/>
          <w:bCs/>
        </w:rPr>
        <w:t xml:space="preserve">couteau suisse de l’infrastructure</w:t>
      </w:r>
      <w:r>
        <w:t xml:space="preserve">. Mon parcours m’a amené à piloter des environnements exigeants et hautement régulés (</w:t>
      </w:r>
      <w:r>
        <w:rPr>
          <w:b/>
          <w:bCs/>
        </w:rPr>
        <w:t xml:space="preserve">Banque, PSF, Secteur Public</w:t>
      </w:r>
      <w:r>
        <w:t xml:space="preserve">), avec toujours le même objectif : faire simple et fiable.</w:t>
      </w:r>
    </w:p>
    <w:p>
      <w:pPr>
        <w:pStyle w:val="BodyText"/>
      </w:pPr>
      <w:r>
        <w:t xml:space="preserve">Qu’il s’agisse de poser les bases d’une nouvelle architecture (</w:t>
      </w:r>
      <w:r>
        <w:rPr>
          <w:b/>
          <w:bCs/>
        </w:rPr>
        <w:t xml:space="preserve">Linux, Virtualisation, Cloud</w:t>
      </w:r>
      <w:r>
        <w:t xml:space="preserve">), d’</w:t>
      </w:r>
      <w:r>
        <w:rPr>
          <w:b/>
          <w:bCs/>
        </w:rPr>
        <w:t xml:space="preserve">automatiser des déploiements de masse</w:t>
      </w:r>
      <w:r>
        <w:t xml:space="preserve"> </w:t>
      </w:r>
      <w:r>
        <w:t xml:space="preserve">ou de</w:t>
      </w:r>
      <w:r>
        <w:t xml:space="preserve"> </w:t>
      </w:r>
      <w:r>
        <w:rPr>
          <w:b/>
          <w:bCs/>
        </w:rPr>
        <w:t xml:space="preserve">résoudre des crises de production</w:t>
      </w:r>
      <w:r>
        <w:t xml:space="preserve">, j’aime m’adapter rapidement aux réalités techniques de chaque entreprise.</w:t>
      </w:r>
    </w:p>
    <w:p>
      <w:pPr>
        <w:pStyle w:val="BodyText"/>
      </w:pPr>
      <w:r>
        <w:t xml:space="preserve">Ma philosophie de travail tient en quatre mots :</w:t>
      </w:r>
      <w:r>
        <w:t xml:space="preserve"> </w:t>
      </w:r>
      <w:r>
        <w:rPr>
          <w:b/>
          <w:bCs/>
        </w:rPr>
        <w:t xml:space="preserve">simplicité</w:t>
      </w:r>
      <w:r>
        <w:t xml:space="preserve">,</w:t>
      </w:r>
      <w:r>
        <w:t xml:space="preserve"> </w:t>
      </w:r>
      <w:r>
        <w:rPr>
          <w:b/>
          <w:bCs/>
        </w:rPr>
        <w:t xml:space="preserve">résilience</w:t>
      </w:r>
      <w:r>
        <w:t xml:space="preserve">,</w:t>
      </w:r>
      <w:r>
        <w:t xml:space="preserve"> </w:t>
      </w:r>
      <w:r>
        <w:rPr>
          <w:b/>
          <w:bCs/>
        </w:rPr>
        <w:t xml:space="preserve">automatisation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partage de connaissances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31" w:name="expérience-professionnelle"/>
    <w:p>
      <w:pPr>
        <w:pStyle w:val="Heading2"/>
      </w:pPr>
      <w:r>
        <w:t xml:space="preserve">Expérience professionnelle</w:t>
      </w:r>
    </w:p>
    <w:bookmarkStart w:id="22" w:name="février-2026-présent"/>
    <w:p>
      <w:pPr>
        <w:pStyle w:val="Heading3"/>
      </w:pPr>
      <w:r>
        <w:t xml:space="preserve">Février 2026 – Présent</w:t>
      </w:r>
    </w:p>
    <w:p>
      <w:pPr>
        <w:pStyle w:val="FirstParagraph"/>
      </w:pPr>
      <w:r>
        <w:rPr>
          <w:b/>
          <w:bCs/>
        </w:rPr>
        <w:t xml:space="preserve">Disruptive Minds</w:t>
      </w:r>
      <w:r>
        <w:t xml:space="preserve"> </w:t>
      </w:r>
      <w:r>
        <w:t xml:space="preserve">– Co-fondateur &amp; Responsable Infrastructures</w:t>
      </w:r>
      <w:r>
        <w:br/>
      </w:r>
      <w:r>
        <w:t xml:space="preserve">Luxembourg</w:t>
      </w:r>
    </w:p>
    <w:p>
      <w:pPr>
        <w:pStyle w:val="Compact"/>
        <w:numPr>
          <w:ilvl w:val="0"/>
          <w:numId w:val="1001"/>
        </w:numPr>
      </w:pPr>
      <w:r>
        <w:t xml:space="preserve">Conception et livraison d’architectures de virtualisation open-source</w:t>
      </w:r>
    </w:p>
    <w:p>
      <w:pPr>
        <w:pStyle w:val="Compact"/>
        <w:numPr>
          <w:ilvl w:val="0"/>
          <w:numId w:val="1001"/>
        </w:numPr>
      </w:pPr>
      <w:r>
        <w:t xml:space="preserve">Accompagnement des organisations dans la migration de VMware vers</w:t>
      </w:r>
      <w:r>
        <w:t xml:space="preserve"> </w:t>
      </w:r>
      <w:r>
        <w:rPr>
          <w:b/>
          <w:bCs/>
        </w:rPr>
        <w:t xml:space="preserve">XCP-ng / Xen Orchestra</w:t>
      </w:r>
    </w:p>
    <w:p>
      <w:pPr>
        <w:pStyle w:val="Compact"/>
        <w:numPr>
          <w:ilvl w:val="0"/>
          <w:numId w:val="1001"/>
        </w:numPr>
      </w:pPr>
      <w:r>
        <w:t xml:space="preserve">Définition de la stratégie d’infrastructure, des standards et de la gouvernance technique</w:t>
      </w:r>
    </w:p>
    <w:p>
      <w:pPr>
        <w:pStyle w:val="Compact"/>
        <w:numPr>
          <w:ilvl w:val="0"/>
          <w:numId w:val="1001"/>
        </w:numPr>
      </w:pPr>
      <w:r>
        <w:t xml:space="preserve">Conception de plateformes résilientes, automatisées et économiquement optimisées</w:t>
      </w:r>
    </w:p>
    <w:p>
      <w:pPr>
        <w:pStyle w:val="Compact"/>
        <w:numPr>
          <w:ilvl w:val="0"/>
          <w:numId w:val="1001"/>
        </w:numPr>
      </w:pPr>
      <w:r>
        <w:t xml:space="preserve">Rôle de conseil sur la modernisation et la durabilité des infrastructures</w:t>
      </w:r>
    </w:p>
    <w:bookmarkEnd w:id="22"/>
    <w:bookmarkStart w:id="23" w:name="juin-2025-janvier-2026"/>
    <w:p>
      <w:pPr>
        <w:pStyle w:val="Heading3"/>
      </w:pPr>
      <w:r>
        <w:t xml:space="preserve">Juin 2025 – Janvier 2026</w:t>
      </w:r>
    </w:p>
    <w:p>
      <w:pPr>
        <w:pStyle w:val="FirstParagraph"/>
      </w:pPr>
      <w:r>
        <w:rPr>
          <w:b/>
          <w:bCs/>
        </w:rPr>
        <w:t xml:space="preserve">R&amp;D &amp; Prototypage d’Architecture</w:t>
      </w:r>
      <w:r>
        <w:t xml:space="preserve"> </w:t>
      </w:r>
      <w:r>
        <w:t xml:space="preserve">– Indépendant / Freelance</w:t>
      </w:r>
      <w:r>
        <w:t xml:space="preserve"> </w:t>
      </w:r>
      <w:r>
        <w:t xml:space="preserve">Luxembourg</w:t>
      </w:r>
    </w:p>
    <w:p>
      <w:pPr>
        <w:pStyle w:val="Compact"/>
        <w:numPr>
          <w:ilvl w:val="0"/>
          <w:numId w:val="1002"/>
        </w:numPr>
      </w:pPr>
      <w:r>
        <w:t xml:space="preserve">Immersion complète dans l’écosystème XCP-ng / Xen Orchestra</w:t>
      </w:r>
    </w:p>
    <w:p>
      <w:pPr>
        <w:pStyle w:val="Compact"/>
        <w:numPr>
          <w:ilvl w:val="0"/>
          <w:numId w:val="1002"/>
        </w:numPr>
      </w:pPr>
      <w:r>
        <w:t xml:space="preserve">Conception et tests de</w:t>
      </w:r>
      <w:r>
        <w:t xml:space="preserve"> </w:t>
      </w:r>
      <w:r>
        <w:rPr>
          <w:b/>
          <w:bCs/>
        </w:rPr>
        <w:t xml:space="preserve">scénarios de migration depuis VMware vers XCP-ng</w:t>
      </w:r>
    </w:p>
    <w:p>
      <w:pPr>
        <w:pStyle w:val="Compact"/>
        <w:numPr>
          <w:ilvl w:val="0"/>
          <w:numId w:val="1002"/>
        </w:numPr>
      </w:pPr>
      <w:r>
        <w:t xml:space="preserve">Automatisation, prototypage d’architectures et bonnes pratiques opérationnelles</w:t>
      </w:r>
    </w:p>
    <w:p>
      <w:pPr>
        <w:pStyle w:val="Compact"/>
        <w:numPr>
          <w:ilvl w:val="0"/>
          <w:numId w:val="1002"/>
        </w:numPr>
      </w:pPr>
      <w:r>
        <w:t xml:space="preserve">Préparation des offres de services et de la stratégie de mise sur le marché</w:t>
      </w:r>
    </w:p>
    <w:bookmarkEnd w:id="23"/>
    <w:bookmarkStart w:id="24" w:name="avril-2024-mai-2025"/>
    <w:p>
      <w:pPr>
        <w:pStyle w:val="Heading3"/>
      </w:pPr>
      <w:r>
        <w:t xml:space="preserve">Avril 2024 – Mai 2025</w:t>
      </w:r>
    </w:p>
    <w:p>
      <w:pPr>
        <w:pStyle w:val="FirstParagraph"/>
      </w:pPr>
      <w:r>
        <w:rPr>
          <w:b/>
          <w:bCs/>
        </w:rPr>
        <w:t xml:space="preserve">Nøelse</w:t>
      </w:r>
      <w:r>
        <w:t xml:space="preserve"> </w:t>
      </w:r>
      <w:r>
        <w:t xml:space="preserve">– Group Infrastructure Director</w:t>
      </w:r>
      <w:r>
        <w:br/>
      </w:r>
      <w:r>
        <w:t xml:space="preserve">Luxembourg</w:t>
      </w:r>
    </w:p>
    <w:p>
      <w:pPr>
        <w:pStyle w:val="Compact"/>
        <w:numPr>
          <w:ilvl w:val="0"/>
          <w:numId w:val="1003"/>
        </w:numPr>
      </w:pPr>
      <w:r>
        <w:t xml:space="preserve">Direction de la stratégie d’infrastructure du groupe et de la gouvernance technique</w:t>
      </w:r>
    </w:p>
    <w:p>
      <w:pPr>
        <w:pStyle w:val="Compact"/>
        <w:numPr>
          <w:ilvl w:val="0"/>
          <w:numId w:val="1003"/>
        </w:numPr>
      </w:pPr>
      <w:r>
        <w:t xml:space="preserve">Définition des standards techniques et de sécurité</w:t>
      </w:r>
    </w:p>
    <w:p>
      <w:pPr>
        <w:pStyle w:val="Compact"/>
        <w:numPr>
          <w:ilvl w:val="0"/>
          <w:numId w:val="1003"/>
        </w:numPr>
      </w:pPr>
      <w:r>
        <w:t xml:space="preserve">Supervision des plateformes multi-environnements</w:t>
      </w:r>
    </w:p>
    <w:p>
      <w:pPr>
        <w:pStyle w:val="Compact"/>
        <w:numPr>
          <w:ilvl w:val="0"/>
          <w:numId w:val="1003"/>
        </w:numPr>
      </w:pPr>
      <w:r>
        <w:t xml:space="preserve">Conception et déploiement d’une</w:t>
      </w:r>
      <w:r>
        <w:t xml:space="preserve"> </w:t>
      </w:r>
      <w:r>
        <w:rPr>
          <w:b/>
          <w:bCs/>
        </w:rPr>
        <w:t xml:space="preserve">plateforme de virtualisation XCP-ng / Xen Orchestra</w:t>
      </w:r>
    </w:p>
    <w:p>
      <w:pPr>
        <w:pStyle w:val="Compact"/>
        <w:numPr>
          <w:ilvl w:val="0"/>
          <w:numId w:val="1003"/>
        </w:numPr>
      </w:pPr>
      <w:r>
        <w:t xml:space="preserve">Direction de la sortie de l’écosystème VMware vers la</w:t>
      </w:r>
      <w:r>
        <w:t xml:space="preserve"> </w:t>
      </w:r>
      <w:r>
        <w:rPr>
          <w:b/>
          <w:bCs/>
        </w:rPr>
        <w:t xml:space="preserve">virtualisation open-source</w:t>
      </w:r>
    </w:p>
    <w:bookmarkEnd w:id="24"/>
    <w:bookmarkStart w:id="25" w:name="avril-2023-mars-2024"/>
    <w:p>
      <w:pPr>
        <w:pStyle w:val="Heading3"/>
      </w:pPr>
      <w:r>
        <w:t xml:space="preserve">Avril 2023 – Mars 2024</w:t>
      </w:r>
    </w:p>
    <w:p>
      <w:pPr>
        <w:pStyle w:val="FirstParagraph"/>
      </w:pPr>
      <w:r>
        <w:rPr>
          <w:b/>
          <w:bCs/>
        </w:rPr>
        <w:t xml:space="preserve">NSI Luxembourg (CEGEKA Group)</w:t>
      </w:r>
      <w:r>
        <w:t xml:space="preserve"> </w:t>
      </w:r>
      <w:r>
        <w:t xml:space="preserve">– Senior IT Consultant / System Engineer</w:t>
      </w:r>
      <w:r>
        <w:br/>
      </w:r>
      <w:r>
        <w:t xml:space="preserve">Luxembourg</w:t>
      </w:r>
    </w:p>
    <w:p>
      <w:pPr>
        <w:pStyle w:val="Compact"/>
        <w:numPr>
          <w:ilvl w:val="0"/>
          <w:numId w:val="1004"/>
        </w:numPr>
      </w:pPr>
      <w:r>
        <w:t xml:space="preserve">Fourniture de conseil sur les architectures systèmes et cloud</w:t>
      </w:r>
    </w:p>
    <w:p>
      <w:pPr>
        <w:pStyle w:val="Compact"/>
        <w:numPr>
          <w:ilvl w:val="0"/>
          <w:numId w:val="1004"/>
        </w:numPr>
      </w:pPr>
      <w:r>
        <w:t xml:space="preserve">Rôle de référence technique et de mentor</w:t>
      </w:r>
    </w:p>
    <w:p>
      <w:pPr>
        <w:pStyle w:val="Compact"/>
        <w:numPr>
          <w:ilvl w:val="0"/>
          <w:numId w:val="1004"/>
        </w:numPr>
      </w:pPr>
      <w:r>
        <w:t xml:space="preserve">Promotion des bonnes pratiques d’automatisation</w:t>
      </w:r>
    </w:p>
    <w:p>
      <w:pPr>
        <w:pStyle w:val="Compact"/>
        <w:numPr>
          <w:ilvl w:val="0"/>
          <w:numId w:val="1004"/>
        </w:numPr>
      </w:pPr>
      <w:r>
        <w:t xml:space="preserve">Construction d’un environnement de lab</w:t>
      </w:r>
      <w:r>
        <w:t xml:space="preserve"> </w:t>
      </w:r>
      <w:r>
        <w:rPr>
          <w:b/>
          <w:bCs/>
        </w:rPr>
        <w:t xml:space="preserve">XCP-ng / Xen Orchestra</w:t>
      </w:r>
    </w:p>
    <w:p>
      <w:pPr>
        <w:pStyle w:val="Compact"/>
        <w:numPr>
          <w:ilvl w:val="0"/>
          <w:numId w:val="1004"/>
        </w:numPr>
      </w:pPr>
      <w:r>
        <w:t xml:space="preserve">Réalisation de POC, tests de migration et montée en compétences des équipes</w:t>
      </w:r>
    </w:p>
    <w:bookmarkEnd w:id="25"/>
    <w:bookmarkStart w:id="26" w:name="juillet-2021-avril-2023"/>
    <w:p>
      <w:pPr>
        <w:pStyle w:val="Heading3"/>
      </w:pPr>
      <w:r>
        <w:t xml:space="preserve">Juillet 2021 – Avril 2023</w:t>
      </w:r>
    </w:p>
    <w:p>
      <w:pPr>
        <w:pStyle w:val="FirstParagraph"/>
      </w:pPr>
      <w:r>
        <w:rPr>
          <w:b/>
          <w:bCs/>
        </w:rPr>
        <w:t xml:space="preserve">Mangopay</w:t>
      </w:r>
      <w:r>
        <w:t xml:space="preserve"> </w:t>
      </w:r>
      <w:r>
        <w:t xml:space="preserve">– SysOps</w:t>
      </w:r>
      <w:r>
        <w:br/>
      </w:r>
      <w:r>
        <w:t xml:space="preserve">Luxembourg</w:t>
      </w:r>
    </w:p>
    <w:p>
      <w:pPr>
        <w:pStyle w:val="Compact"/>
        <w:numPr>
          <w:ilvl w:val="0"/>
          <w:numId w:val="1005"/>
        </w:numPr>
      </w:pPr>
      <w:r>
        <w:t xml:space="preserve">Direction de la migration Linux d’Ubuntu vers</w:t>
      </w:r>
      <w:r>
        <w:t xml:space="preserve"> </w:t>
      </w:r>
      <w:r>
        <w:rPr>
          <w:b/>
          <w:bCs/>
        </w:rPr>
        <w:t xml:space="preserve">Red Hat (Satellite, IPA)</w:t>
      </w:r>
    </w:p>
    <w:p>
      <w:pPr>
        <w:pStyle w:val="Compact"/>
        <w:numPr>
          <w:ilvl w:val="0"/>
          <w:numId w:val="1005"/>
        </w:numPr>
      </w:pPr>
      <w:r>
        <w:t xml:space="preserve">Centralisation de l’authentification via Azure Active Directory</w:t>
      </w:r>
    </w:p>
    <w:p>
      <w:pPr>
        <w:pStyle w:val="Compact"/>
        <w:numPr>
          <w:ilvl w:val="0"/>
          <w:numId w:val="1005"/>
        </w:numPr>
      </w:pPr>
      <w:r>
        <w:t xml:space="preserve">Conception de la landing zone</w:t>
      </w:r>
      <w:r>
        <w:t xml:space="preserve"> </w:t>
      </w:r>
      <w:r>
        <w:rPr>
          <w:b/>
          <w:bCs/>
        </w:rPr>
        <w:t xml:space="preserve">AWS</w:t>
      </w:r>
    </w:p>
    <w:p>
      <w:pPr>
        <w:pStyle w:val="Compact"/>
        <w:numPr>
          <w:ilvl w:val="0"/>
          <w:numId w:val="1005"/>
        </w:numPr>
      </w:pPr>
      <w:r>
        <w:t xml:space="preserve">Accompagnement de la transition on-premises vers le cloud</w:t>
      </w:r>
    </w:p>
    <w:bookmarkEnd w:id="26"/>
    <w:bookmarkStart w:id="27" w:name="janvier-2021-juin-2021"/>
    <w:p>
      <w:pPr>
        <w:pStyle w:val="Heading3"/>
      </w:pPr>
      <w:r>
        <w:t xml:space="preserve">Janvier 2021 – Juin 2021</w:t>
      </w:r>
    </w:p>
    <w:p>
      <w:pPr>
        <w:pStyle w:val="FirstParagraph"/>
      </w:pPr>
      <w:r>
        <w:rPr>
          <w:b/>
          <w:bCs/>
        </w:rPr>
        <w:t xml:space="preserve">Sogeti Luxembourg</w:t>
      </w:r>
      <w:r>
        <w:t xml:space="preserve"> </w:t>
      </w:r>
      <w:r>
        <w:t xml:space="preserve">– Consultant</w:t>
      </w:r>
      <w:r>
        <w:br/>
      </w:r>
      <w:r>
        <w:t xml:space="preserve">Luxembourg</w:t>
      </w:r>
    </w:p>
    <w:p>
      <w:pPr>
        <w:pStyle w:val="Compact"/>
        <w:numPr>
          <w:ilvl w:val="0"/>
          <w:numId w:val="1006"/>
        </w:numPr>
      </w:pPr>
      <w:r>
        <w:t xml:space="preserve">Optimisation des processus de déploiement</w:t>
      </w:r>
      <w:r>
        <w:t xml:space="preserve"> </w:t>
      </w:r>
      <w:r>
        <w:rPr>
          <w:b/>
          <w:bCs/>
        </w:rPr>
        <w:t xml:space="preserve">Red Hat Enterprise Linux</w:t>
      </w:r>
    </w:p>
    <w:p>
      <w:pPr>
        <w:pStyle w:val="Compact"/>
        <w:numPr>
          <w:ilvl w:val="0"/>
          <w:numId w:val="1006"/>
        </w:numPr>
      </w:pPr>
      <w:r>
        <w:t xml:space="preserve">Automatisation de la</w:t>
      </w:r>
      <w:r>
        <w:t xml:space="preserve"> </w:t>
      </w:r>
      <w:r>
        <w:rPr>
          <w:b/>
          <w:bCs/>
        </w:rPr>
        <w:t xml:space="preserve">conformité des systèmes</w:t>
      </w:r>
    </w:p>
    <w:bookmarkEnd w:id="27"/>
    <w:bookmarkStart w:id="28" w:name="octobre-2018-décembre-2020"/>
    <w:p>
      <w:pPr>
        <w:pStyle w:val="Heading3"/>
      </w:pPr>
      <w:r>
        <w:t xml:space="preserve">Octobre 2018 – Décembre 2020</w:t>
      </w:r>
    </w:p>
    <w:p>
      <w:pPr>
        <w:pStyle w:val="FirstParagraph"/>
      </w:pPr>
      <w:r>
        <w:rPr>
          <w:b/>
          <w:bCs/>
        </w:rPr>
        <w:t xml:space="preserve">ING Luxembourg</w:t>
      </w:r>
      <w:r>
        <w:t xml:space="preserve"> </w:t>
      </w:r>
      <w:r>
        <w:t xml:space="preserve">– Ops Engineer</w:t>
      </w:r>
      <w:r>
        <w:br/>
      </w:r>
      <w:r>
        <w:t xml:space="preserve">Luxembourg</w:t>
      </w:r>
    </w:p>
    <w:p>
      <w:pPr>
        <w:pStyle w:val="Compact"/>
        <w:numPr>
          <w:ilvl w:val="0"/>
          <w:numId w:val="1007"/>
        </w:numPr>
      </w:pPr>
      <w:r>
        <w:t xml:space="preserve">Modernisation de l’infrastructure Red Hat</w:t>
      </w:r>
    </w:p>
    <w:p>
      <w:pPr>
        <w:pStyle w:val="Compact"/>
        <w:numPr>
          <w:ilvl w:val="0"/>
          <w:numId w:val="1007"/>
        </w:numPr>
      </w:pPr>
      <w:r>
        <w:t xml:space="preserve">Implémentation d’</w:t>
      </w:r>
      <w:r>
        <w:rPr>
          <w:b/>
          <w:bCs/>
        </w:rPr>
        <w:t xml:space="preserve">Ansible Tower</w:t>
      </w:r>
    </w:p>
    <w:p>
      <w:pPr>
        <w:pStyle w:val="Compact"/>
        <w:numPr>
          <w:ilvl w:val="0"/>
          <w:numId w:val="1007"/>
        </w:numPr>
      </w:pPr>
      <w:r>
        <w:t xml:space="preserve">Déploiement d’un</w:t>
      </w:r>
      <w:r>
        <w:t xml:space="preserve"> </w:t>
      </w:r>
      <w:r>
        <w:rPr>
          <w:b/>
          <w:bCs/>
        </w:rPr>
        <w:t xml:space="preserve">cluster Elasticsearch pour les logs, métriques et APM</w:t>
      </w:r>
    </w:p>
    <w:p>
      <w:pPr>
        <w:pStyle w:val="Compact"/>
        <w:numPr>
          <w:ilvl w:val="0"/>
          <w:numId w:val="1007"/>
        </w:numPr>
      </w:pPr>
      <w:r>
        <w:t xml:space="preserve">Pilotage des initiatives de conteneurisation</w:t>
      </w:r>
    </w:p>
    <w:bookmarkEnd w:id="28"/>
    <w:bookmarkStart w:id="29" w:name="février-2017-septembre-2018"/>
    <w:p>
      <w:pPr>
        <w:pStyle w:val="Heading3"/>
      </w:pPr>
      <w:r>
        <w:t xml:space="preserve">Février 2017 – Septembre 2018</w:t>
      </w:r>
    </w:p>
    <w:p>
      <w:pPr>
        <w:pStyle w:val="FirstParagraph"/>
      </w:pPr>
      <w:r>
        <w:rPr>
          <w:b/>
          <w:bCs/>
        </w:rPr>
        <w:t xml:space="preserve">EBRC</w:t>
      </w:r>
      <w:r>
        <w:t xml:space="preserve"> </w:t>
      </w:r>
      <w:r>
        <w:t xml:space="preserve">– Senior System Engineer</w:t>
      </w:r>
      <w:r>
        <w:br/>
      </w:r>
      <w:r>
        <w:t xml:space="preserve">Luxembourg</w:t>
      </w:r>
    </w:p>
    <w:p>
      <w:pPr>
        <w:pStyle w:val="Compact"/>
        <w:numPr>
          <w:ilvl w:val="0"/>
          <w:numId w:val="1008"/>
        </w:numPr>
      </w:pPr>
      <w:r>
        <w:t xml:space="preserve">Intégration et exploitation d’infrastructures IT pour des clients financiers</w:t>
      </w:r>
    </w:p>
    <w:p>
      <w:pPr>
        <w:pStyle w:val="Compact"/>
        <w:numPr>
          <w:ilvl w:val="0"/>
          <w:numId w:val="1008"/>
        </w:numPr>
      </w:pPr>
      <w:r>
        <w:t xml:space="preserve">Rôle d’architecte technique pour un client bancaire majeur</w:t>
      </w:r>
    </w:p>
    <w:p>
      <w:pPr>
        <w:pStyle w:val="Compact"/>
        <w:numPr>
          <w:ilvl w:val="0"/>
          <w:numId w:val="1008"/>
        </w:numPr>
      </w:pPr>
      <w:r>
        <w:t xml:space="preserve">Conception d’</w:t>
      </w:r>
      <w:r>
        <w:rPr>
          <w:b/>
          <w:bCs/>
        </w:rPr>
        <w:t xml:space="preserve">architectures systèmes hautement disponibles</w:t>
      </w:r>
    </w:p>
    <w:p>
      <w:pPr>
        <w:pStyle w:val="Compact"/>
        <w:numPr>
          <w:ilvl w:val="0"/>
          <w:numId w:val="1008"/>
        </w:numPr>
      </w:pPr>
      <w:r>
        <w:t xml:space="preserve">Automatisation via</w:t>
      </w:r>
      <w:r>
        <w:t xml:space="preserve"> </w:t>
      </w:r>
      <w:r>
        <w:rPr>
          <w:b/>
          <w:bCs/>
        </w:rPr>
        <w:t xml:space="preserve">Ansible</w:t>
      </w:r>
    </w:p>
    <w:p>
      <w:pPr>
        <w:pStyle w:val="Compact"/>
        <w:numPr>
          <w:ilvl w:val="0"/>
          <w:numId w:val="1008"/>
        </w:numPr>
      </w:pPr>
      <w:r>
        <w:t xml:space="preserve">Monitoring, supervision et support de niveau 3</w:t>
      </w:r>
    </w:p>
    <w:p>
      <w:pPr>
        <w:pStyle w:val="Compact"/>
        <w:numPr>
          <w:ilvl w:val="0"/>
          <w:numId w:val="1008"/>
        </w:numPr>
      </w:pPr>
      <w:r>
        <w:t xml:space="preserve">Mentoring d’ingénieurs systèmes juniors</w:t>
      </w:r>
    </w:p>
    <w:bookmarkEnd w:id="29"/>
    <w:bookmarkStart w:id="30" w:name="février-2016-janvier-2017"/>
    <w:p>
      <w:pPr>
        <w:pStyle w:val="Heading3"/>
      </w:pPr>
      <w:r>
        <w:t xml:space="preserve">Février 2016 – Janvier 2017</w:t>
      </w:r>
    </w:p>
    <w:p>
      <w:pPr>
        <w:pStyle w:val="FirstParagraph"/>
      </w:pPr>
      <w:r>
        <w:rPr>
          <w:b/>
          <w:bCs/>
        </w:rPr>
        <w:t xml:space="preserve">atHome Group</w:t>
      </w:r>
      <w:r>
        <w:t xml:space="preserve"> </w:t>
      </w:r>
      <w:r>
        <w:t xml:space="preserve">– Senior System Engineer</w:t>
      </w:r>
      <w:r>
        <w:br/>
      </w:r>
      <w:r>
        <w:t xml:space="preserve">Luxembourg</w:t>
      </w:r>
    </w:p>
    <w:p>
      <w:pPr>
        <w:pStyle w:val="Compact"/>
        <w:numPr>
          <w:ilvl w:val="0"/>
          <w:numId w:val="1009"/>
        </w:numPr>
      </w:pPr>
      <w:r>
        <w:t xml:space="preserve">Exploitation de la plateforme de production</w:t>
      </w:r>
    </w:p>
    <w:p>
      <w:pPr>
        <w:pStyle w:val="Compact"/>
        <w:numPr>
          <w:ilvl w:val="0"/>
          <w:numId w:val="1009"/>
        </w:numPr>
      </w:pPr>
      <w:r>
        <w:t xml:space="preserve">Déploiement de la solution de Disaster Recovery</w:t>
      </w:r>
    </w:p>
    <w:p>
      <w:pPr>
        <w:pStyle w:val="Compact"/>
        <w:numPr>
          <w:ilvl w:val="0"/>
          <w:numId w:val="1009"/>
        </w:numPr>
      </w:pPr>
      <w:r>
        <w:t xml:space="preserve">Gestion et déploiements automatisés des systèmes</w:t>
      </w:r>
    </w:p>
    <w:p>
      <w:pPr>
        <w:pStyle w:val="Compact"/>
        <w:numPr>
          <w:ilvl w:val="0"/>
          <w:numId w:val="1009"/>
        </w:numPr>
      </w:pPr>
      <w:r>
        <w:t xml:space="preserve">Refonte de la supervision</w:t>
      </w:r>
    </w:p>
    <w:p>
      <w:pPr>
        <w:pStyle w:val="Compact"/>
        <w:numPr>
          <w:ilvl w:val="0"/>
          <w:numId w:val="1009"/>
        </w:numPr>
      </w:pPr>
      <w:r>
        <w:t xml:space="preserve">Conception du système d’authentification fédérée</w:t>
      </w:r>
    </w:p>
    <w:p>
      <w:pPr>
        <w:pStyle w:val="Compact"/>
        <w:numPr>
          <w:ilvl w:val="0"/>
          <w:numId w:val="1009"/>
        </w:numPr>
      </w:pPr>
      <w:r>
        <w:t xml:space="preserve">Préparation de l’environnement</w:t>
      </w:r>
      <w:r>
        <w:t xml:space="preserve"> </w:t>
      </w:r>
      <w:r>
        <w:rPr>
          <w:b/>
          <w:bCs/>
        </w:rPr>
        <w:t xml:space="preserve">AWS</w:t>
      </w:r>
    </w:p>
    <w:p>
      <w:pPr>
        <w:pStyle w:val="Compact"/>
        <w:numPr>
          <w:ilvl w:val="0"/>
          <w:numId w:val="1009"/>
        </w:numPr>
      </w:pPr>
      <w:r>
        <w:t xml:space="preserve">Déploiement du</w:t>
      </w:r>
      <w:r>
        <w:t xml:space="preserve"> </w:t>
      </w:r>
      <w:r>
        <w:rPr>
          <w:b/>
          <w:bCs/>
        </w:rPr>
        <w:t xml:space="preserve">cluster Docker Swarm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expériences-antérieures"/>
    <w:p>
      <w:pPr>
        <w:pStyle w:val="Heading2"/>
      </w:pPr>
      <w:r>
        <w:t xml:space="preserve">Expériences antérieures</w:t>
      </w:r>
    </w:p>
    <w:bookmarkStart w:id="32" w:name="section"/>
    <w:p>
      <w:pPr>
        <w:pStyle w:val="Heading3"/>
      </w:pPr>
      <w:r>
        <w:t xml:space="preserve">2013 – 2016</w:t>
      </w:r>
    </w:p>
    <w:p>
      <w:pPr>
        <w:pStyle w:val="FirstParagraph"/>
      </w:pPr>
      <w:r>
        <w:rPr>
          <w:b/>
          <w:bCs/>
        </w:rPr>
        <w:t xml:space="preserve">CTG Luxembourg PSF</w:t>
      </w:r>
      <w:r>
        <w:t xml:space="preserve"> </w:t>
      </w:r>
      <w:r>
        <w:t xml:space="preserve">– System &amp; Security Administrator / Application Support</w:t>
      </w:r>
      <w:r>
        <w:br/>
      </w:r>
      <w:r>
        <w:t xml:space="preserve">Luxembourg</w:t>
      </w:r>
    </w:p>
    <w:p>
      <w:pPr>
        <w:pStyle w:val="Compact"/>
        <w:numPr>
          <w:ilvl w:val="0"/>
          <w:numId w:val="1010"/>
        </w:numPr>
      </w:pPr>
      <w:r>
        <w:t xml:space="preserve">Réalisation de missions pour Clearstream et la Banque Internationale à Luxembourg (BIL)</w:t>
      </w:r>
    </w:p>
    <w:p>
      <w:pPr>
        <w:pStyle w:val="Compact"/>
        <w:numPr>
          <w:ilvl w:val="0"/>
          <w:numId w:val="1010"/>
        </w:numPr>
      </w:pPr>
      <w:r>
        <w:t xml:space="preserve">Gestion de l’administration Linux et du</w:t>
      </w:r>
      <w:r>
        <w:t xml:space="preserve"> </w:t>
      </w:r>
      <w:r>
        <w:rPr>
          <w:b/>
          <w:bCs/>
        </w:rPr>
        <w:t xml:space="preserve">hardening</w:t>
      </w:r>
    </w:p>
    <w:p>
      <w:pPr>
        <w:pStyle w:val="Compact"/>
        <w:numPr>
          <w:ilvl w:val="0"/>
          <w:numId w:val="1010"/>
        </w:numPr>
      </w:pPr>
      <w:r>
        <w:t xml:space="preserve">Fourniture de support applicatif bancaire et coordination des infrastructures</w:t>
      </w:r>
    </w:p>
    <w:bookmarkEnd w:id="32"/>
    <w:bookmarkStart w:id="33" w:name="section-1"/>
    <w:p>
      <w:pPr>
        <w:pStyle w:val="Heading3"/>
      </w:pPr>
      <w:r>
        <w:t xml:space="preserve">2001 – 2013</w:t>
      </w:r>
    </w:p>
    <w:p>
      <w:pPr>
        <w:pStyle w:val="FirstParagraph"/>
      </w:pPr>
      <w:r>
        <w:rPr>
          <w:b/>
          <w:bCs/>
        </w:rPr>
        <w:t xml:space="preserve">Ministère de l’Intérieur</w:t>
      </w:r>
      <w:r>
        <w:t xml:space="preserve"> </w:t>
      </w:r>
      <w:r>
        <w:t xml:space="preserve">– System &amp; Network Administrator</w:t>
      </w:r>
      <w:r>
        <w:br/>
      </w:r>
      <w:r>
        <w:t xml:space="preserve">France</w:t>
      </w:r>
    </w:p>
    <w:p>
      <w:pPr>
        <w:pStyle w:val="Compact"/>
        <w:numPr>
          <w:ilvl w:val="0"/>
          <w:numId w:val="1011"/>
        </w:numPr>
      </w:pPr>
      <w:r>
        <w:t xml:space="preserve">Administration systèmes et réseaux pour des</w:t>
      </w:r>
      <w:r>
        <w:t xml:space="preserve"> </w:t>
      </w:r>
      <w:r>
        <w:rPr>
          <w:b/>
          <w:bCs/>
        </w:rPr>
        <w:t xml:space="preserve">infrastructures critiques</w:t>
      </w:r>
    </w:p>
    <w:p>
      <w:pPr>
        <w:pStyle w:val="Compact"/>
        <w:numPr>
          <w:ilvl w:val="0"/>
          <w:numId w:val="1011"/>
        </w:numPr>
      </w:pPr>
      <w:r>
        <w:t xml:space="preserve">Automatisation et monitoring à grande échelle</w:t>
      </w:r>
    </w:p>
    <w:p>
      <w:pPr>
        <w:pStyle w:val="Compact"/>
        <w:numPr>
          <w:ilvl w:val="0"/>
          <w:numId w:val="1011"/>
        </w:numPr>
      </w:pPr>
      <w:r>
        <w:t xml:space="preserve">Haute disponibilité et continuité d’activité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formation"/>
    <w:p>
      <w:pPr>
        <w:pStyle w:val="Heading2"/>
      </w:pPr>
      <w:r>
        <w:t xml:space="preserve">Formation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DEUG Mathématiques &amp; Informatique Appliquées aux Sciences</w:t>
      </w:r>
      <w:r>
        <w:br/>
      </w:r>
      <w:r>
        <w:t xml:space="preserve">Université de Strasbourg (Louis Pasteur)</w:t>
      </w:r>
    </w:p>
    <w:p>
      <w:r>
        <w:pict>
          <v:rect style="width:0;height:1.5pt" o:hralign="center" o:hrstd="t" o:hr="t"/>
        </w:pict>
      </w:r>
    </w:p>
    <w:bookmarkEnd w:id="35"/>
    <w:bookmarkStart w:id="36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13"/>
        </w:numPr>
      </w:pPr>
      <w:r>
        <w:t xml:space="preserve">Red Hat Certified Specialist in Ansible Automation</w:t>
      </w:r>
    </w:p>
    <w:p>
      <w:pPr>
        <w:pStyle w:val="Compact"/>
        <w:numPr>
          <w:ilvl w:val="0"/>
          <w:numId w:val="1013"/>
        </w:numPr>
      </w:pPr>
      <w:r>
        <w:t xml:space="preserve">Red Hat Certified System Administrator (RHCSA)</w:t>
      </w:r>
    </w:p>
    <w:p>
      <w:pPr>
        <w:pStyle w:val="Compact"/>
        <w:numPr>
          <w:ilvl w:val="0"/>
          <w:numId w:val="1013"/>
        </w:numPr>
      </w:pPr>
      <w:r>
        <w:t xml:space="preserve">ITIL v3 Foundation</w:t>
      </w:r>
    </w:p>
    <w:p>
      <w:r>
        <w:pict>
          <v:rect style="width:0;height:1.5pt" o:hralign="center" o:hrstd="t" o:hr="t"/>
        </w:pict>
      </w:r>
    </w:p>
    <w:bookmarkEnd w:id="36"/>
    <w:bookmarkStart w:id="37" w:name="langues"/>
    <w:p>
      <w:pPr>
        <w:pStyle w:val="Heading2"/>
      </w:pPr>
      <w:r>
        <w:t xml:space="preserve">Langues</w:t>
      </w:r>
    </w:p>
    <w:p>
      <w:pPr>
        <w:pStyle w:val="Compact"/>
        <w:numPr>
          <w:ilvl w:val="0"/>
          <w:numId w:val="1014"/>
        </w:numPr>
      </w:pPr>
      <w:r>
        <w:t xml:space="preserve">Français : natif</w:t>
      </w:r>
    </w:p>
    <w:p>
      <w:pPr>
        <w:pStyle w:val="Compact"/>
        <w:numPr>
          <w:ilvl w:val="0"/>
          <w:numId w:val="1014"/>
        </w:numPr>
      </w:pPr>
      <w:r>
        <w:t xml:space="preserve">Anglais : professionnel</w:t>
      </w:r>
    </w:p>
    <w:p>
      <w:pPr>
        <w:pStyle w:val="Compact"/>
        <w:numPr>
          <w:ilvl w:val="0"/>
          <w:numId w:val="1014"/>
        </w:numPr>
      </w:pPr>
      <w:r>
        <w:t xml:space="preserve">Allemand : intermédiaire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2026-07-02T16:57:40Z</dcterms:created>
  <dcterms:modified xsi:type="dcterms:W3CDTF">2026-07-02T16:57:40Z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