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Zeltro — Detalji usluga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Pregled svih usluga sa opisom, cenama i napomenama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Web razvoj — jednokratno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Usluga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Kategorija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Cena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page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150–300 EUR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Uključuje: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Dizajn po brendu klijenta (boje, font, logo)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 5 sekcija (hero, o nama, usluge, recenzije, kontakt)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Responsivnost — mobile, tablet, desktop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Kontakt forma (email notifikacija)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Osnovna SEO podešavanja (meta tagovi, OG tagovi)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Google Analytics integracija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Povezivanje sa domenom klijenta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Jedna runda revizija uključena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 uključuje: hosting, kupovinu domena, copywriting, prevod na više jezika.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Višestranični sajt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350–600 EUR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Uključuje: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Sve iz Landing page paketa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 6–7 stranica (Home, O nama, Usluge, Blog, Galerija, Kontakt...)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Animacije i tranzicije (Framer Motion)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Navigacija sa hamburger menijem na mobilnom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Galerija slika ili portfolio sekcija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Sitemap.xml i robots.txt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Optimizacija brzine učitavanja (lazy loading, kompresija slika)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Dve runde revizija uključene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 uključuje: hosting, domen, blog CMS (ručno uređivanje), višejezičnost.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aplikacija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Fullstack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800–1800 EUR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Uključuje: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Sve iz Višestraničnog sajta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Backend API (.NET / Node.js)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Baza podataka (SQL Server / PostgreSQL)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Sistem za prijavu / registraciju (autentikacija)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Admin panel za upravljanje sadržajem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Korisnički rolovi i permisije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Deployment na cloud server (Railway, Render ili VPS)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Osnovna dokumentacija za korišćenje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 uključuje: mobilna aplikacija, napredna integracija sa trećim servisima (ERP, platni sistemi).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Dodatne usluge — jednokratno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dizajn u Figmi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100–200 EUR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Wireframe, Hi-fi mockup, Desktop + mobilna verzija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Odabir tipografije i palete boja, Figma komponente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page kampanja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250–450 EUR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CTA fokus, brz load time, integracija Pixel-a i GTM-a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Mesečne usluge — pretplata</w:t>
      </w:r>
    </w:p>
    <w:tbl>
      <w:tblPr>
        <w:tblStyle w:val="Table3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Paket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Cena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održavanje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25–40 EUR / 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održavanje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50–80 EUR / 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paket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60–120 EUR / mes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jc w:val="center"/>
        <w:rPr>
          <w:color w:val="6b6b68"/>
          <w:sz w:val="16"/>
          <w:szCs w:val="16"/>
        </w:rPr>
      </w:pPr>
      <w:r w:rsidDel="00000000" w:rsidR="00000000" w:rsidRPr="00000000">
        <w:rPr>
          <w:color w:val="6b6b68"/>
          <w:sz w:val="16"/>
          <w:szCs w:val="16"/>
          <w:rtl w:val="0"/>
        </w:rPr>
        <w:t xml:space="preserve">Zeltro © 2026 — sva prava zadržana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