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ind w:firstLine="880" w:firstLineChars="200"/>
        <w:jc w:val="center"/>
        <w:rPr>
          <w:rFonts w:eastAsia="方正小标宋简体"/>
          <w:sz w:val="44"/>
        </w:rPr>
      </w:pPr>
      <w:bookmarkStart w:id="0" w:name="_GoBack"/>
      <w:bookmarkEnd w:id="0"/>
      <w:r>
        <w:rPr>
          <w:rFonts w:eastAsia="方正小标宋简体"/>
          <w:sz w:val="44"/>
        </w:rPr>
        <w:t>设备系统异动申请报告</w:t>
      </w:r>
    </w:p>
    <w:p>
      <w:pPr>
        <w:ind w:firstLine="105" w:firstLineChars="50"/>
      </w:pPr>
      <w:r>
        <w:rPr>
          <w:rFonts w:eastAsia="仿宋_GB2312"/>
        </w:rPr>
        <w:t xml:space="preserve">异动申请单编号：  </w:t>
      </w:r>
      <w:r>
        <w:t xml:space="preserve">      </w:t>
      </w:r>
    </w:p>
    <w:tbl>
      <w:tblPr>
        <w:tblStyle w:val="2"/>
        <w:tblW w:w="942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3283"/>
        <w:gridCol w:w="1533"/>
        <w:gridCol w:w="608"/>
        <w:gridCol w:w="1426"/>
        <w:gridCol w:w="25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83" w:hRule="atLeast"/>
        </w:trPr>
        <w:tc>
          <w:tcPr>
            <w:tcW w:w="3283" w:type="dxa"/>
            <w:vAlign w:val="center"/>
          </w:tcPr>
          <w:p>
            <w:pPr>
              <w:spacing w:line="320" w:lineRule="exact"/>
              <w:jc w:val="left"/>
              <w:rPr>
                <w:rFonts w:eastAsia="仿宋_GB2312"/>
              </w:rPr>
            </w:pPr>
            <w:r>
              <w:rPr>
                <w:rFonts w:eastAsia="仿宋_GB2312"/>
              </w:rPr>
              <w:t>异动设备名称</w:t>
            </w:r>
          </w:p>
        </w:tc>
        <w:tc>
          <w:tcPr>
            <w:tcW w:w="6137" w:type="dxa"/>
            <w:gridSpan w:val="4"/>
            <w:vAlign w:val="center"/>
          </w:tcPr>
          <w:p>
            <w:pPr>
              <w:spacing w:line="320" w:lineRule="exact"/>
              <w:rPr>
                <w:rFonts w:hint="default" w:eastAsia="仿宋_GB2312"/>
                <w:lang w:val="en-US" w:eastAsia="zh-CN"/>
              </w:rPr>
            </w:pPr>
            <w:r>
              <w:rPr>
                <w:rFonts w:hint="eastAsia" w:eastAsia="仿宋_GB2312"/>
                <w:lang w:val="en-US" w:eastAsia="zh-CN"/>
              </w:rPr>
              <w:t>磨煤机出口分离器气动插板门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67" w:hRule="atLeast"/>
        </w:trPr>
        <w:tc>
          <w:tcPr>
            <w:tcW w:w="3283" w:type="dxa"/>
            <w:vAlign w:val="center"/>
          </w:tcPr>
          <w:p>
            <w:pPr>
              <w:spacing w:line="320" w:lineRule="exact"/>
              <w:jc w:val="left"/>
              <w:rPr>
                <w:rFonts w:eastAsia="仿宋_GB2312"/>
              </w:rPr>
            </w:pPr>
            <w:r>
              <w:rPr>
                <w:rFonts w:eastAsia="仿宋_GB2312"/>
              </w:rPr>
              <w:t>异动项目内容</w:t>
            </w:r>
          </w:p>
        </w:tc>
        <w:tc>
          <w:tcPr>
            <w:tcW w:w="6137" w:type="dxa"/>
            <w:gridSpan w:val="4"/>
            <w:vAlign w:val="center"/>
          </w:tcPr>
          <w:p>
            <w:pPr>
              <w:spacing w:line="320" w:lineRule="exact"/>
              <w:rPr>
                <w:rFonts w:hint="default" w:eastAsia="仿宋_GB2312"/>
                <w:lang w:val="en-US" w:eastAsia="zh-CN"/>
              </w:rPr>
            </w:pPr>
            <w:r>
              <w:rPr>
                <w:rFonts w:hint="eastAsia" w:eastAsia="仿宋_GB2312"/>
                <w:lang w:val="en-US" w:eastAsia="zh-CN"/>
              </w:rPr>
              <w:t>磨煤机出口分离器气动插板门就地控制柜内就地操作功能取消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01" w:hRule="atLeast"/>
        </w:trPr>
        <w:tc>
          <w:tcPr>
            <w:tcW w:w="3283" w:type="dxa"/>
            <w:vAlign w:val="center"/>
          </w:tcPr>
          <w:p>
            <w:pPr>
              <w:spacing w:line="320" w:lineRule="exact"/>
              <w:jc w:val="left"/>
              <w:rPr>
                <w:rFonts w:eastAsia="仿宋_GB2312"/>
              </w:rPr>
            </w:pPr>
            <w:r>
              <w:rPr>
                <w:rFonts w:eastAsia="仿宋_GB2312"/>
              </w:rPr>
              <w:t>异动设备原值（万元）</w:t>
            </w:r>
          </w:p>
        </w:tc>
        <w:tc>
          <w:tcPr>
            <w:tcW w:w="6137" w:type="dxa"/>
            <w:gridSpan w:val="4"/>
            <w:vAlign w:val="center"/>
          </w:tcPr>
          <w:p>
            <w:pPr>
              <w:widowControl/>
              <w:spacing w:before="100" w:beforeLines="0" w:beforeAutospacing="1" w:after="100" w:afterLines="0" w:afterAutospacing="1"/>
              <w:jc w:val="left"/>
              <w:rPr>
                <w:kern w:val="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01" w:hRule="atLeast"/>
        </w:trPr>
        <w:tc>
          <w:tcPr>
            <w:tcW w:w="3283" w:type="dxa"/>
            <w:vAlign w:val="center"/>
          </w:tcPr>
          <w:p>
            <w:pPr>
              <w:spacing w:line="320" w:lineRule="exact"/>
              <w:jc w:val="left"/>
              <w:rPr>
                <w:rFonts w:eastAsia="仿宋_GB2312"/>
              </w:rPr>
            </w:pPr>
            <w:r>
              <w:rPr>
                <w:rFonts w:hint="eastAsia" w:eastAsia="仿宋_GB2312"/>
                <w:lang w:val="en-US" w:eastAsia="zh-CN"/>
              </w:rPr>
              <w:t>设备异动</w:t>
            </w:r>
            <w:r>
              <w:rPr>
                <w:rFonts w:eastAsia="仿宋_GB2312"/>
              </w:rPr>
              <w:t>负责人</w:t>
            </w:r>
          </w:p>
        </w:tc>
        <w:tc>
          <w:tcPr>
            <w:tcW w:w="2141" w:type="dxa"/>
            <w:gridSpan w:val="2"/>
            <w:vAlign w:val="center"/>
          </w:tcPr>
          <w:p>
            <w:pPr>
              <w:widowControl/>
              <w:spacing w:before="100" w:beforeLines="0" w:beforeAutospacing="1" w:after="100" w:afterLines="0" w:afterAutospacing="1"/>
              <w:jc w:val="left"/>
              <w:rPr>
                <w:rFonts w:hint="eastAsia" w:eastAsia="仿宋_GB2312"/>
                <w:lang w:eastAsia="zh-CN"/>
              </w:rPr>
            </w:pPr>
            <w:r>
              <w:rPr>
                <w:rFonts w:hint="eastAsia" w:eastAsia="仿宋_GB2312"/>
                <w:lang w:eastAsia="zh-CN"/>
              </w:rPr>
              <w:t>赵华鹏</w:t>
            </w:r>
          </w:p>
        </w:tc>
        <w:tc>
          <w:tcPr>
            <w:tcW w:w="1426" w:type="dxa"/>
            <w:vAlign w:val="center"/>
          </w:tcPr>
          <w:p>
            <w:pPr>
              <w:widowControl/>
              <w:spacing w:before="100" w:beforeLines="0" w:beforeAutospacing="1" w:after="100" w:afterLines="0" w:afterAutospacing="1"/>
              <w:jc w:val="left"/>
              <w:rPr>
                <w:rFonts w:eastAsia="仿宋_GB2312"/>
              </w:rPr>
            </w:pPr>
            <w:r>
              <w:rPr>
                <w:rFonts w:eastAsia="仿宋_GB2312"/>
              </w:rPr>
              <w:t>联系方式</w:t>
            </w:r>
          </w:p>
        </w:tc>
        <w:tc>
          <w:tcPr>
            <w:tcW w:w="2570" w:type="dxa"/>
            <w:vAlign w:val="center"/>
          </w:tcPr>
          <w:p>
            <w:pPr>
              <w:widowControl/>
              <w:spacing w:before="100" w:beforeLines="0" w:beforeAutospacing="1" w:after="100" w:afterLines="0" w:afterAutospacing="1"/>
              <w:jc w:val="left"/>
              <w:rPr>
                <w:rFonts w:hint="default" w:eastAsia="仿宋_GB2312"/>
                <w:lang w:val="en-US" w:eastAsia="zh-CN"/>
              </w:rPr>
            </w:pPr>
            <w:r>
              <w:rPr>
                <w:rFonts w:hint="eastAsia" w:eastAsia="仿宋_GB2312"/>
                <w:lang w:val="en-US" w:eastAsia="zh-CN"/>
              </w:rPr>
              <w:t>18803555056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91" w:hRule="atLeast"/>
        </w:trPr>
        <w:tc>
          <w:tcPr>
            <w:tcW w:w="9420" w:type="dxa"/>
            <w:gridSpan w:val="5"/>
            <w:vAlign w:val="top"/>
          </w:tcPr>
          <w:p>
            <w:pPr>
              <w:numPr>
                <w:ilvl w:val="0"/>
                <w:numId w:val="1"/>
              </w:numPr>
              <w:spacing w:line="320" w:lineRule="exact"/>
              <w:rPr>
                <w:rFonts w:eastAsia="仿宋_GB2312"/>
                <w:lang w:val="en-US"/>
              </w:rPr>
            </w:pPr>
            <w:r>
              <w:rPr>
                <w:rFonts w:eastAsia="仿宋_GB2312"/>
              </w:rPr>
              <w:t>异动项目介绍：</w:t>
            </w:r>
            <w:r>
              <w:rPr>
                <w:rFonts w:hint="eastAsia" w:eastAsia="仿宋_GB2312"/>
                <w:lang w:val="en-US" w:eastAsia="zh-CN"/>
              </w:rPr>
              <w:t>磨煤机出口分离器气动插板门可以远方和就地控制开关，现取消就地操作功能。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35" w:hRule="atLeast"/>
        </w:trPr>
        <w:tc>
          <w:tcPr>
            <w:tcW w:w="9420" w:type="dxa"/>
            <w:gridSpan w:val="5"/>
            <w:vAlign w:val="top"/>
          </w:tcPr>
          <w:p>
            <w:pPr>
              <w:numPr>
                <w:ilvl w:val="0"/>
                <w:numId w:val="1"/>
              </w:numPr>
              <w:spacing w:line="320" w:lineRule="exact"/>
              <w:ind w:left="0" w:leftChars="0" w:firstLine="0" w:firstLineChars="0"/>
              <w:rPr>
                <w:rFonts w:hint="default" w:eastAsia="仿宋_GB2312"/>
                <w:lang w:val="en-US" w:eastAsia="zh-CN"/>
              </w:rPr>
            </w:pPr>
            <w:r>
              <w:rPr>
                <w:rFonts w:eastAsia="仿宋_GB2312"/>
              </w:rPr>
              <w:t>异动设备基本技术情况：</w:t>
            </w:r>
            <w:r>
              <w:rPr>
                <w:rFonts w:hint="eastAsia" w:eastAsia="仿宋_GB2312"/>
                <w:lang w:val="en-US" w:eastAsia="zh-CN"/>
              </w:rPr>
              <w:t>磨煤机出口分离器气动插板门为单电控电磁阀，得电开失电关，在磨煤机正常运行过程中插板门控制柜切在远方位，插板门处于全开位置，当就地控制柜远方切至就地时，电磁阀会失电，气动插板门关闭。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711" w:hRule="atLeast"/>
        </w:trPr>
        <w:tc>
          <w:tcPr>
            <w:tcW w:w="9420" w:type="dxa"/>
            <w:gridSpan w:val="5"/>
            <w:vAlign w:val="top"/>
          </w:tcPr>
          <w:p>
            <w:pPr>
              <w:numPr>
                <w:ilvl w:val="0"/>
                <w:numId w:val="1"/>
              </w:numPr>
              <w:spacing w:line="320" w:lineRule="exact"/>
              <w:ind w:left="0" w:leftChars="0" w:firstLine="0" w:firstLineChars="0"/>
              <w:rPr>
                <w:rFonts w:hint="eastAsia" w:eastAsia="仿宋_GB2312"/>
                <w:lang w:val="en-US" w:eastAsia="zh-CN"/>
              </w:rPr>
            </w:pPr>
            <w:r>
              <w:rPr>
                <w:rFonts w:eastAsia="仿宋_GB2312"/>
              </w:rPr>
              <w:t>异动提出的原因及必要性：</w:t>
            </w:r>
            <w:r>
              <w:rPr>
                <w:rFonts w:hint="eastAsia" w:eastAsia="仿宋_GB2312"/>
                <w:lang w:val="en-US" w:eastAsia="zh-CN"/>
              </w:rPr>
              <w:t>磨煤机正常运行过程中出口分离器气动插板门就地控制柜在远方位置，当转换开关由远方切至就地时电磁阀会失电，气动插板门关闭，影响磨煤机运行，甚至会造成磨煤机跳闸，影响锅炉正常运行。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48" w:hRule="atLeast"/>
        </w:trPr>
        <w:tc>
          <w:tcPr>
            <w:tcW w:w="9420" w:type="dxa"/>
            <w:gridSpan w:val="5"/>
            <w:vAlign w:val="top"/>
          </w:tcPr>
          <w:p>
            <w:pPr>
              <w:numPr>
                <w:ilvl w:val="0"/>
                <w:numId w:val="2"/>
              </w:numPr>
              <w:spacing w:line="320" w:lineRule="exact"/>
              <w:ind w:leftChars="0"/>
              <w:rPr>
                <w:rFonts w:hint="default" w:eastAsia="仿宋_GB2312"/>
                <w:lang w:val="en-US" w:eastAsia="zh-CN"/>
              </w:rPr>
            </w:pPr>
            <w:r>
              <w:rPr>
                <w:rFonts w:eastAsia="仿宋_GB2312"/>
              </w:rPr>
              <w:t>异动项目的论证及结论：</w:t>
            </w:r>
            <w:r>
              <w:rPr>
                <w:rFonts w:hint="eastAsia" w:eastAsia="仿宋_GB2312"/>
                <w:lang w:val="en-US" w:eastAsia="zh-CN"/>
              </w:rPr>
              <w:t>在磨煤机出口分离器出口气动插板门就地控制回路中取消就地操作功能。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759" w:hRule="atLeast"/>
        </w:trPr>
        <w:tc>
          <w:tcPr>
            <w:tcW w:w="9420" w:type="dxa"/>
            <w:gridSpan w:val="5"/>
            <w:vAlign w:val="top"/>
          </w:tcPr>
          <w:p>
            <w:pPr>
              <w:numPr>
                <w:ilvl w:val="0"/>
                <w:numId w:val="3"/>
              </w:numPr>
              <w:spacing w:line="320" w:lineRule="exact"/>
              <w:rPr>
                <w:rFonts w:hint="eastAsia" w:eastAsia="仿宋_GB2312"/>
                <w:lang w:val="en-US" w:eastAsia="zh-CN"/>
              </w:rPr>
            </w:pPr>
            <w:r>
              <w:rPr>
                <w:rFonts w:eastAsia="仿宋_GB2312"/>
              </w:rPr>
              <w:t>异动项目的实施计划：</w:t>
            </w:r>
          </w:p>
          <w:p>
            <w:pPr>
              <w:numPr>
                <w:ilvl w:val="0"/>
                <w:numId w:val="4"/>
              </w:numPr>
              <w:spacing w:line="320" w:lineRule="exact"/>
              <w:ind w:leftChars="0" w:firstLine="630" w:firstLineChars="300"/>
              <w:rPr>
                <w:rFonts w:hint="eastAsia" w:eastAsia="仿宋_GB2312"/>
                <w:lang w:val="en-US" w:eastAsia="zh-CN"/>
              </w:rPr>
            </w:pPr>
            <w:r>
              <w:rPr>
                <w:rFonts w:hint="eastAsia" w:eastAsia="仿宋_GB2312"/>
                <w:lang w:val="en-US" w:eastAsia="zh-CN"/>
              </w:rPr>
              <w:t>将就地控制柜内远方/就地控制旋钮至J1中间继电器线圈接线拆除；</w:t>
            </w:r>
          </w:p>
          <w:p>
            <w:pPr>
              <w:numPr>
                <w:ilvl w:val="0"/>
                <w:numId w:val="4"/>
              </w:numPr>
              <w:spacing w:line="320" w:lineRule="exact"/>
              <w:ind w:leftChars="0" w:firstLine="630" w:firstLineChars="300"/>
              <w:rPr>
                <w:rFonts w:hint="eastAsia" w:eastAsia="仿宋_GB2312"/>
                <w:lang w:val="en-US" w:eastAsia="zh-CN"/>
              </w:rPr>
            </w:pPr>
            <w:r>
              <w:rPr>
                <w:rFonts w:hint="eastAsia" w:eastAsia="仿宋_GB2312"/>
                <w:lang w:val="en-US" w:eastAsia="zh-CN"/>
              </w:rPr>
              <w:t>将就地控制柜内远方/就地控制旋钮至DCS远方反馈端子短接，保证DCS显示远方位置。</w:t>
            </w: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46" w:hRule="atLeast"/>
        </w:trPr>
        <w:tc>
          <w:tcPr>
            <w:tcW w:w="4816" w:type="dxa"/>
            <w:gridSpan w:val="2"/>
            <w:vAlign w:val="top"/>
          </w:tcPr>
          <w:p>
            <w:pPr>
              <w:spacing w:line="320" w:lineRule="exact"/>
              <w:rPr>
                <w:rFonts w:eastAsia="仿宋_GB2312"/>
              </w:rPr>
            </w:pPr>
            <w:r>
              <w:rPr>
                <w:rFonts w:hint="eastAsia" w:eastAsia="仿宋_GB2312"/>
                <w:lang w:val="en-US" w:eastAsia="zh-CN"/>
              </w:rPr>
              <w:t>电热检修部</w:t>
            </w:r>
            <w:r>
              <w:rPr>
                <w:rFonts w:eastAsia="仿宋_GB2312"/>
              </w:rPr>
              <w:t>审批意见：</w:t>
            </w:r>
          </w:p>
          <w:p>
            <w:pPr>
              <w:spacing w:line="320" w:lineRule="exact"/>
              <w:rPr>
                <w:rFonts w:eastAsia="仿宋_GB2312"/>
              </w:rPr>
            </w:pPr>
            <w:r>
              <w:rPr>
                <w:rFonts w:hint="eastAsia" w:eastAsia="仿宋_GB2312"/>
                <w:lang w:val="en-US" w:eastAsia="zh-CN"/>
              </w:rPr>
              <w:t xml:space="preserve">                         </w:t>
            </w:r>
            <w:r>
              <w:rPr>
                <w:rFonts w:eastAsia="仿宋_GB2312"/>
              </w:rPr>
              <w:t xml:space="preserve">                                         </w:t>
            </w:r>
          </w:p>
          <w:p>
            <w:pPr>
              <w:ind w:firstLine="6615" w:firstLineChars="3150"/>
              <w:rPr>
                <w:rFonts w:eastAsia="仿宋_GB2312"/>
              </w:rPr>
            </w:pPr>
            <w:r>
              <w:rPr>
                <w:rFonts w:eastAsia="仿宋_GB2312"/>
              </w:rPr>
              <w:t xml:space="preserve">年    </w:t>
            </w:r>
            <w:r>
              <w:rPr>
                <w:rFonts w:hint="eastAsia" w:eastAsia="仿宋_GB2312"/>
                <w:lang w:val="en-US" w:eastAsia="zh-CN"/>
              </w:rPr>
              <w:t xml:space="preserve">                     年   </w:t>
            </w:r>
            <w:r>
              <w:rPr>
                <w:rFonts w:eastAsia="仿宋_GB2312"/>
              </w:rPr>
              <w:t>月    日</w:t>
            </w:r>
          </w:p>
          <w:p>
            <w:pPr>
              <w:spacing w:line="320" w:lineRule="exact"/>
              <w:ind w:firstLine="6615" w:firstLineChars="3150"/>
              <w:rPr>
                <w:rFonts w:eastAsia="仿宋_GB2312"/>
              </w:rPr>
            </w:pPr>
            <w:r>
              <w:rPr>
                <w:rFonts w:eastAsia="仿宋_GB2312"/>
              </w:rPr>
              <w:t xml:space="preserve">                                                     </w:t>
            </w:r>
          </w:p>
        </w:tc>
        <w:tc>
          <w:tcPr>
            <w:tcW w:w="4604" w:type="dxa"/>
            <w:gridSpan w:val="3"/>
            <w:vAlign w:val="top"/>
          </w:tcPr>
          <w:p>
            <w:pPr>
              <w:spacing w:line="320" w:lineRule="exact"/>
              <w:rPr>
                <w:rFonts w:eastAsia="仿宋_GB2312"/>
              </w:rPr>
            </w:pPr>
            <w:r>
              <w:rPr>
                <w:rFonts w:hint="eastAsia" w:eastAsia="仿宋_GB2312"/>
                <w:lang w:val="en-US" w:eastAsia="zh-CN"/>
              </w:rPr>
              <w:t>发电运行运行部</w:t>
            </w:r>
            <w:r>
              <w:rPr>
                <w:rFonts w:eastAsia="仿宋_GB2312"/>
              </w:rPr>
              <w:t>意见：</w:t>
            </w:r>
          </w:p>
          <w:p>
            <w:pPr>
              <w:spacing w:line="320" w:lineRule="exact"/>
              <w:rPr>
                <w:rFonts w:eastAsia="仿宋_GB2312"/>
              </w:rPr>
            </w:pPr>
            <w:r>
              <w:rPr>
                <w:rFonts w:eastAsia="仿宋_GB2312"/>
              </w:rPr>
              <w:t xml:space="preserve">          </w:t>
            </w:r>
            <w:r>
              <w:rPr>
                <w:rFonts w:hint="eastAsia" w:eastAsia="仿宋_GB2312"/>
                <w:lang w:val="en-US" w:eastAsia="zh-CN"/>
              </w:rPr>
              <w:t xml:space="preserve">             </w:t>
            </w:r>
            <w:r>
              <w:rPr>
                <w:rFonts w:eastAsia="仿宋_GB2312"/>
              </w:rPr>
              <w:t xml:space="preserve">                                       </w:t>
            </w:r>
          </w:p>
          <w:p>
            <w:pPr>
              <w:ind w:firstLine="6615" w:firstLineChars="3150"/>
              <w:rPr>
                <w:rFonts w:eastAsia="仿宋_GB2312"/>
              </w:rPr>
            </w:pPr>
            <w:r>
              <w:rPr>
                <w:rFonts w:eastAsia="仿宋_GB2312"/>
              </w:rPr>
              <w:t xml:space="preserve">年    </w:t>
            </w:r>
            <w:r>
              <w:rPr>
                <w:rFonts w:hint="eastAsia" w:eastAsia="仿宋_GB2312"/>
                <w:lang w:val="en-US" w:eastAsia="zh-CN"/>
              </w:rPr>
              <w:t xml:space="preserve">                     年   </w:t>
            </w:r>
            <w:r>
              <w:rPr>
                <w:rFonts w:eastAsia="仿宋_GB2312"/>
              </w:rPr>
              <w:t>月    日</w:t>
            </w:r>
          </w:p>
          <w:p>
            <w:pPr>
              <w:spacing w:line="320" w:lineRule="exact"/>
              <w:ind w:firstLine="6615" w:firstLineChars="3150"/>
              <w:rPr>
                <w:rFonts w:eastAsia="仿宋_GB231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745" w:hRule="atLeast"/>
        </w:trPr>
        <w:tc>
          <w:tcPr>
            <w:tcW w:w="9420" w:type="dxa"/>
            <w:gridSpan w:val="5"/>
            <w:tcBorders>
              <w:left w:val="single" w:color="auto" w:sz="4" w:space="0"/>
            </w:tcBorders>
            <w:vAlign w:val="center"/>
          </w:tcPr>
          <w:p>
            <w:pPr>
              <w:spacing w:line="320" w:lineRule="exact"/>
              <w:jc w:val="left"/>
              <w:rPr>
                <w:rFonts w:eastAsia="仿宋_GB2312"/>
              </w:rPr>
            </w:pPr>
            <w:r>
              <w:rPr>
                <w:rFonts w:hint="eastAsia" w:eastAsia="仿宋_GB2312"/>
                <w:lang w:eastAsia="zh-CN"/>
              </w:rPr>
              <w:t>分</w:t>
            </w:r>
            <w:r>
              <w:rPr>
                <w:rFonts w:eastAsia="仿宋_GB2312"/>
              </w:rPr>
              <w:t>管领导（签字）</w:t>
            </w:r>
          </w:p>
          <w:p>
            <w:pPr>
              <w:jc w:val="left"/>
              <w:rPr>
                <w:rFonts w:hint="eastAsia" w:eastAsia="仿宋_GB2312"/>
                <w:lang w:val="en-US" w:eastAsia="zh-CN"/>
              </w:rPr>
            </w:pPr>
            <w:r>
              <w:rPr>
                <w:rFonts w:eastAsia="仿宋_GB2312"/>
              </w:rPr>
              <w:t xml:space="preserve">   </w:t>
            </w:r>
            <w:r>
              <w:rPr>
                <w:rFonts w:hint="eastAsia" w:eastAsia="仿宋_GB2312"/>
                <w:lang w:val="en-US" w:eastAsia="zh-CN"/>
              </w:rPr>
              <w:t xml:space="preserve">              </w:t>
            </w:r>
            <w:r>
              <w:rPr>
                <w:rFonts w:eastAsia="仿宋_GB2312"/>
              </w:rPr>
              <w:t xml:space="preserve"> </w:t>
            </w:r>
            <w:r>
              <w:rPr>
                <w:rFonts w:hint="eastAsia" w:eastAsia="仿宋_GB2312"/>
                <w:lang w:val="en-US" w:eastAsia="zh-CN"/>
              </w:rPr>
              <w:t xml:space="preserve">      </w:t>
            </w:r>
          </w:p>
          <w:p>
            <w:pPr>
              <w:jc w:val="left"/>
              <w:rPr>
                <w:rFonts w:hint="eastAsia" w:eastAsia="仿宋_GB2312"/>
                <w:lang w:val="en-US" w:eastAsia="zh-CN"/>
              </w:rPr>
            </w:pPr>
          </w:p>
          <w:p>
            <w:pPr>
              <w:jc w:val="left"/>
              <w:rPr>
                <w:rFonts w:hint="default" w:eastAsia="仿宋_GB2312"/>
                <w:lang w:val="en-US" w:eastAsia="zh-CN"/>
              </w:rPr>
            </w:pPr>
            <w:r>
              <w:rPr>
                <w:rFonts w:hint="eastAsia" w:eastAsia="仿宋_GB2312"/>
                <w:lang w:val="en-US" w:eastAsia="zh-CN"/>
              </w:rPr>
              <w:t xml:space="preserve">        </w:t>
            </w:r>
          </w:p>
          <w:p>
            <w:pPr>
              <w:jc w:val="left"/>
              <w:rPr>
                <w:rFonts w:eastAsia="仿宋_GB2312"/>
              </w:rPr>
            </w:pPr>
            <w:r>
              <w:rPr>
                <w:rFonts w:hint="eastAsia" w:eastAsia="仿宋_GB2312"/>
                <w:lang w:val="en-US" w:eastAsia="zh-CN"/>
              </w:rPr>
              <w:t xml:space="preserve">                                                                       年   </w:t>
            </w:r>
            <w:r>
              <w:rPr>
                <w:rFonts w:eastAsia="仿宋_GB2312"/>
              </w:rPr>
              <w:t>月    日</w:t>
            </w:r>
          </w:p>
          <w:p>
            <w:pPr>
              <w:ind w:firstLine="6615" w:firstLineChars="3150"/>
              <w:rPr>
                <w:rFonts w:eastAsia="仿宋_GB2312"/>
              </w:rPr>
            </w:pPr>
          </w:p>
        </w:tc>
      </w:tr>
    </w:tbl>
    <w:p>
      <w:pPr>
        <w:rPr>
          <w:rFonts w:hint="eastAsia"/>
          <w:lang w:eastAsia="zh-CN"/>
        </w:rPr>
      </w:pPr>
    </w:p>
    <w:p>
      <w:pPr>
        <w:rPr>
          <w:rFonts w:hint="eastAsia"/>
          <w:lang w:eastAsia="zh-CN"/>
        </w:rPr>
      </w:pPr>
    </w:p>
    <w:sectPr>
      <w:pgSz w:w="11906" w:h="16838"/>
      <w:pgMar w:top="1440" w:right="1080" w:bottom="1440" w:left="108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altName w:val="黑体"/>
    <w:panose1 w:val="02010601030101010101"/>
    <w:charset w:val="86"/>
    <w:family w:val="script"/>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9B1668"/>
    <w:multiLevelType w:val="singleLevel"/>
    <w:tmpl w:val="AE9B1668"/>
    <w:lvl w:ilvl="0" w:tentative="0">
      <w:start w:val="1"/>
      <w:numFmt w:val="decimal"/>
      <w:suff w:val="nothing"/>
      <w:lvlText w:val="%1、"/>
      <w:lvlJc w:val="left"/>
    </w:lvl>
  </w:abstractNum>
  <w:abstractNum w:abstractNumId="1">
    <w:nsid w:val="DBDE0073"/>
    <w:multiLevelType w:val="singleLevel"/>
    <w:tmpl w:val="DBDE0073"/>
    <w:lvl w:ilvl="0" w:tentative="0">
      <w:start w:val="4"/>
      <w:numFmt w:val="decimal"/>
      <w:suff w:val="nothing"/>
      <w:lvlText w:val="%1、"/>
      <w:lvlJc w:val="left"/>
    </w:lvl>
  </w:abstractNum>
  <w:abstractNum w:abstractNumId="2">
    <w:nsid w:val="4173C856"/>
    <w:multiLevelType w:val="singleLevel"/>
    <w:tmpl w:val="4173C856"/>
    <w:lvl w:ilvl="0" w:tentative="0">
      <w:start w:val="1"/>
      <w:numFmt w:val="decimal"/>
      <w:suff w:val="nothing"/>
      <w:lvlText w:val="%1）"/>
      <w:lvlJc w:val="left"/>
    </w:lvl>
  </w:abstractNum>
  <w:abstractNum w:abstractNumId="3">
    <w:nsid w:val="59754CC2"/>
    <w:multiLevelType w:val="singleLevel"/>
    <w:tmpl w:val="59754CC2"/>
    <w:lvl w:ilvl="0" w:tentative="0">
      <w:start w:val="5"/>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DD2DFE"/>
    <w:rsid w:val="01A54350"/>
    <w:rsid w:val="021E5FFF"/>
    <w:rsid w:val="03E70470"/>
    <w:rsid w:val="03FE5771"/>
    <w:rsid w:val="050B33DA"/>
    <w:rsid w:val="05A26681"/>
    <w:rsid w:val="06B760C0"/>
    <w:rsid w:val="06BC0511"/>
    <w:rsid w:val="082D2FBD"/>
    <w:rsid w:val="093F50D4"/>
    <w:rsid w:val="0ADA688A"/>
    <w:rsid w:val="0B305831"/>
    <w:rsid w:val="0B935616"/>
    <w:rsid w:val="0B967C70"/>
    <w:rsid w:val="0BFE7C3C"/>
    <w:rsid w:val="0C2155FC"/>
    <w:rsid w:val="0C9F599A"/>
    <w:rsid w:val="0CAA0142"/>
    <w:rsid w:val="0CB30D60"/>
    <w:rsid w:val="0E886019"/>
    <w:rsid w:val="0F0508CD"/>
    <w:rsid w:val="0F922050"/>
    <w:rsid w:val="101E0336"/>
    <w:rsid w:val="107A6E59"/>
    <w:rsid w:val="113739F7"/>
    <w:rsid w:val="119974E0"/>
    <w:rsid w:val="13A6523A"/>
    <w:rsid w:val="146C76F1"/>
    <w:rsid w:val="15CE1779"/>
    <w:rsid w:val="15D52E39"/>
    <w:rsid w:val="191A3CF9"/>
    <w:rsid w:val="1A386659"/>
    <w:rsid w:val="1A5A0EF0"/>
    <w:rsid w:val="1AED051C"/>
    <w:rsid w:val="1B7A3270"/>
    <w:rsid w:val="1B855B1D"/>
    <w:rsid w:val="1B9367C6"/>
    <w:rsid w:val="1D8D4A38"/>
    <w:rsid w:val="1DB92368"/>
    <w:rsid w:val="1DFE5A45"/>
    <w:rsid w:val="1E9841C5"/>
    <w:rsid w:val="201A48D7"/>
    <w:rsid w:val="208078E5"/>
    <w:rsid w:val="212D101D"/>
    <w:rsid w:val="21DD2DFE"/>
    <w:rsid w:val="237D738D"/>
    <w:rsid w:val="24EB17DF"/>
    <w:rsid w:val="25115FD4"/>
    <w:rsid w:val="253662A2"/>
    <w:rsid w:val="25645C61"/>
    <w:rsid w:val="259E53C5"/>
    <w:rsid w:val="25B447B8"/>
    <w:rsid w:val="25BF55D1"/>
    <w:rsid w:val="27457196"/>
    <w:rsid w:val="27A22935"/>
    <w:rsid w:val="29C3322A"/>
    <w:rsid w:val="29D606A3"/>
    <w:rsid w:val="2A4279FD"/>
    <w:rsid w:val="2B1A2C1B"/>
    <w:rsid w:val="2B323577"/>
    <w:rsid w:val="2C236198"/>
    <w:rsid w:val="2EEF2F4C"/>
    <w:rsid w:val="2F5B668E"/>
    <w:rsid w:val="31336976"/>
    <w:rsid w:val="320207E9"/>
    <w:rsid w:val="32E06DBC"/>
    <w:rsid w:val="33963C87"/>
    <w:rsid w:val="33CB08DB"/>
    <w:rsid w:val="33E50308"/>
    <w:rsid w:val="36F14A7B"/>
    <w:rsid w:val="37FB3CCD"/>
    <w:rsid w:val="38727890"/>
    <w:rsid w:val="38EF4231"/>
    <w:rsid w:val="3A436F0A"/>
    <w:rsid w:val="3A7F3A5C"/>
    <w:rsid w:val="3AF55F01"/>
    <w:rsid w:val="3B2C3671"/>
    <w:rsid w:val="3C7066A8"/>
    <w:rsid w:val="3CAE440B"/>
    <w:rsid w:val="3D0569B8"/>
    <w:rsid w:val="3D227340"/>
    <w:rsid w:val="3D6D3B1E"/>
    <w:rsid w:val="3EE10D07"/>
    <w:rsid w:val="3F224674"/>
    <w:rsid w:val="400165E9"/>
    <w:rsid w:val="40B25005"/>
    <w:rsid w:val="40D822C1"/>
    <w:rsid w:val="40FD592E"/>
    <w:rsid w:val="412701FD"/>
    <w:rsid w:val="41C5688C"/>
    <w:rsid w:val="439D0A25"/>
    <w:rsid w:val="44A450A2"/>
    <w:rsid w:val="44A86B98"/>
    <w:rsid w:val="450522E7"/>
    <w:rsid w:val="469E5954"/>
    <w:rsid w:val="46D74F66"/>
    <w:rsid w:val="475B0F16"/>
    <w:rsid w:val="47D0530C"/>
    <w:rsid w:val="4859162B"/>
    <w:rsid w:val="48ED2414"/>
    <w:rsid w:val="490F5190"/>
    <w:rsid w:val="4A4B5817"/>
    <w:rsid w:val="4A5E33D5"/>
    <w:rsid w:val="4B300FEC"/>
    <w:rsid w:val="4C21282E"/>
    <w:rsid w:val="4C385348"/>
    <w:rsid w:val="4C3F7BAC"/>
    <w:rsid w:val="4C486D4D"/>
    <w:rsid w:val="4D4A6C7C"/>
    <w:rsid w:val="4D7831D4"/>
    <w:rsid w:val="4DBC1A65"/>
    <w:rsid w:val="4E1C421C"/>
    <w:rsid w:val="4F8B2D0A"/>
    <w:rsid w:val="50451B64"/>
    <w:rsid w:val="52CD6633"/>
    <w:rsid w:val="53503387"/>
    <w:rsid w:val="54764C98"/>
    <w:rsid w:val="54BD330C"/>
    <w:rsid w:val="55B13431"/>
    <w:rsid w:val="58A55935"/>
    <w:rsid w:val="59C003D4"/>
    <w:rsid w:val="59DC5320"/>
    <w:rsid w:val="5AC53E45"/>
    <w:rsid w:val="5ADD3AFA"/>
    <w:rsid w:val="5AF86D9B"/>
    <w:rsid w:val="5B531FE8"/>
    <w:rsid w:val="5BF87B97"/>
    <w:rsid w:val="5C456D65"/>
    <w:rsid w:val="5D1279B3"/>
    <w:rsid w:val="5D134CE9"/>
    <w:rsid w:val="5D652288"/>
    <w:rsid w:val="5D736B4D"/>
    <w:rsid w:val="5E944620"/>
    <w:rsid w:val="5F885D37"/>
    <w:rsid w:val="5FB64E44"/>
    <w:rsid w:val="5FBC610D"/>
    <w:rsid w:val="60203F6B"/>
    <w:rsid w:val="602B29CB"/>
    <w:rsid w:val="60BB3A9F"/>
    <w:rsid w:val="60C94737"/>
    <w:rsid w:val="61292265"/>
    <w:rsid w:val="61B94818"/>
    <w:rsid w:val="62321D51"/>
    <w:rsid w:val="624028DA"/>
    <w:rsid w:val="6269597B"/>
    <w:rsid w:val="626F7EE4"/>
    <w:rsid w:val="62FD510B"/>
    <w:rsid w:val="64425E2C"/>
    <w:rsid w:val="64D61633"/>
    <w:rsid w:val="65A31FD1"/>
    <w:rsid w:val="65B23552"/>
    <w:rsid w:val="65EE2407"/>
    <w:rsid w:val="66632908"/>
    <w:rsid w:val="677A6AC1"/>
    <w:rsid w:val="67DB6E94"/>
    <w:rsid w:val="683C128B"/>
    <w:rsid w:val="697053B3"/>
    <w:rsid w:val="69936A26"/>
    <w:rsid w:val="6AA71641"/>
    <w:rsid w:val="6B1A57D4"/>
    <w:rsid w:val="6CBC5ECA"/>
    <w:rsid w:val="6D45162E"/>
    <w:rsid w:val="6EDA6DB4"/>
    <w:rsid w:val="6FA51E8E"/>
    <w:rsid w:val="6FD000B8"/>
    <w:rsid w:val="6FDA7FA9"/>
    <w:rsid w:val="70112D25"/>
    <w:rsid w:val="71C922A1"/>
    <w:rsid w:val="73B501BA"/>
    <w:rsid w:val="75344FE7"/>
    <w:rsid w:val="767D4382"/>
    <w:rsid w:val="76947E57"/>
    <w:rsid w:val="76BA7444"/>
    <w:rsid w:val="76F82C10"/>
    <w:rsid w:val="77352262"/>
    <w:rsid w:val="77917A70"/>
    <w:rsid w:val="77A609BE"/>
    <w:rsid w:val="7805351A"/>
    <w:rsid w:val="78642432"/>
    <w:rsid w:val="787B3B88"/>
    <w:rsid w:val="78FB6E9E"/>
    <w:rsid w:val="79A552F9"/>
    <w:rsid w:val="7BA61BBC"/>
    <w:rsid w:val="7BC51DCB"/>
    <w:rsid w:val="7C4D48FF"/>
    <w:rsid w:val="7C7A6019"/>
    <w:rsid w:val="7CF13E51"/>
    <w:rsid w:val="7D972BF8"/>
    <w:rsid w:val="7DE24515"/>
    <w:rsid w:val="7F0A6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List Paragraph"/>
    <w:basedOn w:val="1"/>
    <w:qFormat/>
    <w:uiPriority w:val="0"/>
    <w:pPr>
      <w:ind w:firstLine="42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2017-07-24T01:14:00Z</dcterms:created>
  <dc:creator>Administrator</dc:creator>
  <cp:lastModifiedBy>rekong</cp:lastModifiedBy>
  <cp:lastPrinted>2020-07-11T07:35:00Z</cp:lastPrinted>
  <dcterms:modified xsi:type="dcterms:W3CDTF">2021-01-18T03:13:28Z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