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仿宋" w:hAnsi="仿宋"/>
          <w:sz w:val="36"/>
        </w:rPr>
        <w:t>技术能手（赵华鹏2025年01月）管理月报（一）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17"/>
        <w:gridCol w:w="1417"/>
        <w:gridCol w:w="2835"/>
        <w:gridCol w:w="1134"/>
        <w:gridCol w:w="1728"/>
      </w:tblGrid>
      <w:tr>
        <w:trPr>
          <w:trHeight w:val="1134"/>
        </w:trPr>
        <w:tc>
          <w:tcPr>
            <w:tcW w:type="dxa" w:w="1728"/>
            <w:vMerge w:val="restart"/>
            <w:vAlign w:val="center"/>
          </w:tcPr>
          <w:p>
            <w:r>
              <w:t>技术成果</w:t>
            </w:r>
          </w:p>
        </w:tc>
        <w:tc>
          <w:tcPr>
            <w:tcW w:type="dxa" w:w="1728"/>
            <w:vAlign w:val="center"/>
          </w:tcPr>
          <w:p>
            <w:r>
              <w:t>季度目标</w:t>
            </w:r>
          </w:p>
        </w:tc>
        <w:tc>
          <w:tcPr>
            <w:tcW w:type="dxa" w:w="5184"/>
            <w:gridSpan w:val="3"/>
            <w:vAlign w:val="center"/>
          </w:tcPr>
          <w:p>
            <w:r>
              <w:t>热控班组管理平台-SIS系统功能模块搭建（dklovelich.iok.la）</w:t>
            </w:r>
          </w:p>
        </w:tc>
      </w:tr>
      <w:tr>
        <w:trPr>
          <w:trHeight w:val="1134"/>
        </w:trPr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r>
              <w:t>月度目标</w:t>
            </w:r>
          </w:p>
        </w:tc>
        <w:tc>
          <w:tcPr>
            <w:tcW w:type="dxa" w:w="1728"/>
            <w:vAlign w:val="center"/>
          </w:tcPr>
          <w:p>
            <w:r>
              <w:t>SIS系统OPC UA模块搭建</w:t>
            </w:r>
          </w:p>
        </w:tc>
        <w:tc>
          <w:tcPr>
            <w:tcW w:type="dxa" w:w="1728"/>
            <w:vAlign w:val="center"/>
          </w:tcPr>
          <w:p>
            <w:r>
              <w:t>自我评分</w:t>
            </w:r>
          </w:p>
        </w:tc>
        <w:tc>
          <w:tcPr>
            <w:tcW w:type="dxa" w:w="1728"/>
            <w:vAlign w:val="center"/>
          </w:tcPr>
          <w:p>
            <w:r>
              <w:t>复核得分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r>
              <w:t>完成情况</w:t>
            </w:r>
          </w:p>
        </w:tc>
        <w:tc>
          <w:tcPr>
            <w:tcW w:type="dxa" w:w="1728"/>
            <w:vAlign w:val="center"/>
          </w:tcPr>
          <w:p>
            <w:r>
              <w:t>已完成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  <w:tr>
        <w:tc>
          <w:tcPr>
            <w:tcW w:type="dxa" w:w="1728"/>
            <w:vMerge w:val="restart"/>
            <w:vAlign w:val="center"/>
          </w:tcPr>
          <w:p>
            <w:r>
              <w:t>重要活动</w:t>
            </w:r>
          </w:p>
        </w:tc>
        <w:tc>
          <w:tcPr>
            <w:tcW w:type="dxa" w:w="1728"/>
            <w:vAlign w:val="center"/>
          </w:tcPr>
          <w:p>
            <w:r>
              <w:t>参加时间</w:t>
            </w:r>
          </w:p>
        </w:tc>
        <w:tc>
          <w:tcPr>
            <w:tcW w:type="dxa" w:w="1728"/>
            <w:vAlign w:val="center"/>
          </w:tcPr>
          <w:p>
            <w:r>
              <w:t>活动内容</w:t>
            </w:r>
          </w:p>
        </w:tc>
        <w:tc>
          <w:tcPr>
            <w:tcW w:type="dxa" w:w="1728"/>
            <w:vAlign w:val="center"/>
          </w:tcPr>
          <w:p>
            <w:r>
              <w:t>负责人签确</w:t>
            </w:r>
          </w:p>
        </w:tc>
        <w:tc>
          <w:tcPr>
            <w:tcW w:type="dxa" w:w="1728"/>
            <w:vAlign w:val="center"/>
          </w:tcPr>
          <w:p>
            <w:r>
              <w:t>得分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r>
              <w:t>01.15</w:t>
            </w:r>
          </w:p>
        </w:tc>
        <w:tc>
          <w:tcPr>
            <w:tcW w:type="dxa" w:w="1728"/>
            <w:vAlign w:val="center"/>
          </w:tcPr>
          <w:p>
            <w:r>
              <w:t>2号汽轮机检修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r>
              <w:t>01.20</w:t>
            </w:r>
          </w:p>
        </w:tc>
        <w:tc>
          <w:tcPr>
            <w:tcW w:type="dxa" w:w="1728"/>
            <w:vAlign w:val="center"/>
          </w:tcPr>
          <w:p>
            <w:r>
              <w:t>2号汽轮机检修异动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r>
              <w:t>01.22</w:t>
            </w:r>
          </w:p>
        </w:tc>
        <w:tc>
          <w:tcPr>
            <w:tcW w:type="dxa" w:w="1728"/>
            <w:vAlign w:val="center"/>
          </w:tcPr>
          <w:p>
            <w:r>
              <w:t>2号汽轮机启动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Align w:val="center"/>
          </w:tcPr>
          <w:p>
            <w:r>
              <w:t>01.26</w:t>
            </w:r>
          </w:p>
        </w:tc>
        <w:tc>
          <w:tcPr>
            <w:tcW w:type="dxa" w:w="1728"/>
            <w:vAlign w:val="center"/>
          </w:tcPr>
          <w:p>
            <w:r>
              <w:t>3号净烟气粉尘仪故障检查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5184"/>
            <w:gridSpan w:val="3"/>
            <w:vAlign w:val="center"/>
          </w:tcPr>
          <w:p>
            <w:r>
              <w:t>得分小计</w:t>
            </w:r>
          </w:p>
        </w:tc>
        <w:tc>
          <w:tcPr>
            <w:tcW w:type="dxa" w:w="1728"/>
            <w:vAlign w:val="center"/>
          </w:tcPr>
          <w:p/>
        </w:tc>
      </w:tr>
    </w:tbl>
    <w:p>
      <w:pPr>
        <w:jc w:val="center"/>
      </w:pPr>
      <w:r>
        <w:rPr>
          <w:rFonts w:ascii="仿宋" w:hAnsi="仿宋"/>
          <w:sz w:val="36"/>
        </w:rPr>
        <w:t>技术能手（赵华鹏2025年01月）管理月报（二）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67"/>
        <w:gridCol w:w="567"/>
        <w:gridCol w:w="1701"/>
        <w:gridCol w:w="2835"/>
        <w:gridCol w:w="1134"/>
        <w:gridCol w:w="1440"/>
      </w:tblGrid>
      <w:tr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t>学习传授</w:t>
            </w:r>
          </w:p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t>自我学习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时间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内容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得分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01.06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Python编程学习（一）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01.08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Python编程学习（二）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01.12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Python编程学习（三）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01.15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Python Django框架学习（一）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01.17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Python Django框架学习（二）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01.18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Python Django框架学习（三）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01.23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Python Django框架学习（四）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01.25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PySCADA(一款开源SIS系统)编译安装（一）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01.28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PySCADA(一款开源SIS系统)编译安装（二）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01.29</w:t>
            </w:r>
          </w:p>
        </w:tc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t>PySCADA(一款开源SIS系统)编译安装（三）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4320"/>
            <w:gridSpan w:val="3"/>
            <w:vAlign w:val="center"/>
          </w:tcPr>
          <w:p>
            <w:pPr>
              <w:jc w:val="center"/>
            </w:pPr>
            <w:r>
              <w:t>得分小计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t>授课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时间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内容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参与人员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得分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01.10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PLC系统自定义模块讲解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01.17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PLC系统自定义门模块讲解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4320"/>
            <w:gridSpan w:val="3"/>
            <w:vAlign w:val="center"/>
          </w:tcPr>
          <w:p>
            <w:pPr>
              <w:jc w:val="center"/>
            </w:pPr>
            <w:r>
              <w:t>得分小计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 w:val="restart"/>
            <w:vAlign w:val="center"/>
          </w:tcPr>
          <w:p>
            <w:pPr>
              <w:jc w:val="center"/>
            </w:pPr>
            <w:r>
              <w:t>授课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时间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内容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徒弟签确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得分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01.07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PLC系统TP脉冲模块制作（一）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01.09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PLC系统TP脉冲模块制作（二）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01.11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PLC系统自定义模块讲解（一）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01.13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PLC系统自定义模块讲解（二）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01.14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PLC系统三取二模块制作（一）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01.16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PLC系统三取二模块制作（二）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01.18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控制系统阀门模块功能讲解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01.19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PLC系统阀门模块制作（一）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01.21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PLC系统阀门模块制作（二）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01.22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t>PLC系统阀门模块制作（三）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4320"/>
            <w:gridSpan w:val="3"/>
            <w:vAlign w:val="center"/>
          </w:tcPr>
          <w:p>
            <w:pPr>
              <w:jc w:val="center"/>
            </w:pPr>
            <w:r>
              <w:t>得分小计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7200"/>
            <w:gridSpan w:val="5"/>
            <w:vAlign w:val="center"/>
          </w:tcPr>
          <w:p>
            <w:pPr>
              <w:jc w:val="center"/>
            </w:pPr>
            <w:r>
              <w:t>月度合计得分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_GB2312" w:hAnsi="仿宋_GB2312" w:eastAsia="仿宋_GB23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仿宋" w:hAnsi="仿宋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