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4964E" w14:textId="4493D95A" w:rsidR="00E23AF4" w:rsidRDefault="00F97117" w:rsidP="00E23AF4">
      <w:pPr>
        <w:spacing w:after="0"/>
        <w:ind w:left="0" w:firstLine="0"/>
        <w:jc w:val="center"/>
        <w:rPr>
          <w:b/>
          <w:color w:val="2F5496" w:themeColor="accent1" w:themeShade="BF"/>
          <w:sz w:val="44"/>
        </w:rPr>
      </w:pPr>
      <w:r w:rsidRPr="00F97117">
        <w:rPr>
          <w:b/>
          <w:color w:val="2F5496" w:themeColor="accent1" w:themeShade="BF"/>
          <w:sz w:val="44"/>
        </w:rPr>
        <w:t>K-Means Clustering of Tax Rate and Average Monthly Income</w:t>
      </w:r>
    </w:p>
    <w:p w14:paraId="34849D49" w14:textId="14BFCB9E" w:rsidR="000B4D70" w:rsidRPr="00CB1C97" w:rsidRDefault="003C4AD1" w:rsidP="00E23AF4">
      <w:pPr>
        <w:spacing w:after="0"/>
        <w:ind w:left="0" w:firstLine="0"/>
        <w:rPr>
          <w:rFonts w:eastAsia="Times New Roman"/>
          <w:kern w:val="0"/>
          <w14:ligatures w14:val="none"/>
        </w:rPr>
      </w:pPr>
      <w:proofErr w:type="gramStart"/>
      <w:r>
        <w:rPr>
          <w:b/>
          <w:color w:val="404040"/>
        </w:rPr>
        <w:t>Name</w:t>
      </w:r>
      <w:r>
        <w:t xml:space="preserve"> </w:t>
      </w:r>
      <w:r>
        <w:rPr>
          <w:b/>
        </w:rPr>
        <w:t>:</w:t>
      </w:r>
      <w:proofErr w:type="gramEnd"/>
      <w:r>
        <w:rPr>
          <w:b/>
        </w:rPr>
        <w:t xml:space="preserve"> </w:t>
      </w:r>
      <w:r w:rsidR="00F97117">
        <w:rPr>
          <w:rFonts w:eastAsia="Times New Roman"/>
          <w:kern w:val="0"/>
          <w14:ligatures w14:val="none"/>
        </w:rPr>
        <w:t>Dha</w:t>
      </w:r>
      <w:r w:rsidR="00A610DC">
        <w:rPr>
          <w:rFonts w:eastAsia="Times New Roman"/>
          <w:kern w:val="0"/>
          <w14:ligatures w14:val="none"/>
        </w:rPr>
        <w:t xml:space="preserve">nyasree </w:t>
      </w:r>
      <w:proofErr w:type="spellStart"/>
      <w:r w:rsidR="00A610DC">
        <w:rPr>
          <w:rFonts w:eastAsia="Times New Roman"/>
          <w:kern w:val="0"/>
          <w14:ligatures w14:val="none"/>
        </w:rPr>
        <w:t>kanchrala</w:t>
      </w:r>
      <w:proofErr w:type="spellEnd"/>
      <w:r w:rsidR="007246CA">
        <w:rPr>
          <w:b/>
        </w:rPr>
        <w:t xml:space="preserve">       </w:t>
      </w:r>
      <w:r>
        <w:t xml:space="preserve">                                                                                                                            </w:t>
      </w:r>
      <w:r>
        <w:rPr>
          <w:b/>
          <w:color w:val="404040"/>
        </w:rPr>
        <w:t>Student ID</w:t>
      </w:r>
      <w:r>
        <w:rPr>
          <w:color w:val="404040"/>
        </w:rPr>
        <w:t xml:space="preserve"> </w:t>
      </w:r>
      <w:r>
        <w:rPr>
          <w:b/>
        </w:rPr>
        <w:t>:</w:t>
      </w:r>
      <w:r>
        <w:t xml:space="preserve"> </w:t>
      </w:r>
      <w:r w:rsidR="00F97117" w:rsidRPr="00F97117">
        <w:rPr>
          <w:b/>
        </w:rPr>
        <w:t>23070191</w:t>
      </w:r>
    </w:p>
    <w:p w14:paraId="5E92BB74" w14:textId="209D21D9" w:rsidR="000B4D70" w:rsidRDefault="003C4AD1">
      <w:pPr>
        <w:spacing w:after="218"/>
        <w:ind w:left="0" w:firstLine="0"/>
      </w:pPr>
      <w:r>
        <w:rPr>
          <w:b/>
          <w:color w:val="3B3838"/>
        </w:rPr>
        <w:t xml:space="preserve">Email ID </w:t>
      </w:r>
      <w:r>
        <w:rPr>
          <w:b/>
        </w:rPr>
        <w:t>:</w:t>
      </w:r>
      <w:r>
        <w:t xml:space="preserve">  </w:t>
      </w:r>
      <w:r w:rsidR="00A610DC" w:rsidRPr="00A610DC">
        <w:t>dk24abc@herts.ac.uk</w:t>
      </w:r>
      <w:r>
        <w:t xml:space="preserve">                            </w:t>
      </w:r>
      <w:r w:rsidR="00A610DC">
        <w:t xml:space="preserve">                     </w:t>
      </w:r>
      <w:r>
        <w:t xml:space="preserve">   </w:t>
      </w:r>
      <w:r>
        <w:rPr>
          <w:b/>
          <w:color w:val="3B3838"/>
        </w:rPr>
        <w:t>Git hub Link</w:t>
      </w:r>
      <w:r>
        <w:rPr>
          <w:color w:val="3B3838"/>
        </w:rPr>
        <w:t xml:space="preserve">  </w:t>
      </w:r>
      <w:r>
        <w:rPr>
          <w:b/>
        </w:rPr>
        <w:t>:</w:t>
      </w:r>
      <w:r w:rsidR="007246CA">
        <w:rPr>
          <w:b/>
        </w:rPr>
        <w:t xml:space="preserve"> </w:t>
      </w:r>
      <w:hyperlink r:id="rId5" w:history="1">
        <w:r w:rsidR="00A610DC" w:rsidRPr="00A610DC">
          <w:rPr>
            <w:rStyle w:val="Hyperlink"/>
          </w:rPr>
          <w:t>https://github.com/dk24abc/Clustering-and-Fitting</w:t>
        </w:r>
      </w:hyperlink>
    </w:p>
    <w:p w14:paraId="3E2E4B59" w14:textId="4989366F" w:rsidR="000B4D70" w:rsidRDefault="003C4AD1">
      <w:pPr>
        <w:pStyle w:val="Heading1"/>
        <w:rPr>
          <w:u w:val="none" w:color="000000"/>
        </w:rPr>
      </w:pPr>
      <w:r w:rsidRPr="007246CA">
        <w:rPr>
          <w:color w:val="2F5496" w:themeColor="accent1" w:themeShade="BF"/>
        </w:rPr>
        <w:t>Introduction</w:t>
      </w:r>
      <w:r>
        <w:rPr>
          <w:u w:val="none" w:color="000000"/>
        </w:rPr>
        <w:t xml:space="preserve"> </w:t>
      </w:r>
    </w:p>
    <w:p w14:paraId="5F2875FC" w14:textId="01F573D0" w:rsidR="007246CA" w:rsidRDefault="008D039C" w:rsidP="0029788B">
      <w:pPr>
        <w:spacing w:after="112" w:line="274" w:lineRule="auto"/>
        <w:ind w:left="0" w:firstLine="0"/>
        <w:jc w:val="both"/>
      </w:pPr>
      <w:r w:rsidRPr="008D039C">
        <w:t>The financial aspects of different countries' income, cost of living, and various spending categories have been documented in this dataset. These consist of 500 entries that span several years. The important metrics are `Average Monthly Income`, which averages $4,291.25 with a standard deviation of $2,179.22, while the average of `Cost of Living` is $3,716.23. Housing costs take about 34.97% of income, while tax rates come at an average of 22.4%. Other major cost percentages are savings, 14.93%; healthcare, 12.38%; and transportation, 12.48%. The dataset ranges from approximately 2011, and it is close to zero, showing a reasonably even distribution of the data. Kurtosis values, though, indicate a slight peakiness. This data shall prove valuable in understanding the financial condition and cost structures in various regions.</w:t>
      </w:r>
    </w:p>
    <w:p w14:paraId="5D3ABB40" w14:textId="510014CF" w:rsidR="007246CA" w:rsidRPr="00CF7F19" w:rsidRDefault="003C4AD1" w:rsidP="00026968">
      <w:pPr>
        <w:spacing w:after="112" w:line="274" w:lineRule="auto"/>
        <w:ind w:left="0" w:firstLine="0"/>
        <w:jc w:val="both"/>
        <w:rPr>
          <w:b/>
          <w:color w:val="4472C4"/>
          <w:sz w:val="28"/>
        </w:rPr>
      </w:pPr>
      <w:r>
        <w:t xml:space="preserve"> </w:t>
      </w:r>
      <w:r w:rsidRPr="007246CA">
        <w:rPr>
          <w:b/>
          <w:color w:val="2F5496" w:themeColor="accent1" w:themeShade="BF"/>
          <w:sz w:val="28"/>
          <w:u w:val="single" w:color="4472C4"/>
        </w:rPr>
        <w:t>Visualizations</w:t>
      </w:r>
      <w:r>
        <w:rPr>
          <w:b/>
          <w:color w:val="4472C4"/>
          <w:sz w:val="28"/>
        </w:rPr>
        <w:t xml:space="preserve"> </w:t>
      </w:r>
    </w:p>
    <w:p w14:paraId="3683CA63" w14:textId="23BF0929" w:rsidR="007246CA" w:rsidRDefault="0029788B" w:rsidP="007246CA">
      <w:pPr>
        <w:numPr>
          <w:ilvl w:val="0"/>
          <w:numId w:val="1"/>
        </w:numPr>
        <w:spacing w:after="160"/>
        <w:ind w:hanging="360"/>
      </w:pPr>
      <w:r>
        <w:rPr>
          <w:b/>
        </w:rPr>
        <w:t>Heat map</w:t>
      </w:r>
      <w:r w:rsidR="00CF7F19">
        <w:rPr>
          <w:b/>
        </w:rPr>
        <w:t xml:space="preserve"> </w:t>
      </w:r>
      <w:r w:rsidR="003C4AD1">
        <w:rPr>
          <w:b/>
        </w:rPr>
        <w:t>Correlation</w:t>
      </w:r>
    </w:p>
    <w:p w14:paraId="4E30A556" w14:textId="4867CADA" w:rsidR="00055CF1" w:rsidRPr="000A7F36" w:rsidRDefault="008D039C" w:rsidP="00055CF1">
      <w:pPr>
        <w:spacing w:after="158"/>
        <w:ind w:left="0" w:firstLine="0"/>
        <w:rPr>
          <w:bCs/>
        </w:rPr>
      </w:pPr>
      <w:r>
        <w:rPr>
          <w:bCs/>
          <w:noProof/>
        </w:rPr>
        <w:drawing>
          <wp:inline distT="0" distB="0" distL="0" distR="0" wp14:anchorId="0E9AF842" wp14:editId="7E979CB6">
            <wp:extent cx="7191375" cy="5072743"/>
            <wp:effectExtent l="0" t="0" r="0" b="0"/>
            <wp:docPr id="11864047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6988" cy="5076702"/>
                    </a:xfrm>
                    <a:prstGeom prst="rect">
                      <a:avLst/>
                    </a:prstGeom>
                    <a:noFill/>
                    <a:ln>
                      <a:noFill/>
                    </a:ln>
                  </pic:spPr>
                </pic:pic>
              </a:graphicData>
            </a:graphic>
          </wp:inline>
        </w:drawing>
      </w:r>
      <w:r w:rsidRPr="008D039C">
        <w:rPr>
          <w:bCs/>
          <w:noProof/>
        </w:rPr>
        <w:t>The half correlation heatmap visualizes the relationship of financial variables such as Year, Average Monthly Income, Cost of Living, and various cost percentages. It reveals very weak positive correlations between Year and both Average Monthly Income (0.02) and Cost of Living (0.01), with a weak negative correlation between Average Monthly Income and Cost of Living at -0.04. There is also a 0.08 weak positive correlation between Housing and Transportation Cost Percentages. The following heat map shows the interaction of these financial factors.</w:t>
      </w:r>
    </w:p>
    <w:p w14:paraId="31CA2727" w14:textId="28444AC0" w:rsidR="00055CF1" w:rsidRDefault="00055CF1" w:rsidP="00055CF1">
      <w:pPr>
        <w:spacing w:after="158"/>
        <w:ind w:left="0" w:firstLine="0"/>
        <w:rPr>
          <w:b/>
        </w:rPr>
      </w:pPr>
    </w:p>
    <w:p w14:paraId="0952ED04" w14:textId="5A8A1B2C" w:rsidR="000A7F36" w:rsidRDefault="000A7F36" w:rsidP="00055CF1">
      <w:pPr>
        <w:spacing w:after="158"/>
        <w:ind w:left="0" w:firstLine="0"/>
        <w:rPr>
          <w:b/>
        </w:rPr>
      </w:pPr>
    </w:p>
    <w:p w14:paraId="47A42A26" w14:textId="55265F04" w:rsidR="000A7F36" w:rsidRDefault="000A7F36" w:rsidP="00055CF1">
      <w:pPr>
        <w:spacing w:after="158"/>
        <w:ind w:left="0" w:firstLine="0"/>
        <w:rPr>
          <w:b/>
        </w:rPr>
      </w:pPr>
    </w:p>
    <w:p w14:paraId="7C5C4E3D" w14:textId="09B98ED2" w:rsidR="000A7F36" w:rsidRDefault="000A7F36" w:rsidP="00055CF1">
      <w:pPr>
        <w:spacing w:after="158"/>
        <w:ind w:left="0" w:firstLine="0"/>
        <w:rPr>
          <w:b/>
        </w:rPr>
      </w:pPr>
    </w:p>
    <w:p w14:paraId="66D9A8E0" w14:textId="0A9D66A8" w:rsidR="000B4D70" w:rsidRDefault="00A72D21" w:rsidP="00055CF1">
      <w:pPr>
        <w:spacing w:after="158"/>
        <w:ind w:left="0" w:firstLine="0"/>
      </w:pPr>
      <w:proofErr w:type="gramStart"/>
      <w:r>
        <w:rPr>
          <w:b/>
        </w:rPr>
        <w:t xml:space="preserve">2 </w:t>
      </w:r>
      <w:r w:rsidR="003C4AD1">
        <w:rPr>
          <w:b/>
        </w:rPr>
        <w:t>.</w:t>
      </w:r>
      <w:proofErr w:type="gramEnd"/>
      <w:r w:rsidR="003C4AD1">
        <w:rPr>
          <w:b/>
        </w:rPr>
        <w:t xml:space="preserve"> </w:t>
      </w:r>
      <w:r w:rsidR="00966D3D">
        <w:rPr>
          <w:b/>
        </w:rPr>
        <w:t>Bar</w:t>
      </w:r>
      <w:r w:rsidR="003C4AD1">
        <w:rPr>
          <w:b/>
        </w:rPr>
        <w:t xml:space="preserve"> Chart</w:t>
      </w:r>
      <w:r w:rsidR="003C4AD1">
        <w:t xml:space="preserve"> </w:t>
      </w:r>
    </w:p>
    <w:p w14:paraId="7340EFB5" w14:textId="5377E13E" w:rsidR="000B4D70" w:rsidRDefault="00966D3D" w:rsidP="00014430">
      <w:pPr>
        <w:ind w:left="0" w:firstLine="0"/>
      </w:pPr>
      <w:r>
        <w:rPr>
          <w:bCs/>
          <w:noProof/>
        </w:rPr>
        <w:drawing>
          <wp:anchor distT="0" distB="0" distL="114300" distR="114300" simplePos="0" relativeHeight="251728896" behindDoc="0" locked="0" layoutInCell="1" allowOverlap="1" wp14:anchorId="41E3F5EA" wp14:editId="472834DC">
            <wp:simplePos x="0" y="0"/>
            <wp:positionH relativeFrom="margin">
              <wp:align>left</wp:align>
            </wp:positionH>
            <wp:positionV relativeFrom="paragraph">
              <wp:posOffset>218440</wp:posOffset>
            </wp:positionV>
            <wp:extent cx="4038600" cy="2209800"/>
            <wp:effectExtent l="0" t="0" r="0" b="0"/>
            <wp:wrapSquare wrapText="bothSides"/>
            <wp:docPr id="18809578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860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6D3D">
        <w:t xml:space="preserve"> </w:t>
      </w:r>
      <w:r w:rsidRPr="00966D3D">
        <w:rPr>
          <w:noProof/>
        </w:rPr>
        <w:t>This bar chart, shows the average of the monthly income in a country like Australia, India, Russia, South Africa, Brazil, China, Japan, Canada, Germany, Mexico, United States, and France. The x-axis represents the countries, while the y-axis represents the average monthly income, ranging from 0 to 5000. Bars colored in shades of blue to red are used, and black error bars show the variability or uncertainty in the data. This chart compares clearly the average incomes across different countries, highlighting great differences and variability in the level of income.</w:t>
      </w:r>
    </w:p>
    <w:p w14:paraId="1D38FAFA" w14:textId="37B200A0" w:rsidR="000B4D70" w:rsidRDefault="003C4AD1">
      <w:pPr>
        <w:spacing w:after="158"/>
        <w:ind w:left="317" w:firstLine="0"/>
        <w:jc w:val="center"/>
      </w:pPr>
      <w:r>
        <w:t xml:space="preserve"> </w:t>
      </w:r>
    </w:p>
    <w:p w14:paraId="5FA47BC3" w14:textId="751C4C58" w:rsidR="0010260C" w:rsidRPr="00F70825" w:rsidRDefault="0010260C" w:rsidP="00F70825">
      <w:pPr>
        <w:spacing w:after="218"/>
      </w:pPr>
    </w:p>
    <w:p w14:paraId="5F7ABBDC" w14:textId="59A9C3A1" w:rsidR="000B4D70" w:rsidRPr="007246CA" w:rsidRDefault="00966D3D" w:rsidP="002D3E07">
      <w:pPr>
        <w:pStyle w:val="Heading2"/>
        <w:spacing w:after="158"/>
        <w:ind w:left="0" w:firstLine="0"/>
        <w:jc w:val="left"/>
        <w:rPr>
          <w:color w:val="2F5496" w:themeColor="accent1" w:themeShade="BF"/>
        </w:rPr>
      </w:pPr>
      <w:r>
        <w:rPr>
          <w:noProof/>
        </w:rPr>
        <w:drawing>
          <wp:anchor distT="0" distB="0" distL="114300" distR="114300" simplePos="0" relativeHeight="251734016" behindDoc="0" locked="0" layoutInCell="1" allowOverlap="1" wp14:anchorId="7B32EA98" wp14:editId="2D5E0FC2">
            <wp:simplePos x="0" y="0"/>
            <wp:positionH relativeFrom="margin">
              <wp:posOffset>-50800</wp:posOffset>
            </wp:positionH>
            <wp:positionV relativeFrom="paragraph">
              <wp:posOffset>232410</wp:posOffset>
            </wp:positionV>
            <wp:extent cx="6985000" cy="3276600"/>
            <wp:effectExtent l="0" t="0" r="6350" b="0"/>
            <wp:wrapSquare wrapText="bothSides"/>
            <wp:docPr id="18104334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00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4AD1" w:rsidRPr="007246CA">
        <w:rPr>
          <w:color w:val="2F5496" w:themeColor="accent1" w:themeShade="BF"/>
        </w:rPr>
        <w:t xml:space="preserve">Linear Fit Analysis </w:t>
      </w:r>
    </w:p>
    <w:p w14:paraId="3B0F6E20" w14:textId="7CA8C821" w:rsidR="00C83737" w:rsidRDefault="00C83737" w:rsidP="0056693D">
      <w:pPr>
        <w:spacing w:after="0"/>
        <w:ind w:left="0" w:firstLine="0"/>
      </w:pPr>
    </w:p>
    <w:p w14:paraId="59384F84" w14:textId="5197F6F3" w:rsidR="0056693D" w:rsidRDefault="00966D3D" w:rsidP="0056693D">
      <w:pPr>
        <w:spacing w:after="0"/>
        <w:ind w:left="0" w:firstLine="0"/>
      </w:pPr>
      <w:r w:rsidRPr="00966D3D">
        <w:t>This scatter plot, "Linear Regression: Tax Rate vs Average Monthly Income," illustrates the relationship between average monthly income (x-axis) and tax rate (y-axis). The blue dots reflect the individual data values for each observation. The resulting red regression line shows that there is a slight positive correlation in these data; as average monthly income increases, the tax rate tends to increase. The confidence interval is the shaded area around the regression line and represents the uncertainty in the regression estimate. This plot gives a good insight into the relationship between income and tax rate.</w:t>
      </w:r>
    </w:p>
    <w:p w14:paraId="1B54DEFD" w14:textId="77777777" w:rsidR="00C83737" w:rsidRDefault="00C83737" w:rsidP="0056693D">
      <w:pPr>
        <w:spacing w:after="0"/>
        <w:ind w:left="0" w:firstLine="0"/>
      </w:pPr>
    </w:p>
    <w:p w14:paraId="4132292B" w14:textId="77777777" w:rsidR="00C83737" w:rsidRDefault="00C83737" w:rsidP="0056693D">
      <w:pPr>
        <w:spacing w:after="0"/>
        <w:ind w:left="0" w:firstLine="0"/>
      </w:pPr>
    </w:p>
    <w:p w14:paraId="5CD12936" w14:textId="628924A3" w:rsidR="000B4D70" w:rsidRPr="007246CA" w:rsidRDefault="003C4AD1">
      <w:pPr>
        <w:pStyle w:val="Heading2"/>
        <w:ind w:right="5"/>
        <w:rPr>
          <w:color w:val="2F5496" w:themeColor="accent1" w:themeShade="BF"/>
        </w:rPr>
      </w:pPr>
      <w:r w:rsidRPr="007246CA">
        <w:rPr>
          <w:color w:val="2F5496" w:themeColor="accent1" w:themeShade="BF"/>
        </w:rPr>
        <w:t xml:space="preserve">Elbow </w:t>
      </w:r>
      <w:r w:rsidR="004F3DDA">
        <w:rPr>
          <w:color w:val="2F5496" w:themeColor="accent1" w:themeShade="BF"/>
        </w:rPr>
        <w:t>Plot</w:t>
      </w:r>
      <w:r w:rsidRPr="007246CA">
        <w:rPr>
          <w:color w:val="2F5496" w:themeColor="accent1" w:themeShade="BF"/>
        </w:rPr>
        <w:t xml:space="preserve"> and Silhouette</w:t>
      </w:r>
      <w:r w:rsidR="00F70825">
        <w:rPr>
          <w:color w:val="2F5496" w:themeColor="accent1" w:themeShade="BF"/>
        </w:rPr>
        <w:t xml:space="preserve"> </w:t>
      </w:r>
      <w:r w:rsidRPr="007246CA">
        <w:rPr>
          <w:color w:val="2F5496" w:themeColor="accent1" w:themeShade="BF"/>
        </w:rPr>
        <w:t xml:space="preserve"> </w:t>
      </w:r>
    </w:p>
    <w:p w14:paraId="737EEFD3" w14:textId="423CB32E" w:rsidR="000B4D70" w:rsidRDefault="003C4AD1" w:rsidP="00F70825">
      <w:pPr>
        <w:spacing w:after="158"/>
        <w:ind w:left="0" w:right="1096" w:firstLine="0"/>
      </w:pPr>
      <w:r>
        <w:rPr>
          <w:b/>
        </w:rPr>
        <w:t>Elbow</w:t>
      </w:r>
      <w:r w:rsidR="004F3DDA">
        <w:rPr>
          <w:b/>
        </w:rPr>
        <w:t xml:space="preserve"> Plot</w:t>
      </w:r>
      <w:r>
        <w:t xml:space="preserve">: </w:t>
      </w:r>
    </w:p>
    <w:p w14:paraId="753549BC" w14:textId="08979AFB" w:rsidR="00966D3D" w:rsidRDefault="00966D3D" w:rsidP="00C83737">
      <w:pPr>
        <w:ind w:left="11" w:firstLine="0"/>
      </w:pPr>
      <w:r w:rsidRPr="00966D3D">
        <w:t>This is the elbow curve for the best k in k-means clustering, which helps in deciding on the best number of clusters for any dataset. The x-axis shows the number of clusters, ranging from 2 to 10, while the y-axis reflects the Within-Cluster Sum of Squares (WCSS). The plot comprises a line with data points showing the WCSS values for each k. A red 'X' identifies the position at k=4, which points to the best number of clusters. The "elbow" in k=4 is such a position where the rate of decrease in WCSS gets slowed down and therefore, k=4 is the best number of clusters for this data set.</w:t>
      </w:r>
    </w:p>
    <w:p w14:paraId="14B5BE5D" w14:textId="23D93623" w:rsidR="00C83737" w:rsidRDefault="005436A2" w:rsidP="00C83737">
      <w:pPr>
        <w:ind w:left="11" w:firstLine="0"/>
      </w:pPr>
      <w:proofErr w:type="gramStart"/>
      <w:r w:rsidRPr="005436A2">
        <w:t>.</w:t>
      </w:r>
      <w:r w:rsidR="003C4AD1">
        <w:rPr>
          <w:b/>
        </w:rPr>
        <w:t>Silhouette</w:t>
      </w:r>
      <w:proofErr w:type="gramEnd"/>
      <w:r w:rsidR="003C4AD1">
        <w:rPr>
          <w:b/>
        </w:rPr>
        <w:t xml:space="preserve"> Score</w:t>
      </w:r>
      <w:r w:rsidR="003C4AD1">
        <w:t xml:space="preserve">: </w:t>
      </w:r>
      <w:r w:rsidR="00C83737">
        <w:t xml:space="preserve">Best Cluster Configuration : The highest </w:t>
      </w:r>
      <w:r w:rsidR="00C83737" w:rsidRPr="003E7EB1">
        <w:rPr>
          <w:b/>
        </w:rPr>
        <w:t xml:space="preserve"> </w:t>
      </w:r>
      <w:r w:rsidR="00966D3D">
        <w:rPr>
          <w:b/>
        </w:rPr>
        <w:t>4</w:t>
      </w:r>
      <w:r w:rsidR="00C83737" w:rsidRPr="003E7EB1">
        <w:rPr>
          <w:b/>
        </w:rPr>
        <w:t xml:space="preserve"> clusters silhouette score = 0.</w:t>
      </w:r>
      <w:r w:rsidR="00E23AF4">
        <w:rPr>
          <w:b/>
        </w:rPr>
        <w:t>4</w:t>
      </w:r>
      <w:r w:rsidR="00966D3D">
        <w:rPr>
          <w:b/>
        </w:rPr>
        <w:t>2</w:t>
      </w:r>
      <w:r w:rsidR="00C83737">
        <w:t>, which indicates excellent cluster separation</w:t>
      </w:r>
    </w:p>
    <w:p w14:paraId="1D3C6006" w14:textId="38B855BD" w:rsidR="000B4D70" w:rsidRPr="00C83737" w:rsidRDefault="00F97117" w:rsidP="00C83737">
      <w:pPr>
        <w:ind w:left="0" w:firstLine="0"/>
      </w:pPr>
      <w:r>
        <w:rPr>
          <w:bCs/>
          <w:noProof/>
        </w:rPr>
        <w:lastRenderedPageBreak/>
        <w:drawing>
          <wp:anchor distT="0" distB="0" distL="114300" distR="114300" simplePos="0" relativeHeight="251739136" behindDoc="0" locked="0" layoutInCell="1" allowOverlap="1" wp14:anchorId="75DC1930" wp14:editId="234F7B3F">
            <wp:simplePos x="0" y="0"/>
            <wp:positionH relativeFrom="margin">
              <wp:align>left</wp:align>
            </wp:positionH>
            <wp:positionV relativeFrom="paragraph">
              <wp:posOffset>288290</wp:posOffset>
            </wp:positionV>
            <wp:extent cx="7226300" cy="3009900"/>
            <wp:effectExtent l="0" t="0" r="0" b="0"/>
            <wp:wrapSquare wrapText="bothSides"/>
            <wp:docPr id="13296250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6300" cy="3009900"/>
                    </a:xfrm>
                    <a:prstGeom prst="rect">
                      <a:avLst/>
                    </a:prstGeom>
                    <a:noFill/>
                    <a:ln>
                      <a:noFill/>
                    </a:ln>
                  </pic:spPr>
                </pic:pic>
              </a:graphicData>
            </a:graphic>
            <wp14:sizeRelV relativeFrom="margin">
              <wp14:pctHeight>0</wp14:pctHeight>
            </wp14:sizeRelV>
          </wp:anchor>
        </w:drawing>
      </w:r>
      <w:r w:rsidR="003C4AD1">
        <w:t xml:space="preserve"> </w:t>
      </w:r>
    </w:p>
    <w:p w14:paraId="3DB5AFD6" w14:textId="6C677B9C" w:rsidR="000B4D70" w:rsidRDefault="003C4AD1" w:rsidP="0056693D">
      <w:pPr>
        <w:pStyle w:val="Heading2"/>
        <w:jc w:val="left"/>
        <w:rPr>
          <w:color w:val="2F5496" w:themeColor="accent1" w:themeShade="BF"/>
        </w:rPr>
      </w:pPr>
      <w:r w:rsidRPr="007246CA">
        <w:rPr>
          <w:color w:val="2F5496" w:themeColor="accent1" w:themeShade="BF"/>
        </w:rPr>
        <w:t xml:space="preserve">K-Means Clustering </w:t>
      </w:r>
    </w:p>
    <w:p w14:paraId="5780ADCD" w14:textId="3A3B98CF" w:rsidR="00C83737" w:rsidRPr="00C83737" w:rsidRDefault="00C83737" w:rsidP="00C83737"/>
    <w:p w14:paraId="2CBDC3A8" w14:textId="58FDFDD1" w:rsidR="00E23AF4" w:rsidRDefault="00F97117" w:rsidP="00B16C6E">
      <w:pPr>
        <w:spacing w:after="158"/>
        <w:ind w:left="1" w:firstLine="0"/>
        <w:rPr>
          <w:bCs/>
          <w:noProof/>
        </w:rPr>
      </w:pPr>
      <w:r>
        <w:rPr>
          <w:bCs/>
          <w:noProof/>
        </w:rPr>
        <w:drawing>
          <wp:anchor distT="0" distB="0" distL="114300" distR="114300" simplePos="0" relativeHeight="251744256" behindDoc="0" locked="0" layoutInCell="1" allowOverlap="1" wp14:anchorId="4E8D7465" wp14:editId="22FF155E">
            <wp:simplePos x="0" y="0"/>
            <wp:positionH relativeFrom="margin">
              <wp:align>left</wp:align>
            </wp:positionH>
            <wp:positionV relativeFrom="paragraph">
              <wp:posOffset>12700</wp:posOffset>
            </wp:positionV>
            <wp:extent cx="5181600" cy="3314700"/>
            <wp:effectExtent l="0" t="0" r="0" b="0"/>
            <wp:wrapSquare wrapText="bothSides"/>
            <wp:docPr id="13682708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737" w:rsidRPr="00C83737">
        <w:t xml:space="preserve"> </w:t>
      </w:r>
      <w:r w:rsidR="00966D3D" w:rsidRPr="00966D3D">
        <w:rPr>
          <w:bCs/>
          <w:noProof/>
        </w:rPr>
        <w:t>This scatter plot, "K-Means Clustering with k=4,"</w:t>
      </w:r>
      <w:r w:rsidR="00966D3D">
        <w:rPr>
          <w:bCs/>
          <w:noProof/>
        </w:rPr>
        <w:t>.</w:t>
      </w:r>
      <w:r w:rsidR="00966D3D" w:rsidRPr="00966D3D">
        <w:rPr>
          <w:bCs/>
          <w:noProof/>
        </w:rPr>
        <w:t xml:space="preserve"> shows the relationship between Tax Rate (x-axis) and Average Monthly Income (y-axis). Data points are color-coded into four clusters: blue, green, yellow, and purple. Red circles indicate the cluster centers, which mark the average values for tax rate and income for each cluster. The plot shows how the K-Means algorithm has grouped this data into four clear clusters based on these variables. This helps in understanding the distribution of tax rate and income, further helping in identifying central trends in the dataset.</w:t>
      </w:r>
    </w:p>
    <w:p w14:paraId="3AAA4B50" w14:textId="77777777" w:rsidR="00966D3D" w:rsidRDefault="00966D3D" w:rsidP="00B16C6E">
      <w:pPr>
        <w:spacing w:after="158"/>
        <w:ind w:left="1" w:firstLine="0"/>
        <w:rPr>
          <w:bCs/>
          <w:noProof/>
        </w:rPr>
      </w:pPr>
    </w:p>
    <w:p w14:paraId="62BF1D0F" w14:textId="77777777" w:rsidR="00966D3D" w:rsidRPr="00B16C6E" w:rsidRDefault="00966D3D" w:rsidP="00B16C6E">
      <w:pPr>
        <w:spacing w:after="158"/>
        <w:ind w:left="1" w:firstLine="0"/>
      </w:pPr>
    </w:p>
    <w:p w14:paraId="3665FE6B" w14:textId="77777777" w:rsidR="00966D3D" w:rsidRDefault="003C4AD1" w:rsidP="00966D3D">
      <w:pPr>
        <w:spacing w:after="160"/>
        <w:ind w:left="-5"/>
      </w:pPr>
      <w:r>
        <w:rPr>
          <w:b/>
        </w:rPr>
        <w:t>Conclusion:</w:t>
      </w:r>
    </w:p>
    <w:p w14:paraId="3E63168F" w14:textId="01DE1CA7" w:rsidR="000B4D70" w:rsidRDefault="00966D3D" w:rsidP="00966D3D">
      <w:pPr>
        <w:spacing w:after="160"/>
        <w:ind w:left="-5"/>
      </w:pPr>
      <w:r w:rsidRPr="00966D3D">
        <w:t>The dataset depicts a broad perspective of the financial conditions in various countries, which brings into view the underlying facts about income, cost of living, and tax rates. The statistical analysis gives evidence of the relationship between income and tax rates: with an increase in income, the rate of tax also goes up. The clustering based on income and tax rates identified four different groups, hence giving an elaborative understanding of the financial trends across the regions. Such a comparison of average monthly income across countries encompasses large global differences, hence offering a meaningful background to financial planning and policy</w:t>
      </w:r>
      <w:r>
        <w:t xml:space="preserve"> </w:t>
      </w:r>
      <w:r w:rsidRPr="00966D3D">
        <w:t>making</w:t>
      </w:r>
    </w:p>
    <w:sectPr w:rsidR="000B4D70">
      <w:pgSz w:w="11906" w:h="16838"/>
      <w:pgMar w:top="326" w:right="281" w:bottom="524"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807"/>
    <w:multiLevelType w:val="hybridMultilevel"/>
    <w:tmpl w:val="902C7334"/>
    <w:lvl w:ilvl="0" w:tplc="FA48464A">
      <w:start w:val="1"/>
      <w:numFmt w:val="decimal"/>
      <w:lvlText w:val="%1."/>
      <w:lvlJc w:val="left"/>
      <w:pPr>
        <w:ind w:left="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E2D052">
      <w:start w:val="1"/>
      <w:numFmt w:val="lowerLetter"/>
      <w:lvlText w:val="%2"/>
      <w:lvlJc w:val="left"/>
      <w:pPr>
        <w:ind w:left="5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8C8BB2">
      <w:start w:val="1"/>
      <w:numFmt w:val="lowerRoman"/>
      <w:lvlText w:val="%3"/>
      <w:lvlJc w:val="left"/>
      <w:pPr>
        <w:ind w:left="5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C46D0E">
      <w:start w:val="1"/>
      <w:numFmt w:val="decimal"/>
      <w:lvlText w:val="%4"/>
      <w:lvlJc w:val="left"/>
      <w:pPr>
        <w:ind w:left="6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42676E">
      <w:start w:val="1"/>
      <w:numFmt w:val="lowerLetter"/>
      <w:lvlText w:val="%5"/>
      <w:lvlJc w:val="left"/>
      <w:pPr>
        <w:ind w:left="7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BC8FF0">
      <w:start w:val="1"/>
      <w:numFmt w:val="lowerRoman"/>
      <w:lvlText w:val="%6"/>
      <w:lvlJc w:val="left"/>
      <w:pPr>
        <w:ind w:left="8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C2F9A4">
      <w:start w:val="1"/>
      <w:numFmt w:val="decimal"/>
      <w:lvlText w:val="%7"/>
      <w:lvlJc w:val="left"/>
      <w:pPr>
        <w:ind w:left="8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E2B276">
      <w:start w:val="1"/>
      <w:numFmt w:val="lowerLetter"/>
      <w:lvlText w:val="%8"/>
      <w:lvlJc w:val="left"/>
      <w:pPr>
        <w:ind w:left="9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A22EA8">
      <w:start w:val="1"/>
      <w:numFmt w:val="lowerRoman"/>
      <w:lvlText w:val="%9"/>
      <w:lvlJc w:val="left"/>
      <w:pPr>
        <w:ind w:left="10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3B66F5"/>
    <w:multiLevelType w:val="hybridMultilevel"/>
    <w:tmpl w:val="16F072C0"/>
    <w:lvl w:ilvl="0" w:tplc="A2B68B1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B4A27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FEC4DC">
      <w:start w:val="1"/>
      <w:numFmt w:val="bullet"/>
      <w:lvlRestart w:val="0"/>
      <w:lvlText w:val="•"/>
      <w:lvlJc w:val="left"/>
      <w:pPr>
        <w:ind w:left="3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9A81B2">
      <w:start w:val="1"/>
      <w:numFmt w:val="bullet"/>
      <w:lvlText w:val="•"/>
      <w:lvlJc w:val="left"/>
      <w:pPr>
        <w:ind w:left="73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5628EC">
      <w:start w:val="1"/>
      <w:numFmt w:val="bullet"/>
      <w:lvlText w:val="o"/>
      <w:lvlJc w:val="left"/>
      <w:pPr>
        <w:ind w:left="81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0236D8">
      <w:start w:val="1"/>
      <w:numFmt w:val="bullet"/>
      <w:lvlText w:val="▪"/>
      <w:lvlJc w:val="left"/>
      <w:pPr>
        <w:ind w:left="88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FAF2F0">
      <w:start w:val="1"/>
      <w:numFmt w:val="bullet"/>
      <w:lvlText w:val="•"/>
      <w:lvlJc w:val="left"/>
      <w:pPr>
        <w:ind w:left="9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50F4C0">
      <w:start w:val="1"/>
      <w:numFmt w:val="bullet"/>
      <w:lvlText w:val="o"/>
      <w:lvlJc w:val="left"/>
      <w:pPr>
        <w:ind w:left="10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68AF38">
      <w:start w:val="1"/>
      <w:numFmt w:val="bullet"/>
      <w:lvlText w:val="▪"/>
      <w:lvlJc w:val="left"/>
      <w:pPr>
        <w:ind w:left="10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297112"/>
    <w:multiLevelType w:val="hybridMultilevel"/>
    <w:tmpl w:val="1C7E5E50"/>
    <w:lvl w:ilvl="0" w:tplc="B5B43E34">
      <w:start w:val="1"/>
      <w:numFmt w:val="decimal"/>
      <w:lvlText w:val="%1."/>
      <w:lvlJc w:val="left"/>
      <w:pPr>
        <w:ind w:left="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C80">
      <w:start w:val="1"/>
      <w:numFmt w:val="lowerLetter"/>
      <w:lvlText w:val="%2"/>
      <w:lvlJc w:val="left"/>
      <w:pPr>
        <w:ind w:left="4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5C853E">
      <w:start w:val="1"/>
      <w:numFmt w:val="lowerRoman"/>
      <w:lvlText w:val="%3"/>
      <w:lvlJc w:val="left"/>
      <w:pPr>
        <w:ind w:left="5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0CD8E8">
      <w:start w:val="1"/>
      <w:numFmt w:val="decimal"/>
      <w:lvlText w:val="%4"/>
      <w:lvlJc w:val="left"/>
      <w:pPr>
        <w:ind w:left="6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58F00C">
      <w:start w:val="1"/>
      <w:numFmt w:val="lowerLetter"/>
      <w:lvlText w:val="%5"/>
      <w:lvlJc w:val="left"/>
      <w:pPr>
        <w:ind w:left="6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22055C">
      <w:start w:val="1"/>
      <w:numFmt w:val="lowerRoman"/>
      <w:lvlText w:val="%6"/>
      <w:lvlJc w:val="left"/>
      <w:pPr>
        <w:ind w:left="7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5665EA">
      <w:start w:val="1"/>
      <w:numFmt w:val="decimal"/>
      <w:lvlText w:val="%7"/>
      <w:lvlJc w:val="left"/>
      <w:pPr>
        <w:ind w:left="8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70256E">
      <w:start w:val="1"/>
      <w:numFmt w:val="lowerLetter"/>
      <w:lvlText w:val="%8"/>
      <w:lvlJc w:val="left"/>
      <w:pPr>
        <w:ind w:left="8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DEEF6E">
      <w:start w:val="1"/>
      <w:numFmt w:val="lowerRoman"/>
      <w:lvlText w:val="%9"/>
      <w:lvlJc w:val="left"/>
      <w:pPr>
        <w:ind w:left="9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9E7FDA"/>
    <w:multiLevelType w:val="hybridMultilevel"/>
    <w:tmpl w:val="54EEB990"/>
    <w:lvl w:ilvl="0" w:tplc="37AABF72">
      <w:start w:val="1"/>
      <w:numFmt w:val="decimal"/>
      <w:lvlText w:val="%1."/>
      <w:lvlJc w:val="left"/>
      <w:pPr>
        <w:ind w:left="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BA4ED0">
      <w:start w:val="1"/>
      <w:numFmt w:val="lowerLetter"/>
      <w:lvlText w:val="%2."/>
      <w:lvlJc w:val="left"/>
      <w:pPr>
        <w:ind w:left="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F6CDCA">
      <w:start w:val="1"/>
      <w:numFmt w:val="lowerRoman"/>
      <w:lvlText w:val="%3"/>
      <w:lvlJc w:val="left"/>
      <w:pPr>
        <w:ind w:left="6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C814B0">
      <w:start w:val="1"/>
      <w:numFmt w:val="decimal"/>
      <w:lvlText w:val="%4"/>
      <w:lvlJc w:val="left"/>
      <w:pPr>
        <w:ind w:left="7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1672EC">
      <w:start w:val="1"/>
      <w:numFmt w:val="lowerLetter"/>
      <w:lvlText w:val="%5"/>
      <w:lvlJc w:val="left"/>
      <w:pPr>
        <w:ind w:left="8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7CEFEA">
      <w:start w:val="1"/>
      <w:numFmt w:val="lowerRoman"/>
      <w:lvlText w:val="%6"/>
      <w:lvlJc w:val="left"/>
      <w:pPr>
        <w:ind w:left="8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E819CE">
      <w:start w:val="1"/>
      <w:numFmt w:val="decimal"/>
      <w:lvlText w:val="%7"/>
      <w:lvlJc w:val="left"/>
      <w:pPr>
        <w:ind w:left="9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541A1C">
      <w:start w:val="1"/>
      <w:numFmt w:val="lowerLetter"/>
      <w:lvlText w:val="%8"/>
      <w:lvlJc w:val="left"/>
      <w:pPr>
        <w:ind w:left="10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485256">
      <w:start w:val="1"/>
      <w:numFmt w:val="lowerRoman"/>
      <w:lvlText w:val="%9"/>
      <w:lvlJc w:val="left"/>
      <w:pPr>
        <w:ind w:left="11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E61CCD"/>
    <w:multiLevelType w:val="hybridMultilevel"/>
    <w:tmpl w:val="50A8D29E"/>
    <w:lvl w:ilvl="0" w:tplc="A7B07A86">
      <w:start w:val="1"/>
      <w:numFmt w:val="decimal"/>
      <w:lvlText w:val="%1."/>
      <w:lvlJc w:val="left"/>
      <w:pPr>
        <w:ind w:left="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7E4E6A">
      <w:start w:val="1"/>
      <w:numFmt w:val="lowerLetter"/>
      <w:lvlText w:val="%2"/>
      <w:lvlJc w:val="left"/>
      <w:pPr>
        <w:ind w:left="9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B2F3C2">
      <w:start w:val="1"/>
      <w:numFmt w:val="lowerRoman"/>
      <w:lvlText w:val="%3"/>
      <w:lvlJc w:val="left"/>
      <w:pPr>
        <w:ind w:left="9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609D9C">
      <w:start w:val="1"/>
      <w:numFmt w:val="decimal"/>
      <w:lvlText w:val="%4"/>
      <w:lvlJc w:val="left"/>
      <w:pPr>
        <w:ind w:left="10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46BC2C">
      <w:start w:val="1"/>
      <w:numFmt w:val="lowerLetter"/>
      <w:lvlText w:val="%5"/>
      <w:lvlJc w:val="left"/>
      <w:pPr>
        <w:ind w:left="11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866420">
      <w:start w:val="1"/>
      <w:numFmt w:val="lowerRoman"/>
      <w:lvlText w:val="%6"/>
      <w:lvlJc w:val="left"/>
      <w:pPr>
        <w:ind w:left="12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4CF724">
      <w:start w:val="1"/>
      <w:numFmt w:val="decimal"/>
      <w:lvlText w:val="%7"/>
      <w:lvlJc w:val="left"/>
      <w:pPr>
        <w:ind w:left="12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584B4C">
      <w:start w:val="1"/>
      <w:numFmt w:val="lowerLetter"/>
      <w:lvlText w:val="%8"/>
      <w:lvlJc w:val="left"/>
      <w:pPr>
        <w:ind w:left="13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C42868">
      <w:start w:val="1"/>
      <w:numFmt w:val="lowerRoman"/>
      <w:lvlText w:val="%9"/>
      <w:lvlJc w:val="left"/>
      <w:pPr>
        <w:ind w:left="14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5760B0"/>
    <w:multiLevelType w:val="hybridMultilevel"/>
    <w:tmpl w:val="136EA8B0"/>
    <w:lvl w:ilvl="0" w:tplc="13701D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D23236">
      <w:start w:val="1"/>
      <w:numFmt w:val="bullet"/>
      <w:lvlText w:val="o"/>
      <w:lvlJc w:val="left"/>
      <w:pPr>
        <w:ind w:left="2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14D9C8">
      <w:start w:val="1"/>
      <w:numFmt w:val="bullet"/>
      <w:lvlText w:val="▪"/>
      <w:lvlJc w:val="left"/>
      <w:pPr>
        <w:ind w:left="54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9C45F0">
      <w:start w:val="1"/>
      <w:numFmt w:val="bullet"/>
      <w:lvlRestart w:val="0"/>
      <w:lvlText w:val="•"/>
      <w:lvlJc w:val="left"/>
      <w:pPr>
        <w:ind w:left="5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F07C90">
      <w:start w:val="1"/>
      <w:numFmt w:val="bullet"/>
      <w:lvlText w:val="o"/>
      <w:lvlJc w:val="left"/>
      <w:pPr>
        <w:ind w:left="86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D05772">
      <w:start w:val="1"/>
      <w:numFmt w:val="bullet"/>
      <w:lvlText w:val="▪"/>
      <w:lvlJc w:val="left"/>
      <w:pPr>
        <w:ind w:left="93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F68CD0">
      <w:start w:val="1"/>
      <w:numFmt w:val="bullet"/>
      <w:lvlText w:val="•"/>
      <w:lvlJc w:val="left"/>
      <w:pPr>
        <w:ind w:left="10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026188">
      <w:start w:val="1"/>
      <w:numFmt w:val="bullet"/>
      <w:lvlText w:val="o"/>
      <w:lvlJc w:val="left"/>
      <w:pPr>
        <w:ind w:left="10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F6D18C">
      <w:start w:val="1"/>
      <w:numFmt w:val="bullet"/>
      <w:lvlText w:val="▪"/>
      <w:lvlJc w:val="left"/>
      <w:pPr>
        <w:ind w:left="1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01790962">
    <w:abstractNumId w:val="3"/>
  </w:num>
  <w:num w:numId="2" w16cid:durableId="1786267767">
    <w:abstractNumId w:val="1"/>
  </w:num>
  <w:num w:numId="3" w16cid:durableId="285044954">
    <w:abstractNumId w:val="5"/>
  </w:num>
  <w:num w:numId="4" w16cid:durableId="302004665">
    <w:abstractNumId w:val="4"/>
  </w:num>
  <w:num w:numId="5" w16cid:durableId="1330520736">
    <w:abstractNumId w:val="0"/>
  </w:num>
  <w:num w:numId="6" w16cid:durableId="760834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70"/>
    <w:rsid w:val="00000B07"/>
    <w:rsid w:val="00005710"/>
    <w:rsid w:val="00014430"/>
    <w:rsid w:val="00026968"/>
    <w:rsid w:val="00055CF1"/>
    <w:rsid w:val="000A7F36"/>
    <w:rsid w:val="000B4D70"/>
    <w:rsid w:val="0010260C"/>
    <w:rsid w:val="0011583F"/>
    <w:rsid w:val="00154E2A"/>
    <w:rsid w:val="002623D5"/>
    <w:rsid w:val="0029788B"/>
    <w:rsid w:val="002D3E07"/>
    <w:rsid w:val="002E2C4A"/>
    <w:rsid w:val="003009A2"/>
    <w:rsid w:val="00397587"/>
    <w:rsid w:val="003B778C"/>
    <w:rsid w:val="003C4AD1"/>
    <w:rsid w:val="003E7EB1"/>
    <w:rsid w:val="0048406F"/>
    <w:rsid w:val="004D50BD"/>
    <w:rsid w:val="004F3DDA"/>
    <w:rsid w:val="005436A2"/>
    <w:rsid w:val="0056693D"/>
    <w:rsid w:val="005760E2"/>
    <w:rsid w:val="005F23E8"/>
    <w:rsid w:val="005F6771"/>
    <w:rsid w:val="00615422"/>
    <w:rsid w:val="00646292"/>
    <w:rsid w:val="0065405A"/>
    <w:rsid w:val="006A45E3"/>
    <w:rsid w:val="006B7DFA"/>
    <w:rsid w:val="007246CA"/>
    <w:rsid w:val="00784FFD"/>
    <w:rsid w:val="007D205D"/>
    <w:rsid w:val="007D6E28"/>
    <w:rsid w:val="008445EC"/>
    <w:rsid w:val="00864586"/>
    <w:rsid w:val="008C3AD2"/>
    <w:rsid w:val="008D039C"/>
    <w:rsid w:val="00910328"/>
    <w:rsid w:val="00924468"/>
    <w:rsid w:val="00932E1E"/>
    <w:rsid w:val="00941D7E"/>
    <w:rsid w:val="00966D3D"/>
    <w:rsid w:val="009B23FF"/>
    <w:rsid w:val="009D4C90"/>
    <w:rsid w:val="00A610DC"/>
    <w:rsid w:val="00A72D21"/>
    <w:rsid w:val="00AB16D7"/>
    <w:rsid w:val="00AE6BCC"/>
    <w:rsid w:val="00AF55F8"/>
    <w:rsid w:val="00B16C6E"/>
    <w:rsid w:val="00B62E6C"/>
    <w:rsid w:val="00BB24F1"/>
    <w:rsid w:val="00C3760C"/>
    <w:rsid w:val="00C5558F"/>
    <w:rsid w:val="00C83737"/>
    <w:rsid w:val="00C95EAE"/>
    <w:rsid w:val="00C96EA8"/>
    <w:rsid w:val="00CB1C97"/>
    <w:rsid w:val="00CD1E28"/>
    <w:rsid w:val="00CF7F19"/>
    <w:rsid w:val="00D02CFD"/>
    <w:rsid w:val="00DA1583"/>
    <w:rsid w:val="00DB6652"/>
    <w:rsid w:val="00DE3F4D"/>
    <w:rsid w:val="00DF5BEC"/>
    <w:rsid w:val="00E23AF4"/>
    <w:rsid w:val="00ED7E4D"/>
    <w:rsid w:val="00F13FC0"/>
    <w:rsid w:val="00F70825"/>
    <w:rsid w:val="00F97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0D60"/>
  <w15:docId w15:val="{4BF2BF74-EA5C-4CE3-B5C1-5F8BBE34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00"/>
      <w:outlineLvl w:val="0"/>
    </w:pPr>
    <w:rPr>
      <w:rFonts w:ascii="Calibri" w:eastAsia="Calibri" w:hAnsi="Calibri" w:cs="Calibri"/>
      <w:b/>
      <w:color w:val="4472C4"/>
      <w:sz w:val="28"/>
      <w:u w:val="single" w:color="4472C4"/>
    </w:rPr>
  </w:style>
  <w:style w:type="paragraph" w:styleId="Heading2">
    <w:name w:val="heading 2"/>
    <w:next w:val="Normal"/>
    <w:link w:val="Heading2Char"/>
    <w:uiPriority w:val="9"/>
    <w:unhideWhenUsed/>
    <w:qFormat/>
    <w:pPr>
      <w:keepNext/>
      <w:keepLines/>
      <w:spacing w:after="102"/>
      <w:ind w:left="10" w:right="3" w:hanging="10"/>
      <w:jc w:val="center"/>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28"/>
      <w:u w:val="single" w:color="4472C4"/>
    </w:rPr>
  </w:style>
  <w:style w:type="paragraph" w:styleId="HTMLPreformatted">
    <w:name w:val="HTML Preformatted"/>
    <w:basedOn w:val="Normal"/>
    <w:link w:val="HTMLPreformattedChar"/>
    <w:uiPriority w:val="99"/>
    <w:semiHidden/>
    <w:unhideWhenUsed/>
    <w:rsid w:val="003E7E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7EB1"/>
    <w:rPr>
      <w:rFonts w:ascii="Consolas" w:eastAsia="Calibri" w:hAnsi="Consolas" w:cs="Calibri"/>
      <w:color w:val="000000"/>
      <w:sz w:val="20"/>
      <w:szCs w:val="20"/>
    </w:rPr>
  </w:style>
  <w:style w:type="character" w:styleId="Hyperlink">
    <w:name w:val="Hyperlink"/>
    <w:basedOn w:val="DefaultParagraphFont"/>
    <w:uiPriority w:val="99"/>
    <w:unhideWhenUsed/>
    <w:rsid w:val="00A610DC"/>
    <w:rPr>
      <w:color w:val="0563C1" w:themeColor="hyperlink"/>
      <w:u w:val="single"/>
    </w:rPr>
  </w:style>
  <w:style w:type="character" w:styleId="UnresolvedMention">
    <w:name w:val="Unresolved Mention"/>
    <w:basedOn w:val="DefaultParagraphFont"/>
    <w:uiPriority w:val="99"/>
    <w:semiHidden/>
    <w:unhideWhenUsed/>
    <w:rsid w:val="00A61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1751">
      <w:bodyDiv w:val="1"/>
      <w:marLeft w:val="0"/>
      <w:marRight w:val="0"/>
      <w:marTop w:val="0"/>
      <w:marBottom w:val="0"/>
      <w:divBdr>
        <w:top w:val="none" w:sz="0" w:space="0" w:color="auto"/>
        <w:left w:val="none" w:sz="0" w:space="0" w:color="auto"/>
        <w:bottom w:val="none" w:sz="0" w:space="0" w:color="auto"/>
        <w:right w:val="none" w:sz="0" w:space="0" w:color="auto"/>
      </w:divBdr>
    </w:div>
    <w:div w:id="93744044">
      <w:bodyDiv w:val="1"/>
      <w:marLeft w:val="0"/>
      <w:marRight w:val="0"/>
      <w:marTop w:val="0"/>
      <w:marBottom w:val="0"/>
      <w:divBdr>
        <w:top w:val="none" w:sz="0" w:space="0" w:color="auto"/>
        <w:left w:val="none" w:sz="0" w:space="0" w:color="auto"/>
        <w:bottom w:val="none" w:sz="0" w:space="0" w:color="auto"/>
        <w:right w:val="none" w:sz="0" w:space="0" w:color="auto"/>
      </w:divBdr>
    </w:div>
    <w:div w:id="267928339">
      <w:bodyDiv w:val="1"/>
      <w:marLeft w:val="0"/>
      <w:marRight w:val="0"/>
      <w:marTop w:val="0"/>
      <w:marBottom w:val="0"/>
      <w:divBdr>
        <w:top w:val="none" w:sz="0" w:space="0" w:color="auto"/>
        <w:left w:val="none" w:sz="0" w:space="0" w:color="auto"/>
        <w:bottom w:val="none" w:sz="0" w:space="0" w:color="auto"/>
        <w:right w:val="none" w:sz="0" w:space="0" w:color="auto"/>
      </w:divBdr>
    </w:div>
    <w:div w:id="370154352">
      <w:bodyDiv w:val="1"/>
      <w:marLeft w:val="0"/>
      <w:marRight w:val="0"/>
      <w:marTop w:val="0"/>
      <w:marBottom w:val="0"/>
      <w:divBdr>
        <w:top w:val="none" w:sz="0" w:space="0" w:color="auto"/>
        <w:left w:val="none" w:sz="0" w:space="0" w:color="auto"/>
        <w:bottom w:val="none" w:sz="0" w:space="0" w:color="auto"/>
        <w:right w:val="none" w:sz="0" w:space="0" w:color="auto"/>
      </w:divBdr>
    </w:div>
    <w:div w:id="466823927">
      <w:bodyDiv w:val="1"/>
      <w:marLeft w:val="0"/>
      <w:marRight w:val="0"/>
      <w:marTop w:val="0"/>
      <w:marBottom w:val="0"/>
      <w:divBdr>
        <w:top w:val="none" w:sz="0" w:space="0" w:color="auto"/>
        <w:left w:val="none" w:sz="0" w:space="0" w:color="auto"/>
        <w:bottom w:val="none" w:sz="0" w:space="0" w:color="auto"/>
        <w:right w:val="none" w:sz="0" w:space="0" w:color="auto"/>
      </w:divBdr>
    </w:div>
    <w:div w:id="860515448">
      <w:bodyDiv w:val="1"/>
      <w:marLeft w:val="0"/>
      <w:marRight w:val="0"/>
      <w:marTop w:val="0"/>
      <w:marBottom w:val="0"/>
      <w:divBdr>
        <w:top w:val="none" w:sz="0" w:space="0" w:color="auto"/>
        <w:left w:val="none" w:sz="0" w:space="0" w:color="auto"/>
        <w:bottom w:val="none" w:sz="0" w:space="0" w:color="auto"/>
        <w:right w:val="none" w:sz="0" w:space="0" w:color="auto"/>
      </w:divBdr>
    </w:div>
    <w:div w:id="1342463359">
      <w:bodyDiv w:val="1"/>
      <w:marLeft w:val="0"/>
      <w:marRight w:val="0"/>
      <w:marTop w:val="0"/>
      <w:marBottom w:val="0"/>
      <w:divBdr>
        <w:top w:val="none" w:sz="0" w:space="0" w:color="auto"/>
        <w:left w:val="none" w:sz="0" w:space="0" w:color="auto"/>
        <w:bottom w:val="none" w:sz="0" w:space="0" w:color="auto"/>
        <w:right w:val="none" w:sz="0" w:space="0" w:color="auto"/>
      </w:divBdr>
    </w:div>
    <w:div w:id="1613659373">
      <w:bodyDiv w:val="1"/>
      <w:marLeft w:val="0"/>
      <w:marRight w:val="0"/>
      <w:marTop w:val="0"/>
      <w:marBottom w:val="0"/>
      <w:divBdr>
        <w:top w:val="none" w:sz="0" w:space="0" w:color="auto"/>
        <w:left w:val="none" w:sz="0" w:space="0" w:color="auto"/>
        <w:bottom w:val="none" w:sz="0" w:space="0" w:color="auto"/>
        <w:right w:val="none" w:sz="0" w:space="0" w:color="auto"/>
      </w:divBdr>
    </w:div>
    <w:div w:id="1720276155">
      <w:bodyDiv w:val="1"/>
      <w:marLeft w:val="0"/>
      <w:marRight w:val="0"/>
      <w:marTop w:val="0"/>
      <w:marBottom w:val="0"/>
      <w:divBdr>
        <w:top w:val="none" w:sz="0" w:space="0" w:color="auto"/>
        <w:left w:val="none" w:sz="0" w:space="0" w:color="auto"/>
        <w:bottom w:val="none" w:sz="0" w:space="0" w:color="auto"/>
        <w:right w:val="none" w:sz="0" w:space="0" w:color="auto"/>
      </w:divBdr>
    </w:div>
    <w:div w:id="1799755708">
      <w:bodyDiv w:val="1"/>
      <w:marLeft w:val="0"/>
      <w:marRight w:val="0"/>
      <w:marTop w:val="0"/>
      <w:marBottom w:val="0"/>
      <w:divBdr>
        <w:top w:val="none" w:sz="0" w:space="0" w:color="auto"/>
        <w:left w:val="none" w:sz="0" w:space="0" w:color="auto"/>
        <w:bottom w:val="none" w:sz="0" w:space="0" w:color="auto"/>
        <w:right w:val="none" w:sz="0" w:space="0" w:color="auto"/>
      </w:divBdr>
    </w:div>
    <w:div w:id="1818642630">
      <w:bodyDiv w:val="1"/>
      <w:marLeft w:val="0"/>
      <w:marRight w:val="0"/>
      <w:marTop w:val="0"/>
      <w:marBottom w:val="0"/>
      <w:divBdr>
        <w:top w:val="none" w:sz="0" w:space="0" w:color="auto"/>
        <w:left w:val="none" w:sz="0" w:space="0" w:color="auto"/>
        <w:bottom w:val="none" w:sz="0" w:space="0" w:color="auto"/>
        <w:right w:val="none" w:sz="0" w:space="0" w:color="auto"/>
      </w:divBdr>
    </w:div>
    <w:div w:id="211551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dk24abc/Clustering-and-Fit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dc:creator>
  <cp:keywords/>
  <cp:lastModifiedBy>Ravula Ashok</cp:lastModifiedBy>
  <cp:revision>2</cp:revision>
  <cp:lastPrinted>2024-12-08T23:32:00Z</cp:lastPrinted>
  <dcterms:created xsi:type="dcterms:W3CDTF">2024-12-12T10:11:00Z</dcterms:created>
  <dcterms:modified xsi:type="dcterms:W3CDTF">2024-12-12T10:11:00Z</dcterms:modified>
</cp:coreProperties>
</file>