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AsyncAPI,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by adapting FastStream's dependency layer to FastAPI's slotted Dependant model, preserving AsyncAPI metadata and adding nested-dependency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Fixed pre-response WebSocket server-error frames bypassing the SDK retry policy, preserving overload and replay-safety boundaries with focused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Calkit | Merged PR #1028</w:t>
      </w:r>
    </w:p>
    <w:p>
      <w:pPr>
        <w:spacing w:after="0"/>
      </w:pPr>
      <w:r>
        <w:rPr>
          <w:i/>
        </w:rPr>
        <w:t>Python, CLI workflow execution,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Fixed single-item workflow runs preparing unrelated subprojects, narrowing checks to the requested stage with root-project and subproject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7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8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19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0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AI Professional Certificate | Coursera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Cybersecurity Professional Certificate | Coursera</w:t>
      </w:r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ag2ai/faststream/pull/2961" TargetMode="External"/><Relationship Id="rId15" Type="http://schemas.openxmlformats.org/officeDocument/2006/relationships/hyperlink" Target="https://github.com/openai/openai-agents-python/pull/3991" TargetMode="External"/><Relationship Id="rId16" Type="http://schemas.openxmlformats.org/officeDocument/2006/relationships/hyperlink" Target="https://github.com/calkit/calkit/pull/1028" TargetMode="External"/><Relationship Id="rId17" Type="http://schemas.openxmlformats.org/officeDocument/2006/relationships/hyperlink" Target="https://github.com/dk3yyyy/volyx-lens" TargetMode="External"/><Relationship Id="rId18" Type="http://schemas.openxmlformats.org/officeDocument/2006/relationships/hyperlink" Target="https://github.com/dk3yyyy/football_predictor" TargetMode="External"/><Relationship Id="rId19" Type="http://schemas.openxmlformats.org/officeDocument/2006/relationships/hyperlink" Target="https://noughtline.onrender.com" TargetMode="External"/><Relationship Id="rId20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678</ns0:Words>
  <ns0:Application>Microsoft Macintosh Word</ns0:Application>
  <ns0:DocSecurity>0</ns0:DocSecurity>
  <ns0:Paragraphs>68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