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b/>
          <w:bCs/>
          <w:color w:val="3A2E52"/>
          <w:sz w:val="44"/>
          <w:szCs w:val="44"/>
        </w:rPr>
        <w:t xml:space="preserve">Building a World to Wonder In</w:t>
      </w:r>
    </w:p>
    <w:p>
      <w:pPr>
        <w:spacing w:after="300"/>
        <w:jc w:val="center"/>
      </w:pPr>
      <w:r>
        <w:rPr>
          <w:i/>
          <w:iCs/>
          <w:color w:val="5A4A72"/>
          <w:sz w:val="26"/>
          <w:szCs w:val="26"/>
        </w:rPr>
        <w:t xml:space="preserve">A Blueprint-Governed, Single-Case Research Prospectus for Cultivating Everyday Awe and Wonder in an Autistic-Led Cognitive-and-Spatial Digital Twin</w:t>
      </w:r>
    </w:p>
    <w:p>
      <w:pPr>
        <w:spacing w:after="80"/>
        <w:jc w:val="center"/>
      </w:pPr>
      <w:r>
        <w:rPr>
          <w:b/>
          <w:bCs/>
        </w:rPr>
        <w:t xml:space="preserve">Research Prospectus — Version 4.1 (Synchronized Awe &amp; Wonder Edition, Coherence Pass)</w:t>
      </w:r>
    </w:p>
    <w:p>
      <w:pPr>
        <w:spacing w:after="400"/>
        <w:jc w:val="center"/>
      </w:pPr>
      <w:r>
        <w:rPr>
          <w:sz w:val="20"/>
          <w:szCs w:val="20"/>
        </w:rPr>
        <w:t xml:space="preserve">The H.O.M.E.S. Project · Home-Lab Operational Multi-domain Ecological System</w:t>
      </w:r>
    </w:p>
    <w:p>
      <w:pPr>
        <w:spacing w:after="60"/>
        <w:jc w:val="center"/>
      </w:pPr>
      <w:r>
        <w:t xml:space="preserve">Principal Investigator and Participant: Dallas Knapp</w:t>
      </w:r>
    </w:p>
    <w:p>
      <w:pPr>
        <w:spacing w:after="60"/>
        <w:jc w:val="center"/>
      </w:pPr>
      <w:r>
        <w:rPr>
          <w:i/>
          <w:iCs/>
          <w:sz w:val="20"/>
          <w:szCs w:val="20"/>
        </w:rPr>
        <w:t xml:space="preserve">Design synthesis: Pip · Governance and frame-check: Locus · Council review integrated</w:t>
      </w:r>
    </w:p>
    <w:p>
      <w:pPr>
        <w:spacing w:before="500"/>
        <w:jc w:val="center"/>
      </w:pPr>
      <w:r>
        <w:rPr>
          <w:i/>
          <w:iCs/>
          <w:color w:val="555555"/>
          <w:sz w:val="19"/>
          <w:szCs w:val="19"/>
        </w:rPr>
        <w:t xml:space="preserve">Status: supersedes Prospectus v3.2 and v4.0 in full · Single-case (n = 1) · Autistic-led · Local-first · Blueprint-governed · Anti-iatrogenic by design · Phenomenologically preserving</w:t>
      </w:r>
    </w:p>
    <w:p>
      <w:r>
        <w:br w:type="page"/>
      </w:r>
    </w:p>
    <w:p>
      <w:pPr>
        <w:pStyle w:val="Heading1"/>
      </w:pPr>
      <w:r>
        <w:t xml:space="preserve">Abstract</w:t>
      </w:r>
    </w:p>
    <w:p>
      <w:pPr>
        <w:spacing w:after="160"/>
        <w:jc w:val="both"/>
      </w:pPr>
      <w:r>
        <w:rPr>
          <w:b w:val="false"/>
          <w:bCs w:val="false"/>
          <w:i w:val="false"/>
          <w:iCs w:val="false"/>
        </w:rPr>
        <w:t xml:space="preserve">This prospectus proposes a single-case (n = 1) research program in which an autistic adult designs, inhabits, and studies a personal cognitive-and-spatial digital twin — the Home-Lab Operational Multi-domain Ecological System (HOMES) — as a means of cultivating everyday awe, wonder, recognition, and durable felt knowing, without turning domestic life into surveillance. The participant's cognitive profile combines high verbal comprehension with slow processing speed and impaired memory; HOMES routes support through language and externalized structure, but in this edition memory and routine are supported strictly as enabling infrastructure, not as the outcomes the study exists to demonstrate. The program retains its lineage to Zhang, Cao, Li, and Lv's (2026) narrative review of six AI-driven strategies for autism research; four remain HOMES's load-bearing spine (digital twins, multimodal fusion, graph-based representation, large language models), and two are instantiated partially. At the center of the design is a situating bridge — a governed reconciliation mechanism, formalized at the mechanism level as BP-C-EM-001 and instantiated operationally in the current Blueprint Registry as BP-C-005 — that compares a machine-estimated cognitive-affective substrate against the participant's own self-report and times, at most, one bounded awe/wonder practice invitation per eligible window. The research treats the participant's cultivated practice and the system's timing quality as co-equal outcomes joined by a practice loop: practicing a supported ritual and honestly self-reporting the result supplies the evidence the system needs to personalize its timing, and better timing supports further practice. The design is a single-case experimental design with ecological momentary self-assessment, organized across seven phases from baseline through system refinement, conducted toward What Works Clearinghouse standards, and held throughout to explicit anti-surveillance guardrails. This edition supersedes Prospectus v3.2 in full and is synchronized with the current Blueprint Registry and Measurement Logbook; the HOMES Master Project Architecture State remains the authoritative descriptive state of the technical architecture, read alongside this document as the authoritative statement of the research design.</w:t>
      </w:r>
    </w:p>
    <w:p>
      <w:pPr>
        <w:spacing w:after="220"/>
        <w:jc w:val="left"/>
      </w:pPr>
      <w:r>
        <w:rPr>
          <w:i/>
          <w:iCs/>
          <w:color w:val="555555"/>
          <w:sz w:val="18"/>
          <w:szCs w:val="18"/>
        </w:rPr>
        <w:t xml:space="preserve">Lineage anchor: Zhang, Cao, Li, &amp; Lv (2026), Pediatric Investigation, 10(2), 182–198. Situating-bridge source: Sheppard (2021), EM-Theory MSc thesis, used as an early scaffold (L1–L2), not established fact. The full v3.2 → v4.0 outcome-reorientation comparison is preserved in the superseded v4.0 edition, retained for audit.</w:t>
      </w:r>
    </w:p>
    <w:p>
      <w:pPr>
        <w:pStyle w:val="Heading1"/>
      </w:pPr>
      <w:r>
        <w:t xml:space="preserve">Table of Contents</w:t>
      </w:r>
    </w:p>
    <w:sdt>
      <w:sdtPr>
        <w:alias w:val="Table of Contents"/>
      </w:sdtPr>
      <w:sdtContent>
        <w:p>
          <w:pPr>
            <w:pStyle w:val="TOC1"/>
            <w:tabs>
              <w:tab w:val="clear" w:pos="9026"/>
              <w:tab w:val="right" w:pos="9025" w:leader="dot"/>
            </w:tabs>
          </w:pPr>
          <w:r>
            <w:fldChar w:fldCharType="begin" w:dirty="true"/>
            <w:instrText xml:space="preserve">TOC \h \o "1-1"</w:instrText>
            <w:fldChar w:fldCharType="separate"/>
          </w:r>
          <w:r>
            <w:t xml:space="default">Abstract</w:t>
            <w:tab/>
            <w:t xml:space="default">2</w:t>
          </w:r>
        </w:p>
        <w:p>
          <w:pPr>
            <w:pStyle w:val="TOC1"/>
            <w:tabs>
              <w:tab w:val="clear" w:pos="9026"/>
              <w:tab w:val="right" w:pos="9025" w:leader="dot"/>
            </w:tabs>
          </w:pPr>
          <w:r>
            <w:t xml:space="default">Table of Contents</w:t>
            <w:tab/>
            <w:t xml:space="default">2</w:t>
          </w:r>
        </w:p>
        <w:p>
          <w:pPr>
            <w:pStyle w:val="TOC1"/>
            <w:tabs>
              <w:tab w:val="clear" w:pos="9026"/>
              <w:tab w:val="right" w:pos="9025" w:leader="dot"/>
            </w:tabs>
          </w:pPr>
          <w:r>
            <w:t xml:space="default">1. Background and Research Lineage</w:t>
            <w:tab/>
            <w:t xml:space="default">3</w:t>
          </w:r>
        </w:p>
        <w:p>
          <w:pPr>
            <w:pStyle w:val="TOC1"/>
            <w:tabs>
              <w:tab w:val="clear" w:pos="9026"/>
              <w:tab w:val="right" w:pos="9025" w:leader="dot"/>
            </w:tabs>
          </w:pPr>
          <w:r>
            <w:t xml:space="default">2. Theoretical Framing: Cosmotechnical, Situated Design</w:t>
            <w:tab/>
            <w:t xml:space="default">3</w:t>
          </w:r>
        </w:p>
        <w:p>
          <w:pPr>
            <w:pStyle w:val="TOC1"/>
            <w:tabs>
              <w:tab w:val="clear" w:pos="9026"/>
              <w:tab w:val="right" w:pos="9025" w:leader="dot"/>
            </w:tabs>
          </w:pPr>
          <w:r>
            <w:t xml:space="default">3. Participant Profile and Rationale</w:t>
            <w:tab/>
            <w:t xml:space="default">4</w:t>
          </w:r>
        </w:p>
        <w:p>
          <w:pPr>
            <w:pStyle w:val="TOC1"/>
            <w:tabs>
              <w:tab w:val="clear" w:pos="9026"/>
              <w:tab w:val="right" w:pos="9025" w:leader="dot"/>
            </w:tabs>
          </w:pPr>
          <w:r>
            <w:t xml:space="default">4. Research Questions and Hypotheses</w:t>
            <w:tab/>
            <w:t xml:space="default">5</w:t>
          </w:r>
        </w:p>
        <w:p>
          <w:pPr>
            <w:pStyle w:val="TOC1"/>
            <w:tabs>
              <w:tab w:val="clear" w:pos="9026"/>
              <w:tab w:val="right" w:pos="9025" w:leader="dot"/>
            </w:tabs>
          </w:pPr>
          <w:r>
            <w:t xml:space="default">5. The HOMES System Stack</w:t>
            <w:tab/>
            <w:t xml:space="default">6</w:t>
          </w:r>
        </w:p>
        <w:p>
          <w:pPr>
            <w:pStyle w:val="TOC1"/>
            <w:tabs>
              <w:tab w:val="clear" w:pos="9026"/>
              <w:tab w:val="right" w:pos="9025" w:leader="dot"/>
            </w:tabs>
          </w:pPr>
          <w:r>
            <w:t xml:space="default">6. The House: Apartment as Domestic Ecology</w:t>
            <w:tab/>
            <w:t xml:space="default">7</w:t>
          </w:r>
        </w:p>
        <w:p>
          <w:pPr>
            <w:pStyle w:val="TOC1"/>
            <w:tabs>
              <w:tab w:val="clear" w:pos="9026"/>
              <w:tab w:val="right" w:pos="9025" w:leader="dot"/>
            </w:tabs>
          </w:pPr>
          <w:r>
            <w:t xml:space="default">7. Domain Twins and the Shared State</w:t>
            <w:tab/>
            <w:t xml:space="default">8</w:t>
          </w:r>
        </w:p>
        <w:p>
          <w:pPr>
            <w:pStyle w:val="TOC1"/>
            <w:tabs>
              <w:tab w:val="clear" w:pos="9026"/>
              <w:tab w:val="right" w:pos="9025" w:leader="dot"/>
            </w:tabs>
          </w:pPr>
          <w:r>
            <w:t xml:space="default">8. The Situating Bridge (BP-C-EM / BP-C-005)</w:t>
            <w:tab/>
            <w:t xml:space="default">8</w:t>
          </w:r>
        </w:p>
        <w:p>
          <w:pPr>
            <w:pStyle w:val="TOC1"/>
            <w:tabs>
              <w:tab w:val="clear" w:pos="9026"/>
              <w:tab w:val="right" w:pos="9025" w:leader="dot"/>
            </w:tabs>
          </w:pPr>
          <w:r>
            <w:t xml:space="default">9. Leg 3: Substrate Estimability</w:t>
            <w:tab/>
            <w:t xml:space="default">9</w:t>
          </w:r>
        </w:p>
        <w:p>
          <w:pPr>
            <w:pStyle w:val="TOC1"/>
            <w:tabs>
              <w:tab w:val="clear" w:pos="9026"/>
              <w:tab w:val="right" w:pos="9025" w:leader="dot"/>
            </w:tabs>
          </w:pPr>
          <w:r>
            <w:t xml:space="default">10. Governance: Blueprints, Authority, and Trust</w:t>
            <w:tab/>
            <w:t xml:space="default">10</w:t>
          </w:r>
        </w:p>
        <w:p>
          <w:pPr>
            <w:pStyle w:val="TOC1"/>
            <w:tabs>
              <w:tab w:val="clear" w:pos="9026"/>
              <w:tab w:val="right" w:pos="9025" w:leader="dot"/>
            </w:tabs>
          </w:pPr>
          <w:r>
            <w:t xml:space="default">11. Phenomenological Preservation</w:t>
            <w:tab/>
            <w:t xml:space="default">11</w:t>
          </w:r>
        </w:p>
        <w:p>
          <w:pPr>
            <w:pStyle w:val="TOC1"/>
            <w:tabs>
              <w:tab w:val="clear" w:pos="9026"/>
              <w:tab w:val="right" w:pos="9025" w:leader="dot"/>
            </w:tabs>
          </w:pPr>
          <w:r>
            <w:t xml:space="default">12. Safety, Anti-Iatrogenic Guardrails, and Stopping Criteria</w:t>
            <w:tab/>
            <w:t xml:space="default">11</w:t>
          </w:r>
        </w:p>
        <w:p>
          <w:pPr>
            <w:pStyle w:val="TOC1"/>
            <w:tabs>
              <w:tab w:val="clear" w:pos="9026"/>
              <w:tab w:val="right" w:pos="9025" w:leader="dot"/>
            </w:tabs>
          </w:pPr>
          <w:r>
            <w:t xml:space="default">13. Measurement and Study Design</w:t>
            <w:tab/>
            <w:t xml:space="default">12</w:t>
          </w:r>
        </w:p>
        <w:p>
          <w:pPr>
            <w:pStyle w:val="TOC1"/>
            <w:tabs>
              <w:tab w:val="clear" w:pos="9026"/>
              <w:tab w:val="right" w:pos="9025" w:leader="dot"/>
            </w:tabs>
          </w:pPr>
          <w:r>
            <w:t xml:space="default">14. Contribution and Path to Collaboration</w:t>
            <w:tab/>
            <w:t xml:space="default">14</w:t>
          </w:r>
        </w:p>
        <w:p>
          <w:pPr>
            <w:pStyle w:val="TOC1"/>
            <w:tabs>
              <w:tab w:val="clear" w:pos="9026"/>
              <w:tab w:val="right" w:pos="9025" w:leader="dot"/>
            </w:tabs>
          </w:pPr>
          <w:r>
            <w:t xml:space="default">15. Limitations and Threats to Validity</w:t>
            <w:tab/>
            <w:t xml:space="default">15</w:t>
          </w:r>
        </w:p>
        <w:p>
          <w:pPr>
            <w:pStyle w:val="TOC1"/>
            <w:tabs>
              <w:tab w:val="clear" w:pos="9026"/>
              <w:tab w:val="right" w:pos="9025" w:leader="dot"/>
            </w:tabs>
          </w:pPr>
          <w:r>
            <w:t xml:space="default">16. Conclusion and Discussion</w:t>
            <w:tab/>
            <w:t xml:space="default">15</w:t>
          </w:r>
        </w:p>
        <w:p>
          <w:pPr>
            <w:pStyle w:val="TOC1"/>
            <w:tabs>
              <w:tab w:val="clear" w:pos="9026"/>
              <w:tab w:val="right" w:pos="9025" w:leader="dot"/>
            </w:tabs>
          </w:pPr>
          <w:r>
            <w:t xml:space="default">17. References</w:t>
            <w:tab/>
            <w:t xml:space="default">16</w:t>
          </w:r>
          <w:r>
            <w:fldChar w:fldCharType="end"/>
          </w:r>
        </w:p>
      </w:sdtContent>
    </w:sdt>
    <w:p>
      <w:pPr>
        <w:pStyle w:val="Heading1"/>
        <w:pageBreakBefore/>
      </w:pPr>
      <w:r>
        <w:t xml:space="preserve">1. Background and Research Lineage</w:t>
      </w:r>
    </w:p>
    <w:p>
      <w:pPr>
        <w:spacing w:after="160"/>
        <w:jc w:val="both"/>
      </w:pPr>
      <w:r>
        <w:rPr>
          <w:b w:val="false"/>
          <w:bCs w:val="false"/>
          <w:i w:val="false"/>
          <w:iCs w:val="false"/>
        </w:rPr>
        <w:t xml:space="preserve">Zhang and colleagues (2026) argue that autism research should reconstruct its scientific paradigm toward a more precise, human-centered model, organized around six AI-driven strategies: causal inference for gene–environment mechanisms; spatio-temporal graph neural networks for developmental heterogeneity; multimodal fusion for unified representation; digital twin technologies for individualized modeling; federated and collaborative learning for privacy-preserving, cross-institution science; and large language models for context-aware intervention. They name four cross-cutting obstacles: data heterogeneity, interpretability, ethics, and clinical translation.</w:t>
      </w:r>
    </w:p>
    <w:p>
      <w:pPr>
        <w:spacing w:after="160"/>
        <w:jc w:val="both"/>
      </w:pPr>
      <w:r>
        <w:rPr>
          <w:b w:val="false"/>
          <w:bCs w:val="false"/>
          <w:i w:val="false"/>
          <w:iCs w:val="false"/>
        </w:rPr>
        <w:t xml:space="preserve">The lineage claim here is deliberately narrow. HOMES does not continue the authors' clinical program, does not study children, and performs no neuromodulation. It independently instantiates their architecture in a population and use-context their review does not address: an autistic adult using self-directed, environmentally-grounded practice in daily life. Four of the six strategies form HOMES's load-bearing spine; two are instantiated partially. The crosswalk below maps each strategy to its HOMES instantiation and the criterion by which it is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Zhang et al. (2026) strategy</w:t>
            </w:r>
          </w:p>
        </w:tc>
        <w:tc>
          <w:tcPr>
            <w:tcW w:type="dxa" w:w="42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HOMES instantiation</w:t>
            </w:r>
          </w:p>
        </w:tc>
        <w:tc>
          <w:tcPr>
            <w:tcW w:type="dxa" w:w="27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Evaluation criterion</w:t>
            </w:r>
          </w:p>
        </w:tc>
      </w:tr>
      <w:tr>
        <w:tc>
          <w:tcPr>
            <w:tcW w:type="dxa" w:w="2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Digital twin (load-bearing)</w:t>
            </w:r>
          </w:p>
        </w:tc>
        <w:tc>
          <w:tcPr>
            <w:tcW w:type="dxa" w:w="42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Cognitive-and-spatial twin; Domain Twins D1–D6 (Master Project Architecture State)</w:t>
            </w:r>
          </w:p>
        </w:tc>
        <w:tc>
          <w:tcPr>
            <w:tcW w:type="dxa" w:w="27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Provenance completeness; APS traceability</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Multimodal fusion (load-bearing)</w:t>
            </w:r>
          </w:p>
        </w:tc>
        <w:tc>
          <w:tcPr>
            <w:tcW w:type="dxa" w:w="42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Shared Trans-Domain State; substrate estimator (Leg 3 sensor manifest)</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Sufficiency vs. no-sensor baseline</w:t>
            </w:r>
          </w:p>
        </w:tc>
      </w:tr>
      <w:tr>
        <w:tc>
          <w:tcPr>
            <w:tcW w:type="dxa" w:w="2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Graph representation (load-bearing)</w:t>
            </w:r>
          </w:p>
        </w:tc>
        <w:tc>
          <w:tcPr>
            <w:tcW w:type="dxa" w:w="42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APS schema; EM substrate-to-voice Bayesian graph (inference engine)</w:t>
            </w:r>
          </w:p>
        </w:tc>
        <w:tc>
          <w:tcPr>
            <w:tcW w:type="dxa" w:w="27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Ontology consistency (OCI); identifiability</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Large language models (load-bearing)</w:t>
            </w:r>
          </w:p>
        </w:tc>
        <w:tc>
          <w:tcPr>
            <w:tcW w:type="dxa" w:w="42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Pip, Locus, Talker; the bridge's encode/decode roles (BP-C-EM-001 / BP-C-005)</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Authenticity tests; A4 authority containment</w:t>
            </w:r>
          </w:p>
        </w:tc>
      </w:tr>
      <w:tr>
        <w:tc>
          <w:tcPr>
            <w:tcW w:type="dxa" w:w="2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Privacy-preserving learning (partial)</w:t>
            </w:r>
          </w:p>
        </w:tc>
        <w:tc>
          <w:tcPr>
            <w:tcW w:type="dxa" w:w="42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Local-first, provenance-governed design; Trust Tiers (D5)</w:t>
            </w:r>
          </w:p>
        </w:tc>
        <w:tc>
          <w:tcPr>
            <w:tcW w:type="dxa" w:w="27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No cloud egress; trust-tier enforcement</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Causal-mechanism discovery (partial)</w:t>
            </w:r>
          </w:p>
        </w:tc>
        <w:tc>
          <w:tcPr>
            <w:tcW w:type="dxa" w:w="42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Hidden-loop diagnostic (G-010); gap read as active-inference error</w:t>
            </w:r>
          </w:p>
        </w:tc>
        <w:tc>
          <w:tcPr>
            <w:tcW w:type="dxa" w:w="27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Reflexive self-cause check; H-S1/H-S2 divergence review</w:t>
            </w:r>
          </w:p>
        </w:tc>
      </w:tr>
    </w:tbl>
    <w:p>
      <w:pPr>
        <w:spacing w:after="160"/>
        <w:jc w:val="both"/>
      </w:pPr>
      <w:r>
        <w:rPr>
          <w:b w:val="false"/>
          <w:bCs w:val="false"/>
          <w:i w:val="false"/>
          <w:iCs w:val="false"/>
        </w:rPr>
        <w:t xml:space="preserve">The strongest lineage signal remains accountability, not citation: HOMES adopts the authors' four named challenges as its own success criteria. Data heterogeneity is answered by the Shared State schema; interpretability by mandatory provenance and the SELF/AUTO split; ethics by autistic-led design, Trust Tiers, and human-authority gating; and translation by choosing a study design honest to n = 1.</w:t>
      </w:r>
    </w:p>
    <w:p>
      <w:pPr>
        <w:pStyle w:val="Heading1"/>
      </w:pPr>
      <w:r>
        <w:t xml:space="preserve">2. Theoretical Framing: Cosmotechnical, Situated Design</w:t>
      </w:r>
    </w:p>
    <w:p>
      <w:pPr>
        <w:spacing w:after="160"/>
        <w:jc w:val="both"/>
      </w:pPr>
      <w:r>
        <w:rPr>
          <w:b w:val="false"/>
          <w:bCs w:val="false"/>
          <w:i w:val="false"/>
          <w:iCs w:val="false"/>
        </w:rPr>
        <w:t xml:space="preserve">HOMES is framed not as an assistive gadget but as an experiment in cosmotechnical design: the deliberate construction of a technical world that unifies cognitive function with a livable order of meaning, continuity, and wonder. In plain terms, the aim is a technical world whose rules keep one particular self legible, continuous, and open to noticing; a cognitive-and-spatial twin, in this framing, is an attempt to build that world at domestic scale.</w:t>
      </w:r>
    </w:p>
    <w:p>
      <w:pPr>
        <w:spacing w:after="160"/>
        <w:jc w:val="both"/>
      </w:pPr>
      <w:r>
        <w:rPr>
          <w:b w:val="false"/>
          <w:bCs w:val="false"/>
          <w:i w:val="false"/>
          <w:iCs w:val="false"/>
        </w:rPr>
        <w:t xml:space="preserve">Three commitments follow, each testable rather than rhetorical. Situatedness: the system is one person's world-building, and its value lies in the fit between instrument and this particular life, not generalization (Varela, Thompson, &amp; Rosch, 1991). Legibility over optimization: the aim is to make one's own state, practice, and possibility for wonder legible and trustworthy to oneself, rather than to maximize productivity. Alignment through governed rules: the machine's Governing Laws are the moral form of the world being built, and how HOMES is allowed to notice, invite, and remember is itself part of what is studied. The extended-mind thesis (Clark &amp; Chalmers, 1998) licenses treating a reliable, provenance-aware twin as part of the participant's cognitive and experiential ecology, on the condition that its reliability is demonstrable — which is why governance is not optional.</w:t>
      </w:r>
    </w:p>
    <w:p>
      <w:pPr>
        <w:spacing w:after="160"/>
        <w:jc w:val="both"/>
      </w:pPr>
      <w:r>
        <w:rPr>
          <w:b w:val="false"/>
          <w:bCs w:val="false"/>
          <w:i w:val="false"/>
          <w:iCs w:val="false"/>
        </w:rPr>
        <w:t xml:space="preserve">A situated perspective is not one thing but the composition of three faces, each produced by a different layer and evidenced separately so the frame stays accountable to measurement. Position and expression are only about this subject because state is; a default assistant fails by producing an accurate-sounding state with no point of view and a generic voice, timing invitations for no one in particular. The gap between machine-predicted and self-reported state can be read, informally, as a prediction error that the personalization loop works to shrink (Friston, 2010) — HOMES borrows this reading without claiming to implement the underlying machinery.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400"/>
        <w:gridCol w:w="1960"/>
      </w:tblGrid>
      <w:tr>
        <w:trPr>
          <w:tblHeader/>
        </w:trPr>
        <w:tc>
          <w:tcPr>
            <w:tcW w:type="dxa" w:w="16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Face</w:t>
            </w:r>
          </w:p>
        </w:tc>
        <w:tc>
          <w:tcPr>
            <w:tcW w:type="dxa" w:w="24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Produced by</w:t>
            </w:r>
          </w:p>
        </w:tc>
        <w:tc>
          <w:tcPr>
            <w:tcW w:type="dxa" w:w="34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Evidence source in this study</w:t>
            </w:r>
          </w:p>
        </w:tc>
        <w:tc>
          <w:tcPr>
            <w:tcW w:type="dxa" w:w="19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Maturity</w:t>
            </w:r>
          </w:p>
        </w:tc>
      </w:tr>
      <w:tr>
        <w:tc>
          <w:tcPr>
            <w:tcW w:type="dxa" w:w="16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STATE</w:t>
            </w:r>
          </w:p>
        </w:tc>
        <w:tc>
          <w:tcPr>
            <w:tcW w:type="dxa" w:w="2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EM-Theory situating bridge (BP-C-EM / BP-C-005)</w:t>
            </w:r>
          </w:p>
        </w:tc>
        <w:tc>
          <w:tcPr>
            <w:tcW w:type="dxa" w:w="3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Reconciliation_Log: machine estimate, self-report, gap, confidence, provenance</w:t>
            </w:r>
          </w:p>
        </w:tc>
        <w:tc>
          <w:tcPr>
            <w:tcW w:type="dxa" w:w="19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Directly measured (Track S spine)</w:t>
            </w:r>
          </w:p>
        </w:tc>
      </w:tr>
      <w:tr>
        <w:tc>
          <w:tcPr>
            <w:tcW w:type="dxa" w:w="16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POSITION</w:t>
            </w:r>
          </w:p>
        </w:tc>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Worldview orchestration (D4)</w:t>
            </w:r>
          </w:p>
        </w:tc>
        <w:tc>
          <w:tcPr>
            <w:tcW w:type="dxa" w:w="3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Weekly_Wonder_Reflection continuity/recognition items; consistency checks</w:t>
            </w:r>
          </w:p>
        </w:tc>
        <w:tc>
          <w:tcPr>
            <w:tcW w:type="dxa" w:w="19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Partially measured; future work</w:t>
            </w:r>
          </w:p>
        </w:tc>
      </w:tr>
      <w:tr>
        <w:tc>
          <w:tcPr>
            <w:tcW w:type="dxa" w:w="16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EXPRESSION</w:t>
            </w:r>
          </w:p>
        </w:tc>
        <w:tc>
          <w:tcPr>
            <w:tcW w:type="dxa" w:w="2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The Talker (D6)</w:t>
            </w:r>
          </w:p>
        </w:tc>
        <w:tc>
          <w:tcPr>
            <w:tcW w:type="dxa" w:w="3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Talker logs; invitation-appropriateness ratings (helpful/neutral/intrusive/mistimed)</w:t>
            </w:r>
          </w:p>
        </w:tc>
        <w:tc>
          <w:tcPr>
            <w:tcW w:type="dxa" w:w="19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Partially measured; future work</w:t>
            </w:r>
          </w:p>
        </w:tc>
      </w:tr>
    </w:tbl>
    <w:p>
      <w:pPr>
        <w:spacing w:after="160"/>
        <w:jc w:val="left"/>
      </w:pPr>
      <w:r>
        <w:rPr>
          <w:i/>
          <w:iCs/>
          <w:color w:val="555555"/>
          <w:sz w:val="18"/>
          <w:szCs w:val="18"/>
        </w:rPr>
        <w:t xml:space="preserve">Framing draws on cosmotechnics as the culturally-situated unification of cosmic order and moral life through technical activity (Nagel, 1986, for the view-from-nowhere the bridge works against); the phenomenological outcome constructs are carried from the participant's existing Metamorphosis Project.</w:t>
      </w:r>
    </w:p>
    <w:p>
      <w:pPr>
        <w:pStyle w:val="Heading1"/>
      </w:pPr>
      <w:r>
        <w:t xml:space="preserve">3. Participant Profile and Rationale</w:t>
      </w:r>
    </w:p>
    <w:p>
      <w:pPr>
        <w:spacing w:after="160"/>
        <w:jc w:val="both"/>
      </w:pPr>
      <w:r>
        <w:rPr>
          <w:b w:val="false"/>
          <w:bCs w:val="false"/>
          <w:i w:val="false"/>
          <w:iCs w:val="false"/>
        </w:rPr>
        <w:t xml:space="preserve">The participant (also the principal investigator) is a high-functioning autistic man in his thirties whose cognitive profile pairs a pronounced strength with two pronounced bottlenecks: extraordinary verbal comprehension alongside slow processing speed and impaired memory. This profile is not incidental to the study; it is why the study is well-posed.</w:t>
      </w:r>
    </w:p>
    <w:p>
      <w:pPr>
        <w:spacing w:after="160"/>
        <w:jc w:val="both"/>
      </w:pPr>
      <w:r>
        <w:rPr>
          <w:b w:val="false"/>
          <w:bCs w:val="false"/>
          <w:i w:val="false"/>
          <w:iCs w:val="false"/>
        </w:rPr>
        <w:t xml:space="preserve">The profile creates a natural experimental logic. HOMES routes support through the participant's strength (rich language, via the LLM dialogue channel) to compensate for the bottlenecks, rather than demanding more of the impaired faculties — but in this edition, that support exists to clear space for noticing, not to become the outcome itself. The system holds, pre-digests, and re-presents context so that working memory is not asked to carry what it cannot, and it times its invitations to practice around the participant's actual state rather than a fixed schedule.</w:t>
      </w:r>
    </w:p>
    <w:p>
      <w:pPr>
        <w:spacing w:after="160"/>
        <w:jc w:val="both"/>
      </w:pPr>
      <w:r>
        <w:rPr>
          <w:b w:val="false"/>
          <w:bCs w:val="false"/>
          <w:i w:val="false"/>
          <w:iCs w:val="false"/>
        </w:rPr>
        <w:t xml:space="preserve">Because the participant is also the designer, the study is participatory in the strongest sense: the person whose life is at stake holds final authority over the system (Human-Authority Law, G-015) and over the research itself. This is offered as a feature aligned with the human-centered paradigm the lineage paper calls for, not as a limitation to be excused.</w:t>
      </w:r>
    </w:p>
    <w:p>
      <w:pPr>
        <w:pStyle w:val="Heading1"/>
      </w:pPr>
      <w:r>
        <w:t xml:space="preserve">4. Research Questions and Hypotheses</w:t>
      </w:r>
    </w:p>
    <w:p>
      <w:pPr>
        <w:spacing w:after="160"/>
        <w:jc w:val="both"/>
      </w:pPr>
      <w:r>
        <w:rPr>
          <w:b w:val="false"/>
          <w:bCs w:val="false"/>
          <w:i w:val="false"/>
          <w:iCs w:val="false"/>
        </w:rPr>
        <w:t xml:space="preserve">The program holds two co-equal research tracks, joined by a practice loop: practicing a supported ritual and honestly self-reporting the experience exercises the participant's capacity to notice and return to awe-supportive conditions, while supplying the evidence the system needs to personalize its invitation timing. Neither track is instrumental to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Track</w:t>
            </w:r>
          </w:p>
        </w:tc>
        <w:tc>
          <w:tcPr>
            <w:tcW w:type="dxa" w:w="75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Question</w:t>
            </w:r>
          </w:p>
        </w:tc>
      </w:tr>
      <w:tr>
        <w:tc>
          <w:tcPr>
            <w:tcW w:type="dxa" w:w="18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Track P — Participant</w:t>
            </w:r>
          </w:p>
        </w:tc>
        <w:tc>
          <w:tcPr>
            <w:tcW w:type="dxa" w:w="75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Does HOMES measurably increase everyday awe, wonder, recognition, and felt knowing, and does supported practice become more returnable and durable over time — without increasing self-surveillance or experiential flattening?</w:t>
            </w:r>
          </w:p>
        </w:tc>
      </w:tr>
      <w:tr>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Track S — System</w:t>
            </w:r>
          </w:p>
        </w:tc>
        <w:tc>
          <w:tcPr>
            <w:tcW w:type="dxa" w:w="75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Can HOMES identify useful room, time, practice, and interaction patterns while preserving SELF/AUTO separation and graceful degradation — and can the situating bridge time its practice invitations well, evidenced by rising invitation-appropriateness and a reconciliation gap that declines to a stable, non-zero floor?</w:t>
            </w:r>
          </w:p>
        </w:tc>
      </w:tr>
    </w:tbl>
    <w:p>
      <w:pPr>
        <w:spacing w:after="160"/>
        <w:jc w:val="both"/>
      </w:pPr>
      <w:r>
        <w:rPr>
          <w:b w:val="false"/>
          <w:bCs w:val="false"/>
          <w:i w:val="false"/>
          <w:iCs w:val="false"/>
        </w:rPr>
        <w:t xml:space="preserve">A foundational engineering question underlies both tracks: can home-grade sensors recover enough of the EM substrate to beat a no-sensor baseline in timing invitations? This is the subject of Leg 3 (§9), answered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960"/>
      </w:tblGrid>
      <w:tr>
        <w:trPr>
          <w:tblHeader/>
        </w:trPr>
        <w:tc>
          <w:tcPr>
            <w:tcW w:type="dxa" w:w="15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ID</w:t>
            </w:r>
          </w:p>
        </w:tc>
        <w:tc>
          <w:tcPr>
            <w:tcW w:type="dxa" w:w="49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Hypothesis</w:t>
            </w:r>
          </w:p>
        </w:tc>
        <w:tc>
          <w:tcPr>
            <w:tcW w:type="dxa" w:w="29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Falsified by</w:t>
            </w:r>
          </w:p>
        </w:tc>
      </w:tr>
      <w:tr>
        <w:tc>
          <w:tcPr>
            <w:tcW w:type="dxa" w:w="15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H-P1 · Frequency</w:t>
            </w:r>
          </w:p>
        </w:tc>
        <w:tc>
          <w:tcPr>
            <w:tcW w:type="dxa" w:w="4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Supported periods show more awe, wonder, and recognition events than matched baseline periods.</w:t>
            </w:r>
          </w:p>
        </w:tc>
        <w:tc>
          <w:tcPr>
            <w:tcW w:type="dxa" w:w="29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No phase-linked difference in event frequency across multiple-baseline replications.</w:t>
            </w:r>
          </w:p>
        </w:tc>
      </w:tr>
      <w:tr>
        <w:tc>
          <w:tcPr>
            <w:tcW w:type="dxa" w:w="15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H-P2 · Felt knowing</w:t>
            </w:r>
          </w:p>
        </w:tc>
        <w:tc>
          <w:tcPr>
            <w:tcW w:type="dxa" w:w="4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Repeated practice raises felt knowing and coherence (before→after gains in the Practice_Pattern_Log).</w:t>
            </w:r>
          </w:p>
        </w:tc>
        <w:tc>
          <w:tcPr>
            <w:tcW w:type="dxa" w:w="29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No consistent before/after gain across repeated instances of the same practice.</w:t>
            </w:r>
          </w:p>
        </w:tc>
      </w:tr>
      <w:tr>
        <w:tc>
          <w:tcPr>
            <w:tcW w:type="dxa" w:w="15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H-P3 · Returnability</w:t>
            </w:r>
          </w:p>
        </w:tc>
        <w:tc>
          <w:tcPr>
            <w:tcW w:type="dxa" w:w="4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Practices become easier to return to, evidenced by rising returnability ratings over successive instances.</w:t>
            </w:r>
          </w:p>
        </w:tc>
        <w:tc>
          <w:tcPr>
            <w:tcW w:type="dxa" w:w="29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Flat or declining returnability despite repetition.</w:t>
            </w:r>
          </w:p>
        </w:tc>
      </w:tr>
      <w:tr>
        <w:tc>
          <w:tcPr>
            <w:tcW w:type="dxa" w:w="15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H-P4 · Durability</w:t>
            </w:r>
          </w:p>
        </w:tc>
        <w:tc>
          <w:tcPr>
            <w:tcW w:type="dxa" w:w="4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Recognition events leave durable traces, evidenced by Recognition_Register memory-candidate flags that hold up on later recall.</w:t>
            </w:r>
          </w:p>
        </w:tc>
        <w:tc>
          <w:tcPr>
            <w:tcW w:type="dxa" w:w="29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Recognized events fail to recur, or durability ratings trend to zero.</w:t>
            </w:r>
          </w:p>
        </w:tc>
      </w:tr>
      <w:tr>
        <w:tc>
          <w:tcPr>
            <w:tcW w:type="dxa" w:w="15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H-S1 · Pattern detection</w:t>
            </w:r>
          </w:p>
        </w:tc>
        <w:tc>
          <w:tcPr>
            <w:tcW w:type="dxa" w:w="4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Patterns of place, time, and condition can be identified in the Pattern_Map without flattening experience.</w:t>
            </w:r>
          </w:p>
        </w:tc>
        <w:tc>
          <w:tcPr>
            <w:tcW w:type="dxa" w:w="29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Pattern confidence rises while free-text richness declines, or an H4 'flattened' flag trips.</w:t>
            </w:r>
          </w:p>
        </w:tc>
      </w:tr>
      <w:tr>
        <w:tc>
          <w:tcPr>
            <w:tcW w:type="dxa" w:w="15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H-S2 · Invitation timing</w:t>
            </w:r>
          </w:p>
        </w:tc>
        <w:tc>
          <w:tcPr>
            <w:tcW w:type="dxa" w:w="4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Invitation appropriateness improves (toward helpful, away from intrusive/mistimed) as the situating bridge personalizes, with the reconciliation gap declining to a stable non-zero floor.</w:t>
            </w:r>
          </w:p>
        </w:tc>
        <w:tc>
          <w:tcPr>
            <w:tcW w:type="dxa" w:w="29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Appropriateness ratings do not improve, or the gap collapses toward zero while felt-watched rises.</w:t>
            </w:r>
          </w:p>
        </w:tc>
      </w:tr>
      <w:tr>
        <w:tc>
          <w:tcPr>
            <w:tcW w:type="dxa" w:w="15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H-Loop · Coupling</w:t>
            </w:r>
          </w:p>
        </w:tc>
        <w:tc>
          <w:tcPr>
            <w:tcW w:type="dxa" w:w="4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Improvements on the two tracks co-occur: cleaner practice evidence coincides with better invitation timing.</w:t>
            </w:r>
          </w:p>
        </w:tc>
        <w:tc>
          <w:tcPr>
            <w:tcW w:type="dxa" w:w="29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Persistent decoupling — one track improves with no corresponding movement in the other.</w:t>
            </w:r>
          </w:p>
        </w:tc>
      </w:tr>
      <w:tr>
        <w:tc>
          <w:tcPr>
            <w:tcW w:type="dxa" w:w="15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H4 · Anti-iatrogenic (overriding)</w:t>
            </w:r>
          </w:p>
        </w:tc>
        <w:tc>
          <w:tcPr>
            <w:tcW w:type="dxa" w:w="4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Any benefit co-occurs with reduced self-surveillance and increased self-legibility, and does not co-occur with rising felt-watched or tracking anxiety.</w:t>
            </w:r>
          </w:p>
        </w:tc>
        <w:tc>
          <w:tcPr>
            <w:tcW w:type="dxa" w:w="29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Rising felt-watched, or a gap collapsing to zero with rising anxiety — regardless of gains elsewhere.</w:t>
            </w:r>
          </w:p>
        </w:tc>
      </w:tr>
    </w:tbl>
    <w:p>
      <w:pPr>
        <w:spacing w:after="160"/>
        <w:jc w:val="left"/>
      </w:pPr>
      <w:r>
        <w:rPr>
          <w:i/>
          <w:iCs/>
          <w:color w:val="555555"/>
          <w:sz w:val="18"/>
          <w:szCs w:val="18"/>
        </w:rPr>
        <w:t xml:space="preserve">H4 keeps its original name rather than being renamed to fit the H-S/H-P pattern, since “the H4 gate” is shared vocabulary across the Architecture State, Blueprint Registry, and Measurement Logbook. At n = 1, H4 is tested as co-movement and dissociation rather than formal statistical mediation. An exploratory sub-question attached to H-Loop by the 20 August 2026 Wonder-Stabilizer Redesign Memo — whether a wonder-anchored stabilization cue (BP-C-006 / BP-A-003, both Draft, not yet validated) increases the rate of toward-move resolution in a detected high-distress moment relative to baseline — remains outside the active hypothesis set until those Blueprints clear validation.</w:t>
      </w:r>
    </w:p>
    <w:p>
      <w:pPr>
        <w:pStyle w:val="Heading1"/>
      </w:pPr>
      <w:r>
        <w:t xml:space="preserve">5. The HOMES System Stack</w:t>
      </w:r>
    </w:p>
    <w:p>
      <w:pPr>
        <w:spacing w:after="160"/>
        <w:jc w:val="both"/>
      </w:pPr>
      <w:r>
        <w:rPr>
          <w:b w:val="false"/>
          <w:bCs w:val="false"/>
          <w:i w:val="false"/>
          <w:iCs w:val="false"/>
        </w:rPr>
        <w:t xml:space="preserve">HOMES is organized as a stack in which the real apartment supplies place, the spatial twin supplies a governed harness, the Domain Twins and Shared State supply fused situational grounding, the situating bridge supplies situated state, the world model supplies decision-relevant orientation, and the governance layer holds every crossing accountable. The stack is now formally underpinned by the HOMES Canonical System Model (20 August 2026), which decomposes layers 4 through 7 into nine specific, individually-owned services; this section gives the research-facing summary, while the Canonical System Model and Master Architecture State hold the full component and interface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Layer</w:t>
            </w:r>
          </w:p>
        </w:tc>
        <w:tc>
          <w:tcPr>
            <w:tcW w:type="dxa" w:w="23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Name</w:t>
            </w:r>
          </w:p>
        </w:tc>
        <w:tc>
          <w:tcPr>
            <w:tcW w:type="dxa" w:w="61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HOMES-specific function</w:t>
            </w:r>
          </w:p>
        </w:tc>
      </w:tr>
      <w:tr>
        <w:tc>
          <w:tcPr>
            <w:tcW w:type="dxa" w:w="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0</w:t>
            </w:r>
          </w:p>
        </w:tc>
        <w:tc>
          <w:tcPr>
            <w:tcW w:type="dxa" w:w="23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Foundations and Governing Laws</w:t>
            </w:r>
          </w:p>
        </w:tc>
        <w:tc>
          <w:tcPr>
            <w:tcW w:type="dxa" w:w="61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Grounding before autonomy; non-deification; human authority; provenance; anti-surveillance; maturity honesty (G-001–G-016).</w:t>
            </w:r>
          </w:p>
        </w:tc>
      </w:tr>
      <w:tr>
        <w:tc>
          <w:tcPr>
            <w:tcW w:type="dxa" w:w="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1</w:t>
            </w:r>
          </w:p>
        </w:tc>
        <w:tc>
          <w:tcPr>
            <w:tcW w:type="dxa" w:w="23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Real Apartment / Spatial House</w:t>
            </w:r>
          </w:p>
        </w:tc>
        <w:tc>
          <w:tcPr>
            <w:tcW w:type="dxa" w:w="61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Physical rooms, objects, thresholds, practices, and conditions (§6).</w:t>
            </w:r>
          </w:p>
        </w:tc>
      </w:tr>
      <w:tr>
        <w:tc>
          <w:tcPr>
            <w:tcW w:type="dxa" w:w="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2</w:t>
            </w:r>
          </w:p>
        </w:tc>
        <w:tc>
          <w:tcPr>
            <w:tcW w:type="dxa" w:w="23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Spatial Digital Twin / Harness</w:t>
            </w:r>
          </w:p>
        </w:tc>
        <w:tc>
          <w:tcPr>
            <w:tcW w:type="dxa" w:w="61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Live digital shadow of the apartment; room graph; asset-process-service schema; Trust Tiers.</w:t>
            </w:r>
          </w:p>
        </w:tc>
      </w:tr>
      <w:tr>
        <w:tc>
          <w:tcPr>
            <w:tcW w:type="dxa" w:w="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3</w:t>
            </w:r>
          </w:p>
        </w:tc>
        <w:tc>
          <w:tcPr>
            <w:tcW w:type="dxa" w:w="23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Domain Twins and Shared State</w:t>
            </w:r>
          </w:p>
        </w:tc>
        <w:tc>
          <w:tcPr>
            <w:tcW w:type="dxa" w:w="61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D1–D6 fused into the Shared Trans-Domain State all reasoning is grounded in (§7).</w:t>
            </w:r>
          </w:p>
        </w:tc>
      </w:tr>
      <w:tr>
        <w:tc>
          <w:tcPr>
            <w:tcW w:type="dxa" w:w="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4</w:t>
            </w:r>
          </w:p>
        </w:tc>
        <w:tc>
          <w:tcPr>
            <w:tcW w:type="dxa" w:w="23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Situating Bridge</w:t>
            </w:r>
          </w:p>
        </w:tc>
        <w:tc>
          <w:tcPr>
            <w:tcW w:type="dxa" w:w="61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EM substrate estimates, self-report voices, reconciliation gap, and confidence — feeding the timing of bounded practice invitations (§8), not primarily memory or routine timing.</w:t>
            </w:r>
          </w:p>
        </w:tc>
      </w:tr>
      <w:tr>
        <w:tc>
          <w:tcPr>
            <w:tcW w:type="dxa" w:w="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5</w:t>
            </w:r>
          </w:p>
        </w:tc>
        <w:tc>
          <w:tcPr>
            <w:tcW w:type="dxa" w:w="23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World Model / Orientation</w:t>
            </w:r>
          </w:p>
        </w:tc>
        <w:tc>
          <w:tcPr>
            <w:tcW w:type="dxa" w:w="61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Action-conditioned, room-aware, state-indexed planning; canonically decomposed into Deliberation, Jurisdiction/Policy, and Capability/Assurance services.</w:t>
            </w:r>
          </w:p>
        </w:tc>
      </w:tr>
      <w:tr>
        <w:tc>
          <w:tcPr>
            <w:tcW w:type="dxa" w:w="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6</w:t>
            </w:r>
          </w:p>
        </w:tc>
        <w:tc>
          <w:tcPr>
            <w:tcW w:type="dxa" w:w="23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Agentic Dialogue and Work Layer</w:t>
            </w:r>
          </w:p>
        </w:tc>
        <w:tc>
          <w:tcPr>
            <w:tcW w:type="dxa" w:w="61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Pip, Locus, Talker under Perceive→Update→Plan→Generate→Reflect.</w:t>
            </w:r>
          </w:p>
        </w:tc>
      </w:tr>
      <w:tr>
        <w:tc>
          <w:tcPr>
            <w:tcW w:type="dxa" w:w="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7</w:t>
            </w:r>
          </w:p>
        </w:tc>
        <w:tc>
          <w:tcPr>
            <w:tcW w:type="dxa" w:w="23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Service, Research, and Governance</w:t>
            </w:r>
          </w:p>
        </w:tc>
        <w:tc>
          <w:tcPr>
            <w:tcW w:type="dxa" w:w="61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Outcome translation, evidence capture, Blueprint control, provenance, closure.</w:t>
            </w:r>
          </w:p>
        </w:tc>
      </w:tr>
    </w:tbl>
    <w:p>
      <w:pPr>
        <w:pStyle w:val="Heading1"/>
      </w:pPr>
      <w:r>
        <w:t xml:space="preserve">6. The House: Apartment as Domestic Ecology</w:t>
      </w:r>
    </w:p>
    <w:p>
      <w:pPr>
        <w:spacing w:after="160"/>
        <w:jc w:val="both"/>
      </w:pPr>
      <w:r>
        <w:rPr>
          <w:b w:val="false"/>
          <w:bCs w:val="false"/>
          <w:i w:val="false"/>
          <w:iCs w:val="false"/>
        </w:rPr>
        <w:t xml:space="preserve">The apartment is the House: the bounded domestic ecology in which HOMES is permitted to matter. Rooms, thresholds, storage surfaces, practices, lighting, and human habits are part of the cognitive and phenomenological environment rather than its backdrop — a recognition happens somewhere, a practice begins somewhere, a person feels wonder somewhere.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rPr>
          <w:tblHeader/>
        </w:trPr>
        <w:tc>
          <w:tcPr>
            <w:tcW w:type="dxa" w:w="18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Zone</w:t>
            </w:r>
          </w:p>
        </w:tc>
        <w:tc>
          <w:tcPr>
            <w:tcW w:type="dxa" w:w="29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Primary HOMES role</w:t>
            </w:r>
          </w:p>
        </w:tc>
        <w:tc>
          <w:tcPr>
            <w:tcW w:type="dxa" w:w="46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Notes</w:t>
            </w:r>
          </w:p>
        </w:tc>
      </w:tr>
      <w:tr>
        <w:tc>
          <w:tcPr>
            <w:tcW w:type="dxa" w:w="18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Sun room</w:t>
            </w:r>
          </w:p>
        </w:tc>
        <w:tc>
          <w:tcPr>
            <w:tcW w:type="dxa" w:w="2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Morning orientation, reflection, and awe/wonder practice</w:t>
            </w:r>
          </w:p>
        </w:tc>
        <w:tc>
          <w:tcPr>
            <w:tcW w:type="dxa" w:w="46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Low-stimulation zone; weekly debrief site; primary A3 lighting reference</w:t>
            </w:r>
          </w:p>
        </w:tc>
      </w:tr>
      <w:tr>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Living room</w:t>
            </w:r>
          </w:p>
        </w:tc>
        <w:tc>
          <w:tcPr>
            <w:tcW w:type="dxa" w:w="2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Dialogue and shared-state review</w:t>
            </w:r>
          </w:p>
        </w:tc>
        <w:tc>
          <w:tcPr>
            <w:tcW w:type="dxa" w:w="46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Primary interaction room; interruption governance applies</w:t>
            </w:r>
          </w:p>
        </w:tc>
      </w:tr>
      <w:tr>
        <w:tc>
          <w:tcPr>
            <w:tcW w:type="dxa" w:w="18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Front bedroom</w:t>
            </w:r>
          </w:p>
        </w:tc>
        <w:tc>
          <w:tcPr>
            <w:tcW w:type="dxa" w:w="2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Focus and deep inquiry</w:t>
            </w:r>
          </w:p>
        </w:tc>
        <w:tc>
          <w:tcPr>
            <w:tcW w:type="dxa" w:w="46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Proactive interruption blackout</w:t>
            </w:r>
          </w:p>
        </w:tc>
      </w:tr>
      <w:tr>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Hallway</w:t>
            </w:r>
          </w:p>
        </w:tc>
        <w:tc>
          <w:tcPr>
            <w:tcW w:type="dxa" w:w="2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Traversal and transition logging</w:t>
            </w:r>
          </w:p>
        </w:tc>
        <w:tc>
          <w:tcPr>
            <w:tcW w:type="dxa" w:w="46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Connects zones; supports room-transition state, not person identification</w:t>
            </w:r>
          </w:p>
        </w:tc>
      </w:tr>
      <w:tr>
        <w:tc>
          <w:tcPr>
            <w:tcW w:type="dxa" w:w="18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Second bedroom + ensuite</w:t>
            </w:r>
          </w:p>
        </w:tc>
        <w:tc>
          <w:tcPr>
            <w:tcW w:type="dxa" w:w="2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Rest, recovery, and somatic sensing</w:t>
            </w:r>
          </w:p>
        </w:tc>
        <w:tc>
          <w:tcPr>
            <w:tcW w:type="dxa" w:w="46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Interoceptive research (EM8) with conservative inference</w:t>
            </w:r>
          </w:p>
        </w:tc>
      </w:tr>
      <w:tr>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Kitchen</w:t>
            </w:r>
          </w:p>
        </w:tc>
        <w:tc>
          <w:tcPr>
            <w:tcW w:type="dxa" w:w="2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Practice anchoring and daily structure</w:t>
            </w:r>
          </w:p>
        </w:tc>
        <w:tc>
          <w:tcPr>
            <w:tcW w:type="dxa" w:w="46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No range or safety-critical control in Prototype 0</w:t>
            </w:r>
          </w:p>
        </w:tc>
      </w:tr>
    </w:tbl>
    <w:p>
      <w:pPr>
        <w:spacing w:after="160"/>
        <w:jc w:val="both"/>
      </w:pPr>
      <w:r>
        <w:rPr>
          <w:b w:val="false"/>
          <w:bCs w:val="false"/>
          <w:i w:val="false"/>
          <w:iCs w:val="false"/>
        </w:rPr>
        <w:t xml:space="preserve">Each room functions as a trans-domain cell linking physical conditions, practice, memory cues, sensor evidence, and governance rules; the map is provisional and will be revised against an actual floor plan when one is available. One transition zone, the cross-hall bathroom, is deliberately left unsensed to preserve private, unmonitored space.</w:t>
      </w:r>
    </w:p>
    <w:p>
      <w:pPr>
        <w:pStyle w:val="Heading1"/>
      </w:pPr>
      <w:r>
        <w:t xml:space="preserve">7. Domain Twins and the Shared State</w:t>
      </w:r>
    </w:p>
    <w:p>
      <w:pPr>
        <w:spacing w:after="160"/>
        <w:jc w:val="both"/>
      </w:pPr>
      <w:r>
        <w:rPr>
          <w:b w:val="false"/>
          <w:bCs w:val="false"/>
          <w:i w:val="false"/>
          <w:iCs w:val="false"/>
        </w:rPr>
        <w:t xml:space="preserve">HOMES is composed of six Domain Twins, fused into a single Shared Trans-Domain State that every agentic reasoning turn queries before 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050"/>
        <w:gridCol w:w="6360"/>
      </w:tblGrid>
      <w:tr>
        <w:trPr>
          <w:tblHeader/>
        </w:trPr>
        <w:tc>
          <w:tcPr>
            <w:tcW w:type="dxa" w:w="95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Code</w:t>
            </w:r>
          </w:p>
        </w:tc>
        <w:tc>
          <w:tcPr>
            <w:tcW w:type="dxa" w:w="205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Domain Twin</w:t>
            </w:r>
          </w:p>
        </w:tc>
        <w:tc>
          <w:tcPr>
            <w:tcW w:type="dxa" w:w="63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Scope in HOMES</w:t>
            </w:r>
          </w:p>
        </w:tc>
      </w:tr>
      <w:tr>
        <w:tc>
          <w:tcPr>
            <w:tcW w:type="dxa" w:w="9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D1</w:t>
            </w:r>
          </w:p>
        </w:tc>
        <w:tc>
          <w:tcPr>
            <w:tcW w:type="dxa" w:w="20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Somatic Twin</w:t>
            </w:r>
          </w:p>
        </w:tc>
        <w:tc>
          <w:tcPr>
            <w:tcW w:type="dxa" w:w="63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Body state: biosignals, motion, fatigue and arousal proxies, presence.</w:t>
            </w:r>
          </w:p>
        </w:tc>
      </w:tr>
      <w:tr>
        <w:tc>
          <w:tcPr>
            <w:tcW w:type="dxa" w:w="9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D2</w:t>
            </w:r>
          </w:p>
        </w:tc>
        <w:tc>
          <w:tcPr>
            <w:tcW w:type="dxa" w:w="20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Environment Twin</w:t>
            </w:r>
          </w:p>
        </w:tc>
        <w:tc>
          <w:tcPr>
            <w:tcW w:type="dxa" w:w="63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Room state: presence and motion, lighting, temperature, occupancy, sensory load.</w:t>
            </w:r>
          </w:p>
        </w:tc>
      </w:tr>
      <w:tr>
        <w:tc>
          <w:tcPr>
            <w:tcW w:type="dxa" w:w="9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D3</w:t>
            </w:r>
          </w:p>
        </w:tc>
        <w:tc>
          <w:tcPr>
            <w:tcW w:type="dxa" w:w="20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Practice/Pattern Twin</w:t>
            </w:r>
          </w:p>
        </w:tc>
        <w:tc>
          <w:tcPr>
            <w:tcW w:type="dxa" w:w="63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Repeated practices, temporal contexts, returnability, disruption and recurrence. Routine is retained here as enabling infrastructure, not a primary outcome.</w:t>
            </w:r>
          </w:p>
        </w:tc>
      </w:tr>
      <w:tr>
        <w:tc>
          <w:tcPr>
            <w:tcW w:type="dxa" w:w="9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D4</w:t>
            </w:r>
          </w:p>
        </w:tc>
        <w:tc>
          <w:tcPr>
            <w:tcW w:type="dxa" w:w="20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Memory / Worldview Twin</w:t>
            </w:r>
          </w:p>
        </w:tc>
        <w:tc>
          <w:tcPr>
            <w:tcW w:type="dxa" w:w="63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Hypergraph, ontology, narrative consolidation, episodic and semantic memory; situated POSITION.</w:t>
            </w:r>
          </w:p>
        </w:tc>
      </w:tr>
      <w:tr>
        <w:tc>
          <w:tcPr>
            <w:tcW w:type="dxa" w:w="9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D5</w:t>
            </w:r>
          </w:p>
        </w:tc>
        <w:tc>
          <w:tcPr>
            <w:tcW w:type="dxa" w:w="20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Security / Trust Twin</w:t>
            </w:r>
          </w:p>
        </w:tc>
        <w:tc>
          <w:tcPr>
            <w:tcW w:type="dxa" w:w="63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Device identity, session integrity, data quality, anomaly status.</w:t>
            </w:r>
          </w:p>
        </w:tc>
      </w:tr>
      <w:tr>
        <w:tc>
          <w:tcPr>
            <w:tcW w:type="dxa" w:w="9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D6</w:t>
            </w:r>
          </w:p>
        </w:tc>
        <w:tc>
          <w:tcPr>
            <w:tcW w:type="dxa" w:w="20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Talker / Interaction Twin</w:t>
            </w:r>
          </w:p>
        </w:tc>
        <w:tc>
          <w:tcPr>
            <w:tcW w:type="dxa" w:w="63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Dialogue state, preference, interruption load, conversational history; situated EXPRESSION.</w:t>
            </w:r>
          </w:p>
        </w:tc>
      </w:tr>
    </w:tbl>
    <w:p>
      <w:pPr>
        <w:pStyle w:val="Heading1"/>
      </w:pPr>
      <w:r>
        <w:t xml:space="preserve">8. The Situating Bridge (BP-C-EM / BP-C-005)</w:t>
      </w:r>
    </w:p>
    <w:p>
      <w:pPr>
        <w:spacing w:after="160"/>
        <w:jc w:val="both"/>
      </w:pPr>
      <w:r>
        <w:rPr>
          <w:b w:val="false"/>
          <w:bCs w:val="false"/>
          <w:i w:val="false"/>
          <w:iCs w:val="false"/>
        </w:rPr>
        <w:t xml:space="preserve">The situating bridge is a governed reconciliation mechanism and the sole producer of situated state. It is formalized at the mechanism level as blueprint BP-C-EM-001 and, in this edition, instantiated operationally in the current Blueprint Registry as BP-C-005 (“situated receptivity gates practice-cue timing,” status: Designed). It is critical to well-timed practice invitations; it is not a precondition of the program overall (§9).</w:t>
      </w:r>
    </w:p>
    <w:p>
      <w:pPr>
        <w:spacing w:after="160"/>
        <w:jc w:val="both"/>
      </w:pPr>
      <w:r>
        <w:rPr>
          <w:b w:val="false"/>
          <w:bCs w:val="false"/>
          <w:i w:val="false"/>
          <w:iCs w:val="false"/>
        </w:rPr>
        <w:t xml:space="preserve">The mechanism reads EM-Theory's architecture as a Bayesian network: four non-reportable substrate corners are estimated by the machine from sensors; four reportable voices are self-reported by the participant, each a hybrid of its two adjacent substrate corners. The machine predicts the voices from the estimated substrate, the participant reports them, and the divergence between prediction and report is the reconciliation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Field</w:t>
            </w:r>
          </w:p>
        </w:tc>
        <w:tc>
          <w:tcPr>
            <w:tcW w:type="dxa" w:w="71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Value</w:t>
            </w:r>
          </w:p>
        </w:tc>
      </w:tr>
      <w:tr>
        <w:tc>
          <w:tcPr>
            <w:tcW w:type="dxa" w:w="22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Blueprint ID</w:t>
            </w:r>
          </w:p>
        </w:tc>
        <w:tc>
          <w:tcPr>
            <w:tcW w:type="dxa" w:w="71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BP-C-EM-001 (mechanism) / BP-C-005 (operational instantiation, status: Designed)</w:t>
            </w:r>
          </w:p>
        </w:tc>
      </w:tr>
      <w:tr>
        <w:tc>
          <w:tcPr>
            <w:tcW w:type="dxa" w:w="22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Coupling type</w:t>
            </w:r>
          </w:p>
        </w:tc>
        <w:tc>
          <w:tcPr>
            <w:tcW w:type="dxa" w:w="71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Error (primary): divergence(predicted, reported); Objective (secondary): gates whether a practice-cue may be offered this window</w:t>
            </w:r>
          </w:p>
        </w:tc>
      </w:tr>
      <w:tr>
        <w:tc>
          <w:tcPr>
            <w:tcW w:type="dxa" w:w="22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Source → report → target</w:t>
            </w:r>
          </w:p>
        </w:tc>
        <w:tc>
          <w:tcPr>
            <w:tcW w:type="dxa" w:w="71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D1, D2 (substrate estimates) → D6 (voices, via the Talker) → D4 (reconciled state candidate) and D6 (the gated invitation)</w:t>
            </w:r>
          </w:p>
        </w:tc>
      </w:tr>
      <w:tr>
        <w:tc>
          <w:tcPr>
            <w:tcW w:type="dxa" w:w="22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Authority ceiling</w:t>
            </w:r>
          </w:p>
        </w:tc>
        <w:tc>
          <w:tcPr>
            <w:tcW w:type="dxa" w:w="71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A4 for the state candidate; the invitation it gates is capped separately at A2</w:t>
            </w:r>
          </w:p>
        </w:tc>
      </w:tr>
      <w:tr>
        <w:tc>
          <w:tcPr>
            <w:tcW w:type="dxa" w:w="22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Gap-floor rule</w:t>
            </w:r>
          </w:p>
        </w:tc>
        <w:tc>
          <w:tcPr>
            <w:tcW w:type="dxa" w:w="71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If the gap trends toward zero while felt-watched or anxiety rises, halt personalization, surface to the participant, and log an iatrogenic-review event (cross-referenced to H4)</w:t>
            </w:r>
          </w:p>
        </w:tc>
      </w:tr>
    </w:tbl>
    <w:p>
      <w:pPr>
        <w:spacing w:after="160"/>
        <w:jc w:val="both"/>
      </w:pPr>
      <w:r>
        <w:rPr>
          <w:b w:val="false"/>
          <w:bCs w:val="false"/>
          <w:i w:val="false"/>
          <w:iCs w:val="false"/>
        </w:rPr>
        <w:t xml:space="preserve">This is the central safety property: the bridge is capped at A4, and the invitation it gates is capped at A2. It produces a provenance-tagged situated-state candidate and a gap measurement, and updates the personalization model — but cannot, by itself, write durable memory, take environmental action, or speak beyond one bounded invitation per eligible window; each of those is a separate, gated blueprint, and durable writes additionally require the participant's explicit sign-off.</w:t>
      </w:r>
    </w:p>
    <w:p>
      <w:pPr>
        <w:spacing w:after="160"/>
        <w:jc w:val="both"/>
      </w:pPr>
      <w:r>
        <w:rPr>
          <w:b w:val="false"/>
          <w:bCs w:val="false"/>
          <w:i w:val="false"/>
          <w:iCs w:val="false"/>
        </w:rPr>
        <w:t xml:space="preserve">The large-language-model role is confined to two jobs: an encoder that turns self-report and sensor summaries into structured evidence, and a decoder that turns results back into language; the probability arithmetic runs on a small, auditable inference engine, currently exercised on synthetic data and moving to real inputs at Leg 3 Milestone M1. Two related but distinct constructs are kept separate in measurement: self-legibility, the degree to which one's own state and openness to noticing are readable to oneself, is a precondition; ontological security, the felt sense that one's world and self are continuous and trustworthy, is now a plausible secondary correlate — tracked descriptively via Weekly_Wonder_Reflection continuity items rather than a headline outcome.</w:t>
      </w:r>
    </w:p>
    <w:p>
      <w:pPr>
        <w:spacing w:after="160"/>
        <w:jc w:val="both"/>
      </w:pPr>
      <w:r>
        <w:rPr>
          <w:b w:val="false"/>
          <w:bCs w:val="false"/>
          <w:i w:val="false"/>
          <w:iCs w:val="false"/>
        </w:rPr>
        <w:t xml:space="preserve">H-S2 claims the situated-state estimate is genuinely about this participant and that its timing improves for real reasons — a claim only meaningful if it can fail. The four authenticity tests below are the falsification criteria for that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Test</w:t>
            </w:r>
          </w:p>
        </w:tc>
        <w:tc>
          <w:tcPr>
            <w:tcW w:type="dxa" w:w="69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Pass / fail rule</w:t>
            </w:r>
          </w:p>
        </w:tc>
      </w:tr>
      <w:tr>
        <w:tc>
          <w:tcPr>
            <w:tcW w:type="dxa" w:w="2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Barnum dissociation</w:t>
            </w:r>
          </w:p>
        </w:tc>
        <w:tc>
          <w:tcPr>
            <w:tcW w:type="dxa" w:w="69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PASS if the situated estimate predicts self-report better than a generic Barnum profile does; FAIL if the Barnum profile does as well.</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Counterfactual state-sensitivity</w:t>
            </w:r>
          </w:p>
        </w:tc>
        <w:tc>
          <w:tcPr>
            <w:tcW w:type="dxa" w:w="69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On probe sessions with deliberately perturbed state, PASS if the estimate and the resulting invitation timing move in the perturbed direction; FAIL if inert.</w:t>
            </w:r>
          </w:p>
        </w:tc>
      </w:tr>
      <w:tr>
        <w:tc>
          <w:tcPr>
            <w:tcW w:type="dxa" w:w="2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Grounding-in-fiction</w:t>
            </w:r>
          </w:p>
        </w:tc>
        <w:tc>
          <w:tcPr>
            <w:tcW w:type="dxa" w:w="69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When self-report and substrate diverge, PASS if the system represents the divergence; FAIL if it silently overwrites the report or defers wholly to sensors.</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Iatrogenic gap-collapse</w:t>
            </w:r>
          </w:p>
        </w:tc>
        <w:tc>
          <w:tcPr>
            <w:tcW w:type="dxa" w:w="69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PASS while the gap holds a non-zero floor with stable felt-watched; FAIL (and halt personalization) if the gap collapses toward zero while felt-watched rises. Cross-referenced to H4 and H-S2.</w:t>
            </w:r>
          </w:p>
        </w:tc>
      </w:tr>
    </w:tbl>
    <w:p>
      <w:pPr>
        <w:pStyle w:val="Heading1"/>
      </w:pPr>
      <w:r>
        <w:t xml:space="preserve">9. Leg 3: Substrate Estimability</w:t>
      </w:r>
    </w:p>
    <w:p>
      <w:pPr>
        <w:spacing w:after="160"/>
        <w:jc w:val="both"/>
      </w:pPr>
      <w:r>
        <w:rPr>
          <w:b w:val="false"/>
          <w:bCs w:val="false"/>
          <w:i w:val="false"/>
          <w:iCs w:val="false"/>
        </w:rPr>
        <w:t xml:space="preserve">Leg 3 answers the program's load-bearing premise: at what fidelity can each EM substrate corner be recovered from sensors a solo builder can deploy at home? It runs first, because if the substrate cannot be estimated usefully, the situated-state object is noise and the practice loop has nothing real to time invitations against.</w:t>
      </w:r>
    </w:p>
    <w:p>
      <w:pPr>
        <w:spacing w:after="160"/>
        <w:jc w:val="both"/>
      </w:pPr>
      <w:r>
        <w:rPr>
          <w:b w:val="false"/>
          <w:bCs w:val="false"/>
          <w:i w:val="false"/>
          <w:iCs w:val="false"/>
        </w:rPr>
        <w:t xml:space="preserve">Its deliverable is an honest fidelity map — which corners are observable, weak, or effectively blind — plus a test of whether the observable subset beats a no-sensor baseline. If Leg 3 prunes the substrate toward near-blindness, Track P proceeds with practice invitations timed by simple heuristics (fixed windows, manual opt-in) rather than situated personalization, and Track S reports the pruning as its finding; a pruned graph is a legitimate, publishable result that de-risks everything built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800"/>
        <w:gridCol w:w="3460"/>
      </w:tblGrid>
      <w:tr>
        <w:trPr>
          <w:tblHeader/>
        </w:trPr>
        <w:tc>
          <w:tcPr>
            <w:tcW w:type="dxa" w:w="15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Corner</w:t>
            </w:r>
          </w:p>
        </w:tc>
        <w:tc>
          <w:tcPr>
            <w:tcW w:type="dxa" w:w="26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Cheap-first sensors</w:t>
            </w:r>
          </w:p>
        </w:tc>
        <w:tc>
          <w:tcPr>
            <w:tcW w:type="dxa" w:w="18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Expected fidelity</w:t>
            </w:r>
          </w:p>
        </w:tc>
        <w:tc>
          <w:tcPr>
            <w:tcW w:type="dxa" w:w="34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Key failure mode</w:t>
            </w:r>
          </w:p>
        </w:tc>
      </w:tr>
      <w:tr>
        <w:tc>
          <w:tcPr>
            <w:tcW w:type="dxa" w:w="15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EM8 interoception</w:t>
            </w:r>
          </w:p>
        </w:tc>
        <w:tc>
          <w:tcPr>
            <w:tcW w:type="dxa" w:w="26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HRV strap/ring; optional EDA</w:t>
            </w:r>
          </w:p>
        </w:tc>
        <w:tc>
          <w:tcPr>
            <w:tcW w:type="dxa" w:w="18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Moderate to good; start here</w:t>
            </w:r>
          </w:p>
        </w:tc>
        <w:tc>
          <w:tcPr>
            <w:tcW w:type="dxa" w:w="34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Motion artifact; caffeine and exercise confounds; baseline drift</w:t>
            </w:r>
          </w:p>
        </w:tc>
      </w:tr>
      <w:tr>
        <w:tc>
          <w:tcPr>
            <w:tcW w:type="dxa" w:w="15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EM10 sensation</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Ambient light, mic, temperature/humidity; optional accelerometer</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Moderate (load) / weak (felt)</w:t>
            </w:r>
          </w:p>
        </w:tc>
        <w:tc>
          <w:tcPr>
            <w:tcW w:type="dxa" w:w="34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The load-to-felt map is itself the autistic variable of interest</w:t>
            </w:r>
          </w:p>
        </w:tc>
      </w:tr>
      <w:tr>
        <w:tc>
          <w:tcPr>
            <w:tcW w:type="dxa" w:w="15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EM4 perception</w:t>
            </w:r>
          </w:p>
        </w:tc>
        <w:tc>
          <w:tcPr>
            <w:tcW w:type="dxa" w:w="26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Local webcam or mmWave/PIR; app focus</w:t>
            </w:r>
          </w:p>
        </w:tc>
        <w:tc>
          <w:tcPr>
            <w:tcW w:type="dxa" w:w="18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Weak to moderate</w:t>
            </w:r>
          </w:p>
        </w:tc>
        <w:tc>
          <w:tcPr>
            <w:tcW w:type="dxa" w:w="34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Theoretically rich, empirically thin; webcam privacy</w:t>
            </w:r>
          </w:p>
        </w:tc>
      </w:tr>
      <w:tr>
        <w:tc>
          <w:tcPr>
            <w:tcW w:type="dxa" w:w="15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EM2 latent state</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None direct; calendar, task, time, history; LLM read of recent talk</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Weak, possibly near-blind</w:t>
            </w:r>
          </w:p>
        </w:tc>
        <w:tc>
          <w:tcPr>
            <w:tcW w:type="dxa" w:w="34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May collapse to the voice side, a legitimate pruning result</w:t>
            </w:r>
          </w:p>
        </w:tc>
      </w:tr>
    </w:tbl>
    <w:p>
      <w:pPr>
        <w:spacing w:after="160"/>
        <w:jc w:val="both"/>
      </w:pPr>
      <w:r>
        <w:rPr>
          <w:b w:val="false"/>
          <w:bCs w:val="false"/>
          <w:i w:val="false"/>
          <w:iCs w:val="false"/>
        </w:rPr>
        <w:t xml:space="preserve">A five-rung milestone ladder keeps the go/no-go decision concrete and the early rungs camera-free: M0 confirms the inference engine on synthetic data (done); M1 closes the EM8 loop end-to-end on about a week of real HRV self-data; M2 tests EM8 alone against a no-sensor baseline (go/no-go 1); M3 adds EM10 and re-runs the sufficiency test; M4 attempts EM4 (webcam) and EM2 (context) and produces the full fidelity map; and M5 documents the final go/no-go — if go, BP-C-EM / BP-C-005 is promoted to L3 evidence; if not, the graph is pruned and rethought.</w:t>
      </w:r>
    </w:p>
    <w:p>
      <w:pPr>
        <w:pStyle w:val="Heading1"/>
      </w:pPr>
      <w:r>
        <w:t xml:space="preserve">10. Governance: Blueprints, Authority, and Trust</w:t>
      </w:r>
    </w:p>
    <w:p>
      <w:pPr>
        <w:spacing w:after="160"/>
        <w:jc w:val="both"/>
      </w:pPr>
      <w:r>
        <w:rPr>
          <w:b w:val="false"/>
          <w:bCs w:val="false"/>
          <w:i w:val="false"/>
          <w:iCs w:val="false"/>
        </w:rPr>
        <w:t xml:space="preserve">Every material change to HOMES is expressed as a Blueprint before it may run — the mandatory intermediate artifact between a language-model-generated proposal and its execution (Governing Law G-003). No coupling, ontology change, sensor onboarding, memory rule, action policy, workflow, model calibration, or reflection routine goes live without a validated Blueprint, spanning types from coupling contracts (BP-C) and sensor onboarding (BP-S) to ontology change (BP-O), memory promotion (BP-M), action policy (BP-A), workflows (BP-W), model calibration (BP-K), and reflection (BP-R). Blueprints move through a fixed lifecycle — Draft, Designed, Coded, Validated, Approved, Active, Deprecated, Retired — and a Blueprint that fails validation returns to Draft rather than being partially deployed. Pip designs, the Council Coder seat renders executable form, the Data Steward seat attaches provenance, the Safety Reviewer seat sets fallback and bounds, and Locus validates; durable-memory and worldview blueprints additionally require the participant's explicit sign-off before activation.</w:t>
      </w:r>
    </w:p>
    <w:p>
      <w:pPr>
        <w:spacing w:after="160"/>
        <w:jc w:val="both"/>
      </w:pPr>
      <w:r>
        <w:rPr>
          <w:b w:val="false"/>
          <w:bCs w:val="false"/>
          <w:i w:val="false"/>
          <w:iCs w:val="false"/>
        </w:rPr>
        <w:t xml:space="preserve">This edition is operationally instantiated, not merely designed: the current Blueprint Registry carries live entries synchronized with this prospectus, including BP-O-001 (awe/wonder/recognition/felt-knowing ontology, Validated), BP-M-001 (recognition/awe-pattern promotion, Active), BP-C-005 (situated receptivity gates practice-cue timing, Designed), BP-A-002 (bounded wonder-invitation policy, Designed), BP-W-002 (Logbook ingestion workflow, Validated), BP-R-001 (weekly wonder reflection, Active), and BP-R-002 (H4 anti-surveillance safety review, Active). A 20 August 2026 redesign pass added three further Draft-status Blueprints extending the mechanism to a distinct stabilization-cue context for high-distress moments — BP-C-006, BP-A-003, and BP-W-003 — none yet validated; they inform the exploratory H-Loop sub-question (§4) but are not yet part of the active system.</w:t>
      </w:r>
    </w:p>
    <w:p>
      <w:pPr>
        <w:spacing w:after="160"/>
        <w:jc w:val="both"/>
      </w:pPr>
      <w:r>
        <w:rPr>
          <w:b w:val="false"/>
          <w:bCs w:val="false"/>
          <w:i w:val="false"/>
          <w:iCs w:val="false"/>
        </w:rPr>
        <w:t xml:space="preserve">Three code families keep the system legible and safe. Action-authority ceilings run from A0 (log only) through A1 (ask user), A2 (recommend — weekly reflection and bounded practice invitations), A3 (reversible environmental adjustment), A4 (memory candidate — the situating bridge's ceiling), A5 (durable memory or worldview update, requiring the participant's sign-off), to A6 (autonomous action, reserved and unauthorized). Every sensor event also carries a trust tier — T0 unverified, T1 verified but degraded, T2 verified and high quality, T3 cross-verified or human-confirmed — and a visibly distinct source type (SELF, AUTO, inferred, blueprint-derived, or human-confirmed), which keeps a confident inference from being mistaken for a fact. Before any memory write, recommendation, or environmental action, HOMES evaluates three indices jointly — Ontology Consistency, Cognitive Adequacy, and Confidence Score — permitting action only when all three are high, logging or asking rather than acting when confidence is low, and routing to ontology refinement when consistency is low; the situating bridge applies this gate to every situated-state reading before it is allowed to gate an invitation or inform anything downstream.</w:t>
      </w:r>
    </w:p>
    <w:p>
      <w:pPr>
        <w:pStyle w:val="Heading1"/>
      </w:pPr>
      <w:r>
        <w:t xml:space="preserve">11. Phenomenological Preservation</w:t>
      </w:r>
    </w:p>
    <w:p>
      <w:pPr>
        <w:spacing w:after="160"/>
        <w:jc w:val="both"/>
      </w:pPr>
      <w:r>
        <w:rPr>
          <w:b w:val="false"/>
          <w:bCs w:val="false"/>
          <w:i w:val="false"/>
          <w:iCs w:val="false"/>
        </w:rPr>
        <w:t xml:space="preserve">Operation is experiential; capture is phenomenological; calibration is refinement. The record follows a fixed sequence — Operation → Capture → Digest → Pattern calibration → Model or Blueprint revision — and experience is recorded first in its own terms, in free text, and only later read for pattern. HOMES does not calibrate while operating, does not interpret while capturing, and does not reduce experience to data before it has been preserved phenomenologically. This discipline is what keeps H-S1 — pattern detection without flattening — answerable rather than assumed, and it is why the Logbook's free-text fields remain primary even where a validated instrument such as the DPES awe subscale or the state Awe Experience Scale is used for external reference.</w:t>
      </w:r>
    </w:p>
    <w:p>
      <w:pPr>
        <w:pStyle w:val="Heading1"/>
      </w:pPr>
      <w:r>
        <w:t xml:space="preserve">12. Safety, Anti-Iatrogenic Guardrails, and Stopping Criteria</w:t>
      </w:r>
    </w:p>
    <w:p>
      <w:pPr>
        <w:spacing w:after="160"/>
        <w:jc w:val="both"/>
      </w:pPr>
      <w:r>
        <w:rPr>
          <w:b w:val="false"/>
          <w:bCs w:val="false"/>
          <w:i w:val="false"/>
          <w:iCs w:val="false"/>
        </w:rPr>
        <w:t xml:space="preserve">Because the participant, designer, and beneficiary are the same person, ethical rigor here is a matter of self-protection encoded as system rule. Safety is architectural, not only ethical, and applies equally to both research tracks: a system that appears to improve Track S timing by increasing surveillance has failed, regardless of what it does for Track P outcomes. The design keeps two things that are easily confused firmly apart: felt wonder and security, which are outcomes the study seeks, and felt surveillance, which is their failure mode.</w:t>
      </w:r>
    </w:p>
    <w:p>
      <w:pPr>
        <w:pStyle w:val="ListParagraph"/>
        <w:numPr>
          <w:ilvl w:val="0"/>
          <w:numId w:val="1"/>
        </w:numPr>
        <w:spacing w:after="100"/>
        <w:jc w:val="both"/>
      </w:pPr>
      <w:r>
        <w:rPr>
          <w:b/>
          <w:bCs/>
        </w:rPr>
        <w:t xml:space="preserve">H4 weekly gate.</w:t>
      </w:r>
      <w:r>
        <w:t xml:space="preserve"> The Weekly_Wonder_Reflection tracks felt-understood, felt-watched, tracking anxiety, and whether recording deepened or flattened the week's experience. If felt-watched or anxiety rises across repeated weeks, the logging burden is reduced and the change recorded in the H4_Safety_Log; if felt-understood falls while felt-watched rises, structured logging pauses.</w:t>
      </w:r>
    </w:p>
    <w:p>
      <w:pPr>
        <w:pStyle w:val="ListParagraph"/>
        <w:numPr>
          <w:ilvl w:val="0"/>
          <w:numId w:val="1"/>
        </w:numPr>
        <w:spacing w:after="100"/>
        <w:jc w:val="both"/>
      </w:pPr>
      <w:r>
        <w:rPr>
          <w:b/>
          <w:bCs/>
        </w:rPr>
        <w:t xml:space="preserve">Gap-collapse rule.</w:t>
      </w:r>
      <w:r>
        <w:t xml:space="preserve"> A reconciliation gap trending to zero while felt-watched rises signals deference rather than perfect observation, and triggers an iatrogenic review, cross-referenced to both H4 and H-S2.</w:t>
      </w:r>
    </w:p>
    <w:p>
      <w:pPr>
        <w:pStyle w:val="ListParagraph"/>
        <w:numPr>
          <w:ilvl w:val="0"/>
          <w:numId w:val="1"/>
        </w:numPr>
        <w:spacing w:after="100"/>
        <w:jc w:val="both"/>
      </w:pPr>
      <w:r>
        <w:rPr>
          <w:b/>
          <w:bCs/>
        </w:rPr>
        <w:t xml:space="preserve">Ease-off procedure.</w:t>
      </w:r>
      <w:r>
        <w:t xml:space="preserve"> On a gate trip, the system first pauses proactive prompts and automated reconciliation, retaining only minimal free-text logging; the participant may consult a trusted person or clinician; restart requires two consecutive calm weekly readings.</w:t>
      </w:r>
    </w:p>
    <w:p>
      <w:pPr>
        <w:pStyle w:val="ListParagraph"/>
        <w:numPr>
          <w:ilvl w:val="0"/>
          <w:numId w:val="1"/>
        </w:numPr>
        <w:spacing w:after="100"/>
        <w:jc w:val="both"/>
      </w:pPr>
      <w:r>
        <w:rPr>
          <w:b/>
          <w:bCs/>
        </w:rPr>
        <w:t xml:space="preserve">Human authority is absolute (G-015).</w:t>
      </w:r>
      <w:r>
        <w:t xml:space="preserve"> The participant holds sole sign-off over any durable-memory or worldview-level change and may halt any process at any time; no HOMES process may overrule the person it serves.</w:t>
      </w:r>
    </w:p>
    <w:p>
      <w:pPr>
        <w:pStyle w:val="ListParagraph"/>
        <w:numPr>
          <w:ilvl w:val="0"/>
          <w:numId w:val="1"/>
        </w:numPr>
        <w:spacing w:after="100"/>
        <w:jc w:val="both"/>
      </w:pPr>
      <w:r>
        <w:rPr>
          <w:b/>
          <w:bCs/>
        </w:rPr>
        <w:t xml:space="preserve">No neuro- or diagnostic claims.</w:t>
      </w:r>
      <w:r>
        <w:t xml:space="preserve"> The program measures behavior, self-report, and the human–machine gap — not brain states. EM-Theory's clinical and cosmological apparatus is explicitly out of scope.</w:t>
      </w:r>
    </w:p>
    <w:p>
      <w:pPr>
        <w:pStyle w:val="ListParagraph"/>
        <w:numPr>
          <w:ilvl w:val="0"/>
          <w:numId w:val="1"/>
        </w:numPr>
        <w:spacing w:after="100"/>
        <w:jc w:val="both"/>
      </w:pPr>
      <w:r>
        <w:rPr>
          <w:b/>
          <w:bCs/>
        </w:rPr>
        <w:t xml:space="preserve">Autistic-led throughout.</w:t>
      </w:r>
      <w:r>
        <w:t xml:space="preserve"> The study is designed, run, and interpreted by an autistic person about his own life — aligning with participatory and 'nothing about us without us' norms in autistic self-advocacy research.</w:t>
      </w:r>
    </w:p>
    <w:p>
      <w:pPr>
        <w:spacing w:after="160"/>
        <w:jc w:val="both"/>
      </w:pPr>
      <w:r>
        <w:rPr>
          <w:b w:val="false"/>
          <w:bCs w:val="false"/>
          <w:i w:val="false"/>
          <w:iCs w:val="false"/>
        </w:rPr>
        <w:t xml:space="preserve">The program also names, in advance, the conditions under which it slows, pauses, or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Trigger</w:t>
            </w:r>
          </w:p>
        </w:tc>
        <w:tc>
          <w:tcPr>
            <w:tcW w:type="dxa" w:w="57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Response</w:t>
            </w:r>
          </w:p>
        </w:tc>
      </w:tr>
      <w:tr>
        <w:tc>
          <w:tcPr>
            <w:tcW w:type="dxa" w:w="36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H4 gate trip: felt-watched rises and felt-understood falls, or anxiety rises across repeated weeks</w:t>
            </w:r>
          </w:p>
        </w:tc>
        <w:tc>
          <w:tcPr>
            <w:tcW w:type="dxa" w:w="57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Pause structured logging; ease off; record and analyze the ease-off</w:t>
            </w:r>
          </w:p>
        </w:tc>
      </w:tr>
      <w:tr>
        <w:tc>
          <w:tcPr>
            <w:tcW w:type="dxa" w:w="36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Gap-collapse: reconciliation gap trends to zero while felt-watched rises</w:t>
            </w:r>
          </w:p>
        </w:tc>
        <w:tc>
          <w:tcPr>
            <w:tcW w:type="dxa" w:w="57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Halt personalization of invitation timing; iatrogenic review</w:t>
            </w:r>
          </w:p>
        </w:tc>
      </w:tr>
      <w:tr>
        <w:tc>
          <w:tcPr>
            <w:tcW w:type="dxa" w:w="36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Leg 3 insufficiency: substrate does not beat the no-sensor baseline</w:t>
            </w:r>
          </w:p>
        </w:tc>
        <w:tc>
          <w:tcPr>
            <w:tcW w:type="dxa" w:w="57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Prune the graph; publish the fidelity map; proceed under the graceful-degradation rule</w:t>
            </w:r>
          </w:p>
        </w:tc>
      </w:tr>
      <w:tr>
        <w:tc>
          <w:tcPr>
            <w:tcW w:type="dxa" w:w="36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Blueprint block: no active validated Blueprint</w:t>
            </w:r>
          </w:p>
        </w:tc>
        <w:tc>
          <w:tcPr>
            <w:tcW w:type="dxa" w:w="57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No live deployment of the change</w:t>
            </w:r>
          </w:p>
        </w:tc>
      </w:tr>
      <w:tr>
        <w:tc>
          <w:tcPr>
            <w:tcW w:type="dxa" w:w="36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Maturity-honesty block: evidence claimed above actual level</w:t>
            </w:r>
          </w:p>
        </w:tc>
        <w:tc>
          <w:tcPr>
            <w:tcW w:type="dxa" w:w="57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No L3+ claim before real user or system data exists</w:t>
            </w:r>
          </w:p>
        </w:tc>
      </w:tr>
    </w:tbl>
    <w:p>
      <w:pPr>
        <w:pStyle w:val="Heading1"/>
      </w:pPr>
      <w:r>
        <w:t xml:space="preserve">13. Measurement and Study Design</w:t>
      </w:r>
    </w:p>
    <w:p>
      <w:pPr>
        <w:spacing w:after="160"/>
        <w:jc w:val="both"/>
      </w:pPr>
      <w:r>
        <w:rPr>
          <w:b w:val="false"/>
          <w:bCs w:val="false"/>
          <w:i w:val="false"/>
          <w:iCs w:val="false"/>
        </w:rPr>
        <w:t xml:space="preserve">The Measurement Logbook — Awe &amp; Wonder Edition is the operational evidence substrate for both research tracks: eight self-report and auto-log instruments tied to specific constructs and hypotheses, keeping SELF and AUTO values visibly distinct, and replacing the retired v3.2 instrument set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1400"/>
        <w:gridCol w:w="5110"/>
      </w:tblGrid>
      <w:tr>
        <w:trPr>
          <w:tblHeader/>
        </w:trPr>
        <w:tc>
          <w:tcPr>
            <w:tcW w:type="dxa" w:w="285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Instrument</w:t>
            </w:r>
          </w:p>
        </w:tc>
        <w:tc>
          <w:tcPr>
            <w:tcW w:type="dxa" w:w="14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Cadence</w:t>
            </w:r>
          </w:p>
        </w:tc>
        <w:tc>
          <w:tcPr>
            <w:tcW w:type="dxa" w:w="511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Captures</w:t>
            </w:r>
          </w:p>
        </w:tc>
      </w:tr>
      <w:tr>
        <w:tc>
          <w:tcPr>
            <w:tcW w:type="dxa" w:w="28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Daily_Awe_Log</w:t>
            </w:r>
          </w:p>
        </w:tc>
        <w:tc>
          <w:tcPr>
            <w:tcW w:type="dxa" w:w="1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Daily (2–3 min)</w:t>
            </w:r>
          </w:p>
        </w:tc>
        <w:tc>
          <w:tcPr>
            <w:tcW w:type="dxa" w:w="511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Room, time of day, awe/wonder/recognition (Y/N), felt knowing, intensity, meaning, body calm↔activation, preceding practice, free-text note</w:t>
            </w:r>
          </w:p>
        </w:tc>
      </w:tr>
      <w:tr>
        <w:tc>
          <w:tcPr>
            <w:tcW w:type="dxa" w:w="28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Practice_Pattern_Log</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Per practice</w:t>
            </w:r>
          </w:p>
        </w:tc>
        <w:tc>
          <w:tcPr>
            <w:tcW w:type="dxa" w:w="511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Practice, room/setting, trigger, duration, completion, felt knowing before/after, returnability, notes</w:t>
            </w:r>
          </w:p>
        </w:tc>
      </w:tr>
      <w:tr>
        <w:tc>
          <w:tcPr>
            <w:tcW w:type="dxa" w:w="28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Recognition_Register</w:t>
            </w:r>
          </w:p>
        </w:tc>
        <w:tc>
          <w:tcPr>
            <w:tcW w:type="dxa" w:w="1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Per recognition event</w:t>
            </w:r>
          </w:p>
        </w:tc>
        <w:tc>
          <w:tcPr>
            <w:tcW w:type="dxa" w:w="511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What became recognizable; new/returned/deepened/clarified; felt knowing; memory-candidate flag; sign-off before durable</w:t>
            </w:r>
          </w:p>
        </w:tc>
      </w:tr>
      <w:tr>
        <w:tc>
          <w:tcPr>
            <w:tcW w:type="dxa" w:w="28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Weekly_Wonder_Reflection</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Weekly (10–15 min)</w:t>
            </w:r>
          </w:p>
        </w:tc>
        <w:tc>
          <w:tcPr>
            <w:tcW w:type="dxa" w:w="511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Significant moment, repeatable practice, reliable room/condition, felt-knowing/recognition/continuity averages, the four H4 gate items</w:t>
            </w:r>
          </w:p>
        </w:tc>
      </w:tr>
      <w:tr>
        <w:tc>
          <w:tcPr>
            <w:tcW w:type="dxa" w:w="28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Pattern_Map</w:t>
            </w:r>
          </w:p>
        </w:tc>
        <w:tc>
          <w:tcPr>
            <w:tcW w:type="dxa" w:w="1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Weekly/biweekly</w:t>
            </w:r>
          </w:p>
        </w:tc>
        <w:tc>
          <w:tcPr>
            <w:tcW w:type="dxa" w:w="511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Named practice-context patterns, evidence basis, supporting conditions, effect sizes, AUTO confidence, SELF disposition</w:t>
            </w:r>
          </w:p>
        </w:tc>
      </w:tr>
      <w:tr>
        <w:tc>
          <w:tcPr>
            <w:tcW w:type="dxa" w:w="28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Reconciliation_Log</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Per situated-state event</w:t>
            </w:r>
          </w:p>
        </w:tc>
        <w:tc>
          <w:tcPr>
            <w:tcW w:type="dxa" w:w="511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Machine estimate, self-report voices, gap, confidence, whether a practice was invited, invitation appropriateness, provenance</w:t>
            </w:r>
          </w:p>
        </w:tc>
      </w:tr>
      <w:tr>
        <w:tc>
          <w:tcPr>
            <w:tcW w:type="dxa" w:w="285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H4_Safety_Log</w:t>
            </w:r>
          </w:p>
        </w:tc>
        <w:tc>
          <w:tcPr>
            <w:tcW w:type="dxa" w:w="14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As triggered</w:t>
            </w:r>
          </w:p>
        </w:tc>
        <w:tc>
          <w:tcPr>
            <w:tcW w:type="dxa" w:w="511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Felt watched/understood, anxiety, preserved/flattened, signal type, ease-off action, restart condition</w:t>
            </w:r>
          </w:p>
        </w:tc>
      </w:tr>
      <w:tr>
        <w:tc>
          <w:tcPr>
            <w:tcW w:type="dxa" w:w="285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Dashboard</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Auto-summary</w:t>
            </w:r>
          </w:p>
        </w:tc>
        <w:tc>
          <w:tcPr>
            <w:tcW w:type="dxa" w:w="511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Live A-vs-B contrasts for H-P1–H-P4, appropriateness and gap trajectory for H-S1/H-S2, and the H4 readout</w:t>
            </w:r>
          </w:p>
        </w:tc>
      </w:tr>
    </w:tbl>
    <w:p>
      <w:pPr>
        <w:spacing w:after="160"/>
        <w:jc w:val="both"/>
      </w:pPr>
      <w:r>
        <w:rPr>
          <w:b w:val="false"/>
          <w:bCs w:val="false"/>
          <w:i w:val="false"/>
          <w:iCs w:val="false"/>
        </w:rPr>
        <w:t xml:space="preserve">A missed day is recorded as missing and never back-filled from memory — the participant's memory is itself a study variable. Instrument changes are themselves logged as version-bumped Blueprints, so a later shift in an outcome can never be silently attributed to an unrecorded change in how it was measured; BP-W-002 (Logbook ingestion, Validated) and BP-R-001 (weekly wonder reflection, Active) are the concrete instances of this rule already in force. Awe and wonder are, in this edition, the primary constructs rather than secondary markers; where a validated instrument fits, the study adopts or adapts the DPES awe subscale (Shiota, Keltner, &amp; John, 2006) or the state Awe Experience Scale (Yaden et al., 2019) as external validation references, while the Logbook's own phenomenological free-text fields remain primary, per the phenomenological-preservation discipline (§11).</w:t>
      </w:r>
    </w:p>
    <w:p>
      <w:pPr>
        <w:spacing w:after="160"/>
        <w:jc w:val="both"/>
      </w:pPr>
      <w:r>
        <w:rPr>
          <w:b w:val="false"/>
          <w:bCs w:val="false"/>
          <w:i w:val="false"/>
          <w:iCs w:val="false"/>
        </w:rPr>
        <w:t xml:space="preserve">The program uses a single-case experimental design conducted toward What Works Clearinghouse standards (Kratochwill et al., 2010, 2021), organized across seven phases, Phase 0 through Phase 6. The following schedule is a working plan beginning 1 September 2026; boundaries are indicative and will be tuned against the H4 readings and the pace of practice-inventory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Phase</w:t>
            </w:r>
          </w:p>
        </w:tc>
        <w:tc>
          <w:tcPr>
            <w:tcW w:type="dxa" w:w="456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Purpose</w:t>
            </w:r>
          </w:p>
        </w:tc>
        <w:tc>
          <w:tcPr>
            <w:tcW w:type="dxa" w:w="2900"/>
            <w:tcBorders>
              <w:top w:val="single" w:color="AAAAAA" w:sz="1"/>
              <w:left w:val="single" w:color="AAAAAA" w:sz="1"/>
              <w:bottom w:val="single" w:color="AAAAAA" w:sz="1"/>
              <w:right w:val="single" w:color="AAAAAA" w:sz="1"/>
            </w:tcBorders>
            <w:shd w:fill="3A2E52" w:color="auto" w:val="clear"/>
            <w:tcMar>
              <w:top w:type="dxa" w:w="70"/>
              <w:left w:type="dxa" w:w="110"/>
              <w:bottom w:type="dxa" w:w="70"/>
              <w:right w:type="dxa" w:w="110"/>
            </w:tcMar>
            <w:vAlign w:val="center"/>
          </w:tcPr>
          <w:p>
            <w:r>
              <w:rPr>
                <w:b/>
                <w:bCs/>
                <w:color w:val="FFFFFF"/>
                <w:sz w:val="19"/>
                <w:szCs w:val="19"/>
              </w:rPr>
              <w:t xml:space="preserve">Indicative window</w:t>
            </w:r>
          </w:p>
        </w:tc>
      </w:tr>
      <w:tr>
        <w:tc>
          <w:tcPr>
            <w:tcW w:type="dxa" w:w="1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0 · Baseline</w:t>
            </w:r>
          </w:p>
        </w:tc>
        <w:tc>
          <w:tcPr>
            <w:tcW w:type="dxa" w:w="45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No prompting; establish pre-intervention rates of awe, wonder, recognition, and felt knowing</w:t>
            </w:r>
          </w:p>
        </w:tc>
        <w:tc>
          <w:tcPr>
            <w:tcW w:type="dxa" w:w="2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Sep 1–21, 2026</w:t>
            </w:r>
          </w:p>
        </w:tc>
      </w:tr>
      <w:tr>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1 · Practice inventory</w:t>
            </w:r>
          </w:p>
        </w:tc>
        <w:tc>
          <w:tcPr>
            <w:tcW w:type="dxa" w:w="45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Identify candidate practices and their natural occurrence</w:t>
            </w:r>
          </w:p>
        </w:tc>
        <w:tc>
          <w:tcPr>
            <w:tcW w:type="dxa" w:w="2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Sep 22–Oct 5, 2026</w:t>
            </w:r>
          </w:p>
        </w:tc>
      </w:tr>
      <w:tr>
        <w:tc>
          <w:tcPr>
            <w:tcW w:type="dxa" w:w="1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2 · Room-and-pattern mapping</w:t>
            </w:r>
          </w:p>
        </w:tc>
        <w:tc>
          <w:tcPr>
            <w:tcW w:type="dxa" w:w="45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Map rooms/times/conditions against early Log evidence; seed the initial Pattern_Map</w:t>
            </w:r>
          </w:p>
        </w:tc>
        <w:tc>
          <w:tcPr>
            <w:tcW w:type="dxa" w:w="2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Oct 6–19, 2026</w:t>
            </w:r>
          </w:p>
        </w:tc>
      </w:tr>
      <w:tr>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3 · Supported practice introduction</w:t>
            </w:r>
          </w:p>
        </w:tc>
        <w:tc>
          <w:tcPr>
            <w:tcW w:type="dxa" w:w="45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Support introduced to the first practice (e.g., sun-room orientation); change read against its own onset</w:t>
            </w:r>
          </w:p>
        </w:tc>
        <w:tc>
          <w:tcPr>
            <w:tcW w:type="dxa" w:w="2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Oct 20–Nov 9, 2026</w:t>
            </w:r>
          </w:p>
        </w:tc>
      </w:tr>
      <w:tr>
        <w:tc>
          <w:tcPr>
            <w:tcW w:type="dxa" w:w="1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4 · Multiple-baseline across practices/rooms</w:t>
            </w:r>
          </w:p>
        </w:tc>
        <w:tc>
          <w:tcPr>
            <w:tcW w:type="dxa" w:w="45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Staggered onset across remaining practices, so improvement coincides with each practice's own support date</w:t>
            </w:r>
          </w:p>
        </w:tc>
        <w:tc>
          <w:tcPr>
            <w:tcW w:type="dxa" w:w="2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Nov 10, 2026–Feb 2027 (rolling)</w:t>
            </w:r>
          </w:p>
        </w:tc>
      </w:tr>
      <w:tr>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5 · Reflection &amp; durability</w:t>
            </w:r>
          </w:p>
        </w:tc>
        <w:tc>
          <w:tcPr>
            <w:tcW w:type="dxa" w:w="456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Recognition durability and returnability reviewed; continuous from Phase 3</w:t>
            </w:r>
          </w:p>
        </w:tc>
        <w:tc>
          <w:tcPr>
            <w:tcW w:type="dxa" w:w="29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sz w:val="18"/>
                <w:szCs w:val="18"/>
              </w:rPr>
              <w:t xml:space="preserve">Formal review March 2027</w:t>
            </w:r>
          </w:p>
        </w:tc>
      </w:tr>
      <w:tr>
        <w:tc>
          <w:tcPr>
            <w:tcW w:type="dxa" w:w="1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6 · System refinement</w:t>
            </w:r>
          </w:p>
        </w:tc>
        <w:tc>
          <w:tcPr>
            <w:tcW w:type="dxa" w:w="456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Blueprint revision drafts (BP-K, BP-C-005 tuning) proposed from repeated prediction-vs-outcome mismatch</w:t>
            </w:r>
          </w:p>
        </w:tc>
        <w:tc>
          <w:tcPr>
            <w:tcW w:type="dxa" w:w="2900"/>
            <w:tcBorders>
              <w:top w:val="single" w:color="AAAAAA" w:sz="1"/>
              <w:left w:val="single" w:color="AAAAAA" w:sz="1"/>
              <w:bottom w:val="single" w:color="AAAAAA" w:sz="1"/>
              <w:right w:val="single" w:color="AAAAAA" w:sz="1"/>
            </w:tcBorders>
            <w:shd w:fill="F4F2F8" w:color="auto" w:val="clear"/>
            <w:tcMar>
              <w:top w:type="dxa" w:w="70"/>
              <w:left w:type="dxa" w:w="110"/>
              <w:bottom w:type="dxa" w:w="70"/>
              <w:right w:type="dxa" w:w="110"/>
            </w:tcMar>
          </w:tcPr>
          <w:p>
            <w:r>
              <w:rPr>
                <w:sz w:val="18"/>
                <w:szCs w:val="18"/>
              </w:rPr>
              <w:t xml:space="preserve">March 2027 onward</w:t>
            </w:r>
          </w:p>
        </w:tc>
      </w:tr>
    </w:tbl>
    <w:p>
      <w:r>
        <w:t>Note on Phase 5 length (added 20 Aug 2026): peer-victimization trauma research (Cooley et al., 2026) has found clinically significant trauma symptoms persisting six months or longer in a meaningful fraction of affected children. This is a reason the evidence-gated completion rule above — not a fixed calendar date — governs Phase 5’s actual end. A Phase 5 that runs longer than indicated is not, on its own, evidence of a design failure. (Wonder-Stabilizer Redesign Memo §4.4, revised)</w:t>
      </w:r>
    </w:p>
    <w:p>
      <w:pPr>
        <w:spacing w:after="160"/>
        <w:jc w:val="both"/>
      </w:pPr>
      <w:r>
        <w:rPr>
          <w:b w:val="false"/>
          <w:bCs w:val="false"/>
          <w:i w:val="false"/>
          <w:iCs w:val="false"/>
        </w:rPr>
        <w:t xml:space="preserve">Design logic runs by track: a multiple-baseline across practices/rooms (Track P) attributes improvement to HOMES rather than time, since each practice's frequency and returnability should improve only when its own support begins (tests H-P1–H-P3); a personalization arm (Track S) tracks invitation-appropriateness and the reconciliation gap from Phase 3 onward, expecting appropriateness to rise and the gap to decline to a stable non-zero floor (H-S2); pattern detection (Track S) populates the Pattern_Map on a slow weekly/biweekly cadence and is reviewed for confidence gains that do not cost free-text richness or trip an H4 'flattened' flag (H-S1); and continuous measurement of durability, felt-knowing continuity, and secondary ontological-security markers runs throughout without deliberate withdrawal (H-P4). Probe sessions with a deliberately perturbed context — an atypical time or room — interleave to test the invitation-timing model's counterfactual sensitivity.</w:t>
      </w:r>
    </w:p>
    <w:p>
      <w:pPr>
        <w:spacing w:after="160"/>
        <w:jc w:val="both"/>
      </w:pPr>
      <w:r>
        <w:rPr>
          <w:b w:val="false"/>
          <w:bCs w:val="false"/>
          <w:i w:val="false"/>
          <w:iCs w:val="false"/>
        </w:rPr>
        <w:t xml:space="preserve">Per WWC guidance, each phase seeks at least five data points where feasible, with at least three demonstrations of effect at three different points in time; effect is read first by visual analysis, with Tau-U (Parker et al., 2011) reported descriptively where useful. Each phase ends when its target outcome shows a stable level and trend, so phases end on evidence rather than fatigue.</w:t>
      </w:r>
    </w:p>
    <w:p>
      <w:pPr>
        <w:spacing w:after="160"/>
        <w:jc w:val="both"/>
      </w:pPr>
      <w:r>
        <w:rPr>
          <w:b w:val="false"/>
          <w:bCs w:val="false"/>
          <w:i w:val="false"/>
          <w:iCs w:val="false"/>
        </w:rPr>
        <w:t xml:space="preserve">Analysis is modest and transparent, appropriate to n = 1: visual analysis of each outcome, invitation-appropriateness, and the reconciliation gap over time (primary); descriptive phase-vs-phase contrasts, auto-computed on the Dashboard; the gap and appropriateness trajectory across the personalization arm, testing decline to a non-zero floor and rise toward 'helpful' (H-S2); co-movement analysis of Track P and Track S in support of or against H-Loop; the four authenticity tests of §8, each doubling as a falsification criterion for H-S2; and a provenance audit confirming every reported number traces through the asset-process-service chain to its source and confidence.</w:t>
      </w:r>
    </w:p>
    <w:p>
      <w:pPr>
        <w:pStyle w:val="Heading1"/>
      </w:pPr>
      <w:r>
        <w:t xml:space="preserve">14. Contribution and Path to Collaboration</w:t>
      </w:r>
    </w:p>
    <w:p>
      <w:pPr>
        <w:spacing w:after="160"/>
        <w:jc w:val="both"/>
      </w:pPr>
      <w:r>
        <w:rPr>
          <w:b w:val="false"/>
          <w:bCs w:val="false"/>
          <w:i w:val="false"/>
          <w:iCs w:val="false"/>
        </w:rPr>
        <w:t xml:space="preserve">If successful, the program contributes four things the wider field currently lacks, addressed to readers in human–computer interaction, philosophy of technology, and assistive technology: a method — a single-case, blueprint-governed cognitive-and-spatial digital twin design that treats participant practice and system timing-quality as co-equal outcomes joined by a practice loop, oriented toward awe, wonder, recognition, and felt knowing rather than memory or routine as the headline claim; a technical contribution — a home-lab fidelity map for sensor-estimated cognitive substrate, now in explicit service of a stated downstream use (invitation timing) rather than a diffuse personalization goal; a governance contribution — a blueprint pipeline and authority-ceiling scheme for language-model-mediated self-support systems, demonstrably live rather than merely designed, since this prospectus is synchronized with Blueprints already Active or Validated in the current Registry; and a phenomenological contribution — situated awe, wonder, recognition, and felt knowing as primary outcome constructs, preserved phenomenologically before calibration rather than reduced prematurely to a metric.</w:t>
      </w:r>
    </w:p>
    <w:p>
      <w:pPr>
        <w:spacing w:after="160"/>
        <w:jc w:val="both"/>
      </w:pPr>
      <w:r>
        <w:rPr>
          <w:b w:val="false"/>
          <w:bCs w:val="false"/>
          <w:i w:val="false"/>
          <w:iCs w:val="false"/>
        </w:rPr>
        <w:t xml:space="preserve">A collaborator would add methodological co-authorship on single-case statistics, an external ethics perspective valuable precisely because participant and investigator coincide, engineering partnership on the Leg 3 measurement models, and replication scaffolding so that a second autistic co-designer could build their own world and test whether the method transfers.</w:t>
      </w:r>
    </w:p>
    <w:p>
      <w:pPr>
        <w:pStyle w:val="Heading1"/>
      </w:pPr>
      <w:r>
        <w:t xml:space="preserve">15. Limitations and Threats to Validity</w:t>
      </w:r>
    </w:p>
    <w:p>
      <w:pPr>
        <w:pStyle w:val="ListParagraph"/>
        <w:numPr>
          <w:ilvl w:val="0"/>
          <w:numId w:val="1"/>
        </w:numPr>
        <w:spacing w:after="100"/>
        <w:jc w:val="both"/>
      </w:pPr>
      <w:r>
        <w:t xml:space="preserve">Single participant; no population generalization is claimed. The contribution is method, instance, and fidelity map, not effect size.</w:t>
      </w:r>
    </w:p>
    <w:p>
      <w:pPr>
        <w:pStyle w:val="ListParagraph"/>
        <w:numPr>
          <w:ilvl w:val="0"/>
          <w:numId w:val="1"/>
        </w:numPr>
        <w:spacing w:after="100"/>
        <w:jc w:val="both"/>
      </w:pPr>
      <w:r>
        <w:t xml:space="preserve">Investigator and participant coincide. The greatest strength — authenticity — is also the greatest bias risk; the anti-iatrogenic gate, provenance trail, and a future external ethics reviewer are the mitigations.</w:t>
      </w:r>
    </w:p>
    <w:p>
      <w:pPr>
        <w:pStyle w:val="ListParagraph"/>
        <w:numPr>
          <w:ilvl w:val="0"/>
          <w:numId w:val="1"/>
        </w:numPr>
        <w:spacing w:after="100"/>
        <w:jc w:val="both"/>
      </w:pPr>
      <w:r>
        <w:t xml:space="preserve">The mechanism argument for the situating bridge is strong but the estimability premise is untested, which is why Leg 3 runs first; EM-Theory's own evidence base is early (a single small pilot, L1–L2), so confidence in any single reading stays modest, gated by OCI, CAI, and CSI.</w:t>
      </w:r>
    </w:p>
    <w:p>
      <w:pPr>
        <w:pStyle w:val="ListParagraph"/>
        <w:numPr>
          <w:ilvl w:val="0"/>
          <w:numId w:val="1"/>
        </w:numPr>
        <w:spacing w:after="100"/>
        <w:jc w:val="both"/>
      </w:pPr>
      <w:r>
        <w:t xml:space="preserve">Whether a well-timed invitation that speaks as if grounded constitutes genuine situated timing, or a convincing simulation, is not empirically decidable; the program claims the weaker, honest version and says so.</w:t>
      </w:r>
    </w:p>
    <w:p>
      <w:pPr>
        <w:pStyle w:val="ListParagraph"/>
        <w:numPr>
          <w:ilvl w:val="0"/>
          <w:numId w:val="1"/>
        </w:numPr>
        <w:spacing w:after="100"/>
        <w:jc w:val="both"/>
      </w:pPr>
      <w:r>
        <w:t xml:space="preserve">Awe and wonder are inherently subjective, and daily high-frequency sampling of them is not itself a fully validated practice — the DPES and AWE-S instruments this study adapts were built for lower-frequency, single-timepoint use, so findings on H-P1–H-P4 should be read with this instrumentation caveat attached.</w:t>
      </w:r>
    </w:p>
    <w:p>
      <w:pPr>
        <w:pStyle w:val="ListParagraph"/>
        <w:numPr>
          <w:ilvl w:val="0"/>
          <w:numId w:val="1"/>
        </w:numPr>
        <w:spacing w:after="100"/>
        <w:jc w:val="both"/>
      </w:pPr>
      <w:r>
        <w:t xml:space="preserve">There is a live risk that operationalizing wonder numerically flattens the very phenomenon under study; this is precisely what H-S1 and the phenomenological-preservation discipline (§11) exist to detect, not a risk this design can claim to have already solved.</w:t>
      </w:r>
    </w:p>
    <w:p>
      <w:pPr>
        <w:pStyle w:val="ListParagraph"/>
        <w:numPr>
          <w:ilvl w:val="0"/>
          <w:numId w:val="1"/>
        </w:numPr>
        <w:spacing w:after="100"/>
        <w:jc w:val="both"/>
      </w:pPr>
      <w:r>
        <w:t xml:space="preserve">Ontological security, now a secondary rather than headline construct, is measured continuously with no withdrawal phase; any movement observed in it is descriptive and exploratory, not a tested hypothesis in this edition.</w:t>
      </w:r>
    </w:p>
    <w:p>
      <w:pPr>
        <w:pStyle w:val="ListParagraph"/>
        <w:numPr>
          <w:ilvl w:val="0"/>
          <w:numId w:val="1"/>
        </w:numPr>
        <w:spacing w:after="100"/>
        <w:jc w:val="both"/>
      </w:pPr>
      <w:r>
        <w:t xml:space="preserve">Blueprint and measurement overhead may itself become burdensome, and the act of measuring may distort the life being measured; both are watched under H4.</w:t>
      </w:r>
    </w:p>
    <w:p>
      <w:pPr>
        <w:pStyle w:val="ListParagraph"/>
        <w:numPr>
          <w:ilvl w:val="0"/>
          <w:numId w:val="1"/>
        </w:numPr>
        <w:spacing w:after="100"/>
        <w:jc w:val="both"/>
      </w:pPr>
      <w:r>
        <w:t xml:space="preserve">The practice-loop framing is itself a design hypothesis (H-Loop) and may not hold if progress on one track fails to translate into progress on the other.</w:t>
      </w:r>
    </w:p>
    <w:p>
      <w:pPr>
        <w:pStyle w:val="Heading1"/>
      </w:pPr>
      <w:r>
        <w:t xml:space="preserve">16. Conclusion and Discussion</w:t>
      </w:r>
    </w:p>
    <w:p>
      <w:pPr>
        <w:spacing w:after="160"/>
        <w:jc w:val="both"/>
      </w:pPr>
      <w:r>
        <w:rPr>
          <w:b w:val="false"/>
          <w:bCs w:val="false"/>
          <w:i w:val="false"/>
          <w:iCs w:val="false"/>
        </w:rPr>
        <w:t xml:space="preserve">This edition resolves the discrepancy the Master Project Architecture State (20 August 2026) named as open item O-02: that Prospectus v3.2 still described HOMES primarily in memory-and-routine terms while the Blueprint Registry and Measurement Logbook had already moved to an awe-and-wonder-primary orientation. HOMES remains a governed attempt to build a world in which awe, wonder, recognition, and felt knowing remain available to the person who inhabits it, developed together with a system that becomes better able to time its support as it learns. Its value lies not in claiming general efficacy, but in showing whether a local-first, blueprint-governed cognitive-and-spatial digital twin and the person who builds it can improve together — each supplying what the other needs — without that mutual improvement becoming surveillance, and without the act of measuring flattening the very wonder it sets out to notice. The situating bridge remains central to this design because it is the sole producer of situated state, and it is engineered to degrade gracefully: if Leg 3 shows the substrate is weak, the program still returns an honest result, and the A4 ceiling ensures that a fluent reading of the participant's state can never, on its own, write memory, change the room, or speak beyond one bounded invitation. The promise of HOMES is not that it is elegant, nor that it proves awe can be engineered — it is that a person and a governed system can improve together, each supplying what the other needs, without that improvement costing the person the trust the whole project depends on, and without the study's own instruments quietly replacing the wonder they were built to notice.</w:t>
      </w:r>
    </w:p>
    <w:p>
      <w:pPr>
        <w:pStyle w:val="Heading1"/>
      </w:pPr>
      <w:r>
        <w:t xml:space="preserve">17. References</w:t>
      </w:r>
    </w:p>
    <w:p>
      <w:pPr>
        <w:spacing w:after="140"/>
        <w:jc w:val="left"/>
      </w:pPr>
      <w:r>
        <w:rPr>
          <w:b w:val="false"/>
          <w:bCs w:val="false"/>
          <w:i w:val="false"/>
          <w:iCs w:val="false"/>
        </w:rPr>
        <w:t xml:space="preserve">Clark, A., &amp; Chalmers, D. (1998). The extended mind. Analysis, 58(1), 7–19.</w:t>
      </w:r>
    </w:p>
    <w:p>
      <w:pPr>
        <w:spacing w:after="140"/>
        <w:jc w:val="left"/>
      </w:pPr>
      <w:r>
        <w:rPr>
          <w:b w:val="false"/>
          <w:bCs w:val="false"/>
          <w:i w:val="false"/>
          <w:iCs w:val="false"/>
        </w:rPr>
        <w:t xml:space="preserve">Friston, K. (2010). The free-energy principle: A unified brain theory? Nature Reviews Neuroscience, 11(2), 127–138.</w:t>
      </w:r>
    </w:p>
    <w:p>
      <w:pPr>
        <w:spacing w:after="140"/>
        <w:jc w:val="left"/>
      </w:pPr>
      <w:r>
        <w:rPr>
          <w:b w:val="false"/>
          <w:bCs w:val="false"/>
          <w:i w:val="false"/>
          <w:iCs w:val="false"/>
        </w:rPr>
        <w:t xml:space="preserve">Giddens, A. (1991). Modernity and Self-Identity: Self and Society in the Late Modern Age. Stanford University Press.</w:t>
      </w:r>
    </w:p>
    <w:p>
      <w:pPr>
        <w:spacing w:after="140"/>
        <w:jc w:val="left"/>
      </w:pPr>
      <w:r>
        <w:rPr>
          <w:b w:val="false"/>
          <w:bCs w:val="false"/>
          <w:i w:val="false"/>
          <w:iCs w:val="false"/>
        </w:rPr>
        <w:t xml:space="preserve">Keltner, D., &amp; Haidt, J. (2003). Approaching awe, a moral, spiritual, and aesthetic emotion. Cognition and Emotion, 17(2), 297–314.</w:t>
      </w:r>
    </w:p>
    <w:p>
      <w:pPr>
        <w:spacing w:after="140"/>
        <w:jc w:val="left"/>
      </w:pPr>
      <w:r>
        <w:rPr>
          <w:b w:val="false"/>
          <w:bCs w:val="false"/>
          <w:i w:val="false"/>
          <w:iCs w:val="false"/>
        </w:rPr>
        <w:t xml:space="preserve">Kratochwill, T. R., Hitchcock, J., Horner, R. H., Levin, J. R., Odom, S. L., Rindskopf, D. M., &amp; Shadish, W. R. (2010). Single-Case Designs Technical Documentation. What Works Clearinghouse.</w:t>
      </w:r>
    </w:p>
    <w:p>
      <w:pPr>
        <w:spacing w:after="140"/>
        <w:jc w:val="left"/>
      </w:pPr>
      <w:r>
        <w:rPr>
          <w:b w:val="false"/>
          <w:bCs w:val="false"/>
          <w:i w:val="false"/>
          <w:iCs w:val="false"/>
        </w:rPr>
        <w:t xml:space="preserve">Kratochwill, T. R., Horner, R. H., Levin, J. R., Machalicek, W., Ferron, J., &amp; Johnson, A. (2021). Single-case design standards: An update and proposed upgrades. Journal of School Psychology, 89, 91–105.</w:t>
      </w:r>
    </w:p>
    <w:p>
      <w:pPr>
        <w:spacing w:after="140"/>
        <w:jc w:val="left"/>
      </w:pPr>
      <w:r>
        <w:rPr>
          <w:b w:val="false"/>
          <w:bCs w:val="false"/>
          <w:i w:val="false"/>
          <w:iCs w:val="false"/>
        </w:rPr>
        <w:t xml:space="preserve">Laing, R. D. (1960). The Divided Self: An Existential Study in Sanity and Madness (Chapters 1–5). Tavistock. [Used descriptively for self-legibility and ontological security; clinical/prescriptive apparatus out of scope.]</w:t>
      </w:r>
    </w:p>
    <w:p>
      <w:pPr>
        <w:spacing w:after="140"/>
        <w:jc w:val="left"/>
      </w:pPr>
      <w:r>
        <w:rPr>
          <w:b w:val="false"/>
          <w:bCs w:val="false"/>
          <w:i w:val="false"/>
          <w:iCs w:val="false"/>
        </w:rPr>
        <w:t xml:space="preserve">Nagel, T. (1986). The View from Nowhere. Oxford University Press.</w:t>
      </w:r>
    </w:p>
    <w:p>
      <w:pPr>
        <w:spacing w:after="140"/>
        <w:jc w:val="left"/>
      </w:pPr>
      <w:r>
        <w:rPr>
          <w:b w:val="false"/>
          <w:bCs w:val="false"/>
          <w:i w:val="false"/>
          <w:iCs w:val="false"/>
        </w:rPr>
        <w:t xml:space="preserve">Parker, R. I., Vannest, K. J., Davis, J. L., &amp; Sauber, S. B. (2011). Combining nonoverlap and trend for single-case research: Tau-U. Behavior Therapy, 42(2), 284–299.</w:t>
      </w:r>
    </w:p>
    <w:p>
      <w:pPr>
        <w:spacing w:after="140"/>
        <w:jc w:val="left"/>
      </w:pPr>
      <w:r>
        <w:rPr>
          <w:b w:val="false"/>
          <w:bCs w:val="false"/>
          <w:i w:val="false"/>
          <w:iCs w:val="false"/>
        </w:rPr>
        <w:t xml:space="preserve">Sheppard, J. Z. (2021). EM-Theory as a Minimalist Program for Global Cognition: Autism as Case-Study. MSc thesis, University of Victoria. [Situating-bridge source; scaffold (L1–L2), not established fact; physics and cosmology apparatus excluded.]</w:t>
      </w:r>
    </w:p>
    <w:p>
      <w:pPr>
        <w:spacing w:after="140"/>
        <w:jc w:val="left"/>
      </w:pPr>
      <w:r>
        <w:rPr>
          <w:b w:val="false"/>
          <w:bCs w:val="false"/>
          <w:i w:val="false"/>
          <w:iCs w:val="false"/>
        </w:rPr>
        <w:t xml:space="preserve">Shiota, M. N., Keltner, D., &amp; John, O. P. (2006). Positive emotion dispositions differentially associated with Big Five personality and attachment style. The Journal of Positive Psychology, 1(2), 61–71. [DPES awe subscale — a primary instrument reference in this edition.]</w:t>
      </w:r>
    </w:p>
    <w:p>
      <w:pPr>
        <w:spacing w:after="140"/>
        <w:jc w:val="left"/>
      </w:pPr>
      <w:r>
        <w:rPr>
          <w:b w:val="false"/>
          <w:bCs w:val="false"/>
          <w:i w:val="false"/>
          <w:iCs w:val="false"/>
        </w:rPr>
        <w:t xml:space="preserve">Varela, F. J., Thompson, E., &amp; Rosch, E. (1991). The Embodied Mind: Cognitive Science and Human Experience. MIT Press.</w:t>
      </w:r>
    </w:p>
    <w:p>
      <w:pPr>
        <w:spacing w:after="140"/>
        <w:jc w:val="left"/>
      </w:pPr>
      <w:r>
        <w:rPr>
          <w:b w:val="false"/>
          <w:bCs w:val="false"/>
          <w:i w:val="false"/>
          <w:iCs w:val="false"/>
        </w:rPr>
        <w:t xml:space="preserve">Yaden, D. B., Kaufman, S. B., Hyde, E., Chirico, A., Gaggioli, A., Zhang, J. W., &amp; Keltner, D. (2019). The development of the Awe Experience Scale (AWE-S): A multifactorial measure for a complex emotion. The Journal of Positive Psychology, 14(4), 474–488. [A primary instrument reference in this edition.]</w:t>
      </w:r>
    </w:p>
    <w:p>
      <w:pPr>
        <w:spacing w:after="140"/>
        <w:jc w:val="left"/>
      </w:pPr>
      <w:r>
        <w:rPr>
          <w:b w:val="false"/>
          <w:bCs w:val="false"/>
          <w:i w:val="false"/>
          <w:iCs w:val="false"/>
        </w:rPr>
        <w:t xml:space="preserve">Zhang, Y., Cao, H., Li, X., &amp; Lv, Y. (2026). Six artificial intelligence innovation strategies applied to autism spectrum disorder research: A narrative review. Pediatric Investigation, 10(2), 182–198.</w:t>
      </w:r>
    </w:p>
    <w:p>
      <w:r>
        <w:t>Wonder-as-stabilizer literature (added 20 August 2026)</w:t>
      </w:r>
    </w:p>
    <w:p>
      <w:r>
        <w:t>Added per the Wonder-Stabilizer Redesign Memo (§5.3) to keep this reference list synchronized with the design decisions in §7.1, §11.1, §12.1, and §14 that now draw on it — the same synchronization discipline this Prospectus was itself created to enforce. Fully annotated in the companion document, Candidate Researchers: Cultivating Wonder as a Stabilizing and Choice-Restoring Resource, and its Annotated Bibliography.</w:t>
      </w:r>
    </w:p>
    <w:p>
      <w:r>
        <w:t>Anderson, C. L., Monroy, M., &amp; Keltner, D. (2018). Awe in nature heals: Evidence from military veterans, at-risk youth, and college students. Emotion, 18(8), 1195–1202.</w:t>
      </w:r>
    </w:p>
    <w:p>
      <w:r>
        <w:t>Cloitre, M., Cohen, L. R., &amp; Koenen, K. C. (2006). Treating survivors of childhood abuse: Psychotherapy for the interrupted life. Guilford Press.</w:t>
      </w:r>
    </w:p>
    <w:p>
      <w:r>
        <w:t>Cloitre, M., Stolbach, B. C., Herman, J. L., van der Kolk, B., Pynoos, R., Wang, J., &amp; Petkova, E. (2009). A developmental approach to complex PTSD: Childhood and adult cumulative trauma as predictors of symptom complexity. Journal of Traumatic Stress, 22(5), 399–408.</w:t>
      </w:r>
    </w:p>
    <w:p>
      <w:r>
        <w:t>Cooley, J. L., Sims, J. G., Mitchell, T. B., Sanchez, C. R., Ricker, B. T., &amp; Pollina, M. M. (2026). Peer victimization and bullying are potentially traumatic stressors among children. Journal of Clinical Child &amp; Adolescent Psychology.</w:t>
      </w:r>
    </w:p>
    <w:p>
      <w:r>
        <w:t>Gustafsson, K., &amp; Krickel-Choi, N. C. (2020). Returning to the roots of ontological security: Insights from the existentialist anxiety literature. European Journal of International Relations, 26(3), 875–895.</w:t>
      </w:r>
    </w:p>
    <w:p>
      <w:r>
        <w:t>Harris, R. (2019). ACT made simple: An easy-to-read primer on Acceptance and Commitment Therapy (2nd ed.). New Harbinger Publications.</w:t>
      </w:r>
    </w:p>
    <w:p>
      <w:r>
        <w:t>Hayes, S. C., Strosahl, K. D., &amp; Wilson, K. G. (2011). Acceptance and Commitment Therapy: The process and practice of mindful change (2nd ed.). Guilford Press.</w:t>
      </w:r>
    </w:p>
    <w:p>
      <w:r>
        <w:t>Koriat, A. (2000). The feeling of knowing: Some metatheoretical implications for consciousness and control. Consciousness and Cognition, 9(2), 149–171.</w:t>
      </w:r>
    </w:p>
    <w:p>
      <w:r>
        <w:t>Linehan, M. M. (1993). Cognitive-behavioral treatment of borderline personality disorder. Guilford Press.</w:t>
      </w:r>
    </w:p>
    <w:p>
      <w:r>
        <w:t>Marlatt, G. A., &amp; Gordon, J. R. (Eds.) (1985). Relapse prevention: Maintenance strategies in the treatment of addictive behaviors. Guilford Press.</w:t>
      </w:r>
    </w:p>
    <w:p>
      <w:r>
        <w:t>Metcalfe, J., &amp; Mischel, W. (1999). A hot/cool-system analysis of delay of gratification: Dynamics of willpower. Psychological Review, 106(1), 3–19.</w:t>
      </w:r>
    </w:p>
    <w:p>
      <w:r>
        <w:t>Monroy, M., &amp; Keltner, D. (2023). Awe as a pathway to mental and physical health. Perspectives on Psychological Science, 18(2), 309–320.</w:t>
      </w:r>
    </w:p>
    <w:p>
      <w:r>
        <w:t>Piff, P. K., Dietze, P., Feinberg, M., Stancato, D. M., &amp; Keltner, D. (2015). Awe, the small self, and prosocial behavior. Journal of Personality and Social Psychology, 108(6), 883–899.</w:t>
      </w:r>
    </w:p>
    <w:p>
      <w:r>
        <w:t>Stellar, J. E. (2021). Awe helps us remember why it is important to forget the self. Annals of the New York Academy of Sciences, 1501(1), 81–84.</w:t>
      </w:r>
    </w:p>
    <w:p>
      <w:r>
        <w:t>Stellar, J. E., John-Henderson, N., Anderson, C. L., Gordon, A. M., McNeil, G. D., &amp; Keltner, D. (2015). Positive affect and markers of inflammation: Discrete positive emotions predict lower levels of inflammatory cytokines. Emotion, 15(2), 129–133.</w:t>
      </w:r>
    </w:p>
    <w:p>
      <w:pPr>
        <w:spacing w:after="140"/>
        <w:jc w:val="left"/>
      </w:pPr>
      <w:r>
        <w:rPr>
          <w:b w:val="false"/>
          <w:bCs w:val="false"/>
          <w:i w:val="false"/>
          <w:iCs w:val="false"/>
        </w:rPr>
        <w:t xml:space="preserve">Internal HOMES artifacts (synchronized set): HOMES Master Project Architecture State v1.0 (20 August 2026), authoritative descriptive state of the system architecture; HOMES Canonical System Model v1.0 and its Registers Workbook (20 August 2026), the canonical component, information, and interface model beneath the Architecture State; HOMES Blueprint Registry — Awe &amp; Wonder Edition and its companion Template; HOMES Measurement Logbook — Awe &amp; Wonder Edition and the Measurement Protocol Appendix; HOMES Architecture v3.0 — Governance Edition (predecessor architecture document).</w:t>
      </w:r>
    </w:p>
    <w:p>
      <w:pPr>
        <w:spacing w:after="0"/>
        <w:jc w:val="left"/>
      </w:pPr>
      <w:r>
        <w:rPr>
          <w:b w:val="false"/>
          <w:bCs w:val="false"/>
          <w:i w:val="false"/>
          <w:iCs w:val="false"/>
        </w:rPr>
        <w:t xml:space="preserve">Retired: HOMES Research Prospectus v3.2 (Council-Reviewed Synthesis) and v4.0 (Synchronized Awe &amp; Wonder Edition) — both superseded in full by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HOMES Research Prospectus — v4.1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outlineLvl w:val="0"/>
    </w:pPr>
    <w:rPr>
      <w:rFonts w:ascii="Georgia" w:cs="Georgia" w:eastAsia="Georgia" w:hAnsi="Georgia"/>
      <w:b/>
      <w:bCs/>
      <w:color w:val="3A2E52"/>
      <w:sz w:val="28"/>
      <w:szCs w:val="28"/>
    </w:rPr>
  </w:style>
  <w:style w:type="paragraph" w:styleId="Heading2">
    <w:name w:val="Heading 2"/>
    <w:basedOn w:val="Normal"/>
    <w:next w:val="Normal"/>
    <w:qFormat/>
    <w:pPr>
      <w:spacing w:after="120" w:before="240"/>
      <w:outlineLvl w:val="1"/>
    </w:pPr>
    <w:rPr>
      <w:rFonts w:ascii="Georgia" w:cs="Georgia" w:eastAsia="Georgia" w:hAnsi="Georgia"/>
      <w:b/>
      <w:bCs/>
      <w:color w:val="5A4A7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2026-08-20T21:42:33.781Z</dcterms:created>
  <dcterms:modified xsi:type="dcterms:W3CDTF">2026-08-20T21:42:33.781Z</dcterms:modified>
</cp:coreProperties>
</file>

<file path=docProps/custom.xml><?xml version="1.0" encoding="utf-8"?>
<Properties xmlns="http://schemas.openxmlformats.org/officeDocument/2006/custom-properties" xmlns:vt="http://schemas.openxmlformats.org/officeDocument/2006/docPropsVTypes"/>
</file>