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500"/>
      </w:pPr>
    </w:p>
    <w:p xmlns:wp14="http://schemas.microsoft.com/office/word/2010/wordml" w14:paraId="5F483255" wp14:textId="77777777">
      <w:pPr>
        <w:spacing w:after="40"/>
        <w:jc w:val="center"/>
      </w:pPr>
      <w:r>
        <w:rPr>
          <w:b/>
          <w:bCs/>
          <w:color w:val="5B6670"/>
          <w:sz w:val="22"/>
          <w:szCs w:val="22"/>
        </w:rPr>
        <w:t xml:space="preserve">H.O.M.E.S. — RESEARCH SUPPORT</w:t>
      </w:r>
    </w:p>
    <w:p xmlns:wp14="http://schemas.microsoft.com/office/word/2010/wordml" w14:paraId="6C66E011" wp14:textId="77777777">
      <w:pPr>
        <w:spacing w:after="260"/>
        <w:jc w:val="center"/>
      </w:pPr>
      <w:r>
        <w:rPr>
          <w:color w:val="5B6670"/>
          <w:sz w:val="20"/>
          <w:szCs w:val="20"/>
        </w:rPr>
        <w:t>Annotated Bibliography</w:t>
      </w:r>
    </w:p>
    <w:p xmlns:wp14="http://schemas.microsoft.com/office/word/2010/wordml" w14:paraId="48C59973" wp14:textId="77777777">
      <w:pPr>
        <w:spacing w:after="120"/>
        <w:jc w:val="center"/>
      </w:pPr>
      <w:r>
        <w:rPr>
          <w:b/>
          <w:bCs/>
          <w:color w:val="1F3352"/>
          <w:sz w:val="36"/>
          <w:szCs w:val="36"/>
        </w:rPr>
        <w:t xml:space="preserve">CULTIVATING WONDER AS A</w:t>
      </w:r>
    </w:p>
    <w:p xmlns:wp14="http://schemas.microsoft.com/office/word/2010/wordml" w14:paraId="7E44911D" wp14:textId="77777777">
      <w:pPr>
        <w:spacing w:after="220"/>
        <w:jc w:val="center"/>
      </w:pPr>
      <w:r>
        <w:rPr>
          <w:b/>
          <w:bCs/>
          <w:color w:val="1F3352"/>
          <w:sz w:val="36"/>
          <w:szCs w:val="36"/>
        </w:rPr>
        <w:t xml:space="preserve">STABILIZING AND CHOICE-RESTORING RESOURCE</w:t>
      </w:r>
    </w:p>
    <w:p xmlns:wp14="http://schemas.microsoft.com/office/word/2010/wordml" w14:paraId="7CAF727C" wp14:textId="77777777">
      <w:pPr>
        <w:spacing w:after="40"/>
        <w:jc w:val="center"/>
      </w:pPr>
      <w:r>
        <w:rPr>
          <w:i/>
          <w:iCs/>
          <w:color w:val="5A4A72"/>
          <w:sz w:val="22"/>
          <w:szCs w:val="22"/>
        </w:rPr>
        <w:t xml:space="preserve">Awe, Wonder, and Felt Knowing as Tools for Emotion Regulation and Behavior Change</w:t>
      </w:r>
    </w:p>
    <w:p xmlns:wp14="http://schemas.microsoft.com/office/word/2010/wordml" w14:paraId="5BEB6295" wp14:textId="77777777">
      <w:pPr>
        <w:spacing w:after="40"/>
        <w:jc w:val="center"/>
      </w:pPr>
      <w:r>
        <w:rPr>
          <w:color w:val="2C6E6B"/>
          <w:sz w:val="18"/>
          <w:szCs w:val="18"/>
        </w:rPr>
        <w:t xml:space="preserve">General trauma and behavior-change research — not organized around autism</w:t>
      </w:r>
    </w:p>
    <w:p xmlns:wp14="http://schemas.microsoft.com/office/word/2010/wordml" w14:paraId="0A37501D" wp14:textId="77777777">
      <w:pPr>
        <w:spacing w:after="500"/>
      </w:pPr>
    </w:p>
    <w:p xmlns:wp14="http://schemas.microsoft.com/office/word/2010/wordml" w14:paraId="4173A0A7" wp14:textId="77777777">
      <w:pPr>
        <w:spacing w:after="40"/>
        <w:jc w:val="center"/>
      </w:pPr>
      <w:r>
        <w:rPr>
          <w:b/>
          <w:bCs/>
          <w:sz w:val="20"/>
          <w:szCs w:val="20"/>
        </w:rPr>
        <w:t xml:space="preserve">Prepared for: Dallas Knapp</w:t>
      </w:r>
    </w:p>
    <w:p xmlns:wp14="http://schemas.microsoft.com/office/word/2010/wordml" w14:paraId="0B45ED32" wp14:textId="77777777">
      <w:pPr>
        <w:spacing w:after="40"/>
        <w:jc w:val="center"/>
      </w:pPr>
      <w:r w:rsidRPr="4ADFB39F" w:rsidR="4ADFB39F">
        <w:rPr>
          <w:color w:val="5B6670"/>
          <w:sz w:val="18"/>
          <w:szCs w:val="18"/>
          <w:lang w:val="en-US"/>
        </w:rPr>
        <w:t>Research synthesis: Pip  ·  Search plan, frame-check, and source verification: Locus</w:t>
      </w:r>
    </w:p>
    <w:p xmlns:wp14="http://schemas.microsoft.com/office/word/2010/wordml" w14:paraId="3ADDE745" wp14:textId="77777777">
      <w:pPr>
        <w:spacing w:after="40"/>
        <w:jc w:val="center"/>
      </w:pPr>
      <w:r>
        <w:rPr>
          <w:color w:val="5B6670"/>
          <w:sz w:val="18"/>
          <w:szCs w:val="18"/>
        </w:rPr>
        <w:t xml:space="preserve">20 August 2026</w:t>
      </w:r>
    </w:p>
    <w:p xmlns:wp14="http://schemas.microsoft.com/office/word/2010/wordml" w14:paraId="422320A4" wp14:textId="77777777">
      <w:pPr>
        <w:spacing w:after="40"/>
        <w:jc w:val="center"/>
      </w:pPr>
      <w:r w:rsidRPr="4ADFB39F" w:rsidR="4ADFB39F">
        <w:rPr>
          <w:i w:val="1"/>
          <w:iCs w:val="1"/>
          <w:color w:val="5B6670"/>
          <w:sz w:val="18"/>
          <w:szCs w:val="18"/>
          <w:lang w:val="en-US"/>
        </w:rPr>
        <w:t>Status: Verified annotated bibliography for research context — compiled from peer-reviewed publication records</w:t>
      </w:r>
    </w:p>
    <w:p xmlns:wp14="http://schemas.microsoft.com/office/word/2010/wordml" w14:paraId="5DAB6C7B" wp14:textId="77777777">
      <w:r>
        <w:br w:type="page"/>
      </w:r>
    </w:p>
    <w:p xmlns:wp14="http://schemas.microsoft.com/office/word/2010/wordml" w14:paraId="22E0FC93" wp14:textId="77777777">
      <w:pPr>
        <w:pStyle w:val="Heading1"/>
      </w:pPr>
      <w:r>
        <w:t xml:space="preserve">Table of Contents</w:t>
      </w:r>
    </w:p>
    <w:sdt>
      <w:sdtPr>
        <w:id w:val="977179781"/>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02EB378F" wp14:textId="77777777">
          <w:r>
            <w:fldChar w:fldCharType="end"/>
          </w:r>
        </w:p>
      </w:sdtContent>
    </w:sdt>
    <w:p xmlns:wp14="http://schemas.microsoft.com/office/word/2010/wordml" w14:paraId="6A05A809" wp14:textId="77777777">
      <w:r>
        <w:br w:type="page"/>
      </w:r>
    </w:p>
    <w:p xmlns:wp14="http://schemas.microsoft.com/office/word/2010/wordml" w14:paraId="5B3A8451" wp14:textId="77777777">
      <w:pPr>
        <w:pStyle w:val="Heading1"/>
      </w:pPr>
      <w:r>
        <w:t xml:space="preserve">0. Framing and Search Plan</w:t>
      </w:r>
    </w:p>
    <w:p xmlns:wp14="http://schemas.microsoft.com/office/word/2010/wordml" w14:paraId="0378368A" wp14:textId="77777777">
      <w:pPr>
        <w:pStyle w:val="Heading2"/>
      </w:pPr>
      <w:r>
        <w:t>0.1 — What this bibliography covers</w:t>
      </w:r>
    </w:p>
    <w:p xmlns:wp14="http://schemas.microsoft.com/office/word/2010/wordml" w14:paraId="6171ADF1" wp14:textId="77777777">
      <w:pPr>
        <w:spacing w:after="160" w:line="276"/>
        <w:jc w:val="left"/>
      </w:pPr>
      <w:r>
        <w:t>This bibliography documents published work that bears directly on a specific mechanism: using felt states of awe, wonder, amazement, and felt knowing as a resource for emotional stabilization in overwhelming moments, so that behavior can be chosen deliberately rather than driven by impulse, in the service of resolving trauma-rooted maladaptive coping patterns and cultivating durable ontological security.</w:t>
      </w:r>
    </w:p>
    <w:p xmlns:wp14="http://schemas.microsoft.com/office/word/2010/wordml" w14:paraId="50EC056C" wp14:textId="77777777">
      <w:pPr>
        <w:spacing w:after="160" w:line="276"/>
        <w:jc w:val="left"/>
      </w:pPr>
      <w:r>
        <w:t>Consistent with the framing given for this search, trauma here is treated in general clinical terms — bullying and peer-victimization trauma, complex/developmental trauma, and the emotion-regulation and metacognitive literatures that address them — rather than through autism as an organizing lens. Where a cited work happens to also address autism, this is noted only as a fact about that work's scope, noted only as a fact about that work's scope, never as the reason for its inclusion.</w:t>
      </w:r>
    </w:p>
    <w:p xmlns:wp14="http://schemas.microsoft.com/office/word/2010/wordml" w14:paraId="591E4453" wp14:textId="77777777">
      <w:pPr>
        <w:pStyle w:val="Heading2"/>
      </w:pPr>
      <w:r>
        <w:t xml:space="preserve">0.2 — The Staged Search Plan (as executed)</w:t>
      </w:r>
    </w:p>
    <w:tbl>
      <w:tblPr>
        <w:tblW w:w="88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4560"/>
      </w:tblGrid>
      <w:tr xmlns:wp14="http://schemas.microsoft.com/office/word/2010/wordml" w:rsidTr="4ADFB39F" w14:paraId="2980AE28" wp14:textId="77777777">
        <w:trPr>
          <w:tblHeader/>
        </w:trPr>
        <w:tc>
          <w:tcPr>
            <w:tcW w:w="5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5AFC7B24" wp14:textId="77777777">
            <w:r>
              <w:rPr>
                <w:b/>
                <w:bCs/>
                <w:color w:val="FFFFFF"/>
                <w:sz w:val="18"/>
                <w:szCs w:val="18"/>
              </w:rPr>
              <w:t xml:space="preserve">#</w:t>
            </w:r>
          </w:p>
        </w:tc>
        <w:tc>
          <w:tcPr>
            <w:tcW w:w="38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92A275D" wp14:textId="77777777">
            <w:r>
              <w:rPr>
                <w:b/>
                <w:bCs/>
                <w:color w:val="FFFFFF"/>
                <w:sz w:val="18"/>
                <w:szCs w:val="18"/>
              </w:rPr>
              <w:t xml:space="preserve">Domain</w:t>
            </w:r>
          </w:p>
        </w:tc>
        <w:tc>
          <w:tcPr>
            <w:tcW w:w="45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D61A864" wp14:textId="77777777">
            <w:r>
              <w:rPr>
                <w:b/>
                <w:bCs/>
                <w:color w:val="FFFFFF"/>
                <w:sz w:val="18"/>
                <w:szCs w:val="18"/>
              </w:rPr>
              <w:t xml:space="preserve">Why it was staged</w:t>
            </w:r>
          </w:p>
        </w:tc>
      </w:tr>
      <w:tr xmlns:wp14="http://schemas.microsoft.com/office/word/2010/wordml" w:rsidTr="4ADFB39F" w14:paraId="66589067" wp14:textId="77777777">
        <w:tc>
          <w:tcPr>
            <w:tcW w:w="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49841BE" wp14:textId="77777777">
            <w:pPr>
              <w:spacing w:after="40" w:line="250"/>
            </w:pPr>
            <w:r>
              <w:rPr>
                <w:b w:val="false"/>
                <w:bCs w:val="false"/>
                <w:i w:val="false"/>
                <w:iCs w:val="false"/>
                <w:sz w:val="18"/>
                <w:szCs w:val="18"/>
              </w:rPr>
              <w:t xml:space="preserve">1</w:t>
            </w:r>
          </w:p>
        </w:tc>
        <w:tc>
          <w:tcPr>
            <w:tcW w:w="3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C062A36" wp14:textId="77777777">
            <w:pPr>
              <w:spacing w:after="40" w:line="250"/>
            </w:pPr>
            <w:r>
              <w:rPr>
                <w:b w:val="false"/>
                <w:bCs w:val="false"/>
                <w:i w:val="false"/>
                <w:iCs w:val="false"/>
                <w:sz w:val="18"/>
                <w:szCs w:val="18"/>
              </w:rPr>
              <w:t xml:space="preserve">Awe/wonder &amp; self-transcendent emotion regulation (broaden-and-build, “small self,” stress-buffering)</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F6CB60F" wp14:textId="77777777">
            <w:pPr>
              <w:spacing w:after="40" w:line="250"/>
            </w:pPr>
            <w:r>
              <w:rPr>
                <w:b w:val="false"/>
                <w:bCs w:val="false"/>
                <w:i w:val="false"/>
                <w:iCs w:val="false"/>
                <w:sz w:val="18"/>
                <w:szCs w:val="18"/>
              </w:rPr>
              <w:t xml:space="preserve">The core mechanism: how awe functionally reduces self-focused threat-monitoring and calms physiological stress markers</w:t>
            </w:r>
          </w:p>
        </w:tc>
      </w:tr>
      <w:tr xmlns:wp14="http://schemas.microsoft.com/office/word/2010/wordml" w:rsidTr="4ADFB39F" w14:paraId="1911FD6C" wp14:textId="77777777">
        <w:tc>
          <w:tcPr>
            <w:tcW w:w="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8F999B5" wp14:textId="77777777">
            <w:pPr>
              <w:spacing w:after="40" w:line="250"/>
            </w:pPr>
            <w:r>
              <w:rPr>
                <w:b w:val="false"/>
                <w:bCs w:val="false"/>
                <w:i w:val="false"/>
                <w:iCs w:val="false"/>
                <w:sz w:val="18"/>
                <w:szCs w:val="18"/>
              </w:rPr>
              <w:t xml:space="preserve">2</w:t>
            </w:r>
          </w:p>
        </w:tc>
        <w:tc>
          <w:tcPr>
            <w:tcW w:w="3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5C5C59C" wp14:textId="77777777">
            <w:pPr>
              <w:spacing w:after="40" w:line="250"/>
            </w:pPr>
            <w:r>
              <w:rPr>
                <w:b w:val="false"/>
                <w:bCs w:val="false"/>
                <w:i w:val="false"/>
                <w:iCs w:val="false"/>
                <w:sz w:val="18"/>
                <w:szCs w:val="18"/>
              </w:rPr>
              <w:t xml:space="preserve">Awe-based interventions for trauma/PTSD recovery</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295DBA1" wp14:textId="77777777">
            <w:pPr>
              <w:spacing w:after="40" w:line="250"/>
            </w:pPr>
            <w:r>
              <w:rPr>
                <w:b w:val="false"/>
                <w:bCs w:val="false"/>
                <w:i w:val="false"/>
                <w:iCs w:val="false"/>
                <w:sz w:val="18"/>
                <w:szCs w:val="18"/>
              </w:rPr>
              <w:t xml:space="preserve">Awe deliberately used as a clinical or field intervention for trauma symptoms specifically, with measured outcomes</w:t>
            </w:r>
          </w:p>
        </w:tc>
      </w:tr>
      <w:tr xmlns:wp14="http://schemas.microsoft.com/office/word/2010/wordml" w:rsidTr="4ADFB39F" w14:paraId="18ECFB8F" wp14:textId="77777777">
        <w:tc>
          <w:tcPr>
            <w:tcW w:w="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FCD5EC4" wp14:textId="77777777">
            <w:pPr>
              <w:spacing w:after="40" w:line="250"/>
            </w:pPr>
            <w:r>
              <w:rPr>
                <w:b w:val="false"/>
                <w:bCs w:val="false"/>
                <w:i w:val="false"/>
                <w:iCs w:val="false"/>
                <w:sz w:val="18"/>
                <w:szCs w:val="18"/>
              </w:rPr>
              <w:t xml:space="preserve">3</w:t>
            </w:r>
          </w:p>
        </w:tc>
        <w:tc>
          <w:tcPr>
            <w:tcW w:w="3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19DCFF4" wp14:textId="77777777">
            <w:pPr>
              <w:spacing w:after="40" w:line="250" w:lineRule="auto"/>
            </w:pPr>
            <w:r w:rsidRPr="4ADFB39F" w:rsidR="4ADFB39F">
              <w:rPr>
                <w:b w:val="0"/>
                <w:bCs w:val="0"/>
                <w:i w:val="0"/>
                <w:iCs w:val="0"/>
                <w:sz w:val="18"/>
                <w:szCs w:val="18"/>
                <w:lang w:val="en-US"/>
              </w:rPr>
              <w:t>Feeling-of-knowing &amp; metacognition (the Koriat tradition)</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B07C2D5" wp14:textId="77777777">
            <w:pPr>
              <w:spacing w:after="40" w:line="250"/>
            </w:pPr>
            <w:r>
              <w:rPr>
                <w:b w:val="false"/>
                <w:bCs w:val="false"/>
                <w:i w:val="false"/>
                <w:iCs w:val="false"/>
                <w:sz w:val="18"/>
                <w:szCs w:val="18"/>
              </w:rPr>
              <w:t xml:space="preserve">“Feeling of knowing” as a named cognitive-science construct distinct from active inference, and its documented role in mediating between automatic impulse and controlled action</w:t>
            </w:r>
          </w:p>
        </w:tc>
      </w:tr>
      <w:tr xmlns:wp14="http://schemas.microsoft.com/office/word/2010/wordml" w:rsidTr="4ADFB39F" w14:paraId="0C1F2BA2" wp14:textId="77777777">
        <w:tc>
          <w:tcPr>
            <w:tcW w:w="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598DEE6" wp14:textId="77777777">
            <w:pPr>
              <w:spacing w:after="40" w:line="250"/>
            </w:pPr>
            <w:r>
              <w:rPr>
                <w:b w:val="false"/>
                <w:bCs w:val="false"/>
                <w:i w:val="false"/>
                <w:iCs w:val="false"/>
                <w:sz w:val="18"/>
                <w:szCs w:val="18"/>
              </w:rPr>
              <w:t xml:space="preserve">4</w:t>
            </w:r>
          </w:p>
        </w:tc>
        <w:tc>
          <w:tcPr>
            <w:tcW w:w="3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586829" wp14:textId="77777777">
            <w:pPr>
              <w:spacing w:after="40" w:line="250"/>
            </w:pPr>
            <w:r>
              <w:rPr>
                <w:b w:val="false"/>
                <w:bCs w:val="false"/>
                <w:i w:val="false"/>
                <w:iCs w:val="false"/>
                <w:sz w:val="18"/>
                <w:szCs w:val="18"/>
              </w:rPr>
              <w:t xml:space="preserve">Return-to-choice under emotional impulse (urge surfing, DBT distress tolerance, ACT choice point)</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7DB5EC6" wp14:textId="77777777">
            <w:pPr>
              <w:spacing w:after="40" w:line="250"/>
            </w:pPr>
            <w:r>
              <w:rPr>
                <w:b w:val="false"/>
                <w:bCs w:val="false"/>
                <w:i w:val="false"/>
                <w:iCs w:val="false"/>
                <w:sz w:val="18"/>
                <w:szCs w:val="18"/>
              </w:rPr>
              <w:t xml:space="preserve">Directly matches returning to choosing behavior instead of caving to impulse</w:t>
            </w:r>
          </w:p>
        </w:tc>
      </w:tr>
      <w:tr xmlns:wp14="http://schemas.microsoft.com/office/word/2010/wordml" w:rsidTr="4ADFB39F" w14:paraId="796CBB11" wp14:textId="77777777">
        <w:tc>
          <w:tcPr>
            <w:tcW w:w="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8941E47" wp14:textId="77777777">
            <w:pPr>
              <w:spacing w:after="40" w:line="250"/>
            </w:pPr>
            <w:r>
              <w:rPr>
                <w:b w:val="false"/>
                <w:bCs w:val="false"/>
                <w:i w:val="false"/>
                <w:iCs w:val="false"/>
                <w:sz w:val="18"/>
                <w:szCs w:val="18"/>
              </w:rPr>
              <w:t xml:space="preserve">5</w:t>
            </w:r>
          </w:p>
        </w:tc>
        <w:tc>
          <w:tcPr>
            <w:tcW w:w="3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B903245" wp14:textId="77777777">
            <w:pPr>
              <w:spacing w:after="40" w:line="250"/>
            </w:pPr>
            <w:r>
              <w:rPr>
                <w:b w:val="false"/>
                <w:bCs w:val="false"/>
                <w:i w:val="false"/>
                <w:iCs w:val="false"/>
                <w:sz w:val="18"/>
                <w:szCs w:val="18"/>
              </w:rPr>
              <w:t xml:space="preserve">Ontological security — clinical/therapeutic extensions of Laing &amp; Giddens</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2ABEC50" wp14:textId="77777777">
            <w:pPr>
              <w:spacing w:after="40" w:line="250"/>
            </w:pPr>
            <w:r>
              <w:rPr>
                <w:b w:val="false"/>
                <w:bCs w:val="false"/>
                <w:i w:val="false"/>
                <w:iCs w:val="false"/>
                <w:sz w:val="18"/>
                <w:szCs w:val="18"/>
              </w:rPr>
              <w:t xml:space="preserve">Extending your own already-cited framework toward its therapeutic and existential-anxiety roots</w:t>
            </w:r>
          </w:p>
        </w:tc>
      </w:tr>
      <w:tr xmlns:wp14="http://schemas.microsoft.com/office/word/2010/wordml" w:rsidTr="4ADFB39F" w14:paraId="01AA7612" wp14:textId="77777777">
        <w:tc>
          <w:tcPr>
            <w:tcW w:w="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9B4EA11" wp14:textId="77777777">
            <w:pPr>
              <w:spacing w:after="40" w:line="250"/>
            </w:pPr>
            <w:r>
              <w:rPr>
                <w:b w:val="false"/>
                <w:bCs w:val="false"/>
                <w:i w:val="false"/>
                <w:iCs w:val="false"/>
                <w:sz w:val="18"/>
                <w:szCs w:val="18"/>
              </w:rPr>
              <w:t xml:space="preserve">6</w:t>
            </w:r>
          </w:p>
        </w:tc>
        <w:tc>
          <w:tcPr>
            <w:tcW w:w="3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74D84A7" wp14:textId="77777777">
            <w:pPr>
              <w:spacing w:after="40" w:line="250"/>
            </w:pPr>
            <w:r>
              <w:rPr>
                <w:b w:val="false"/>
                <w:bCs w:val="false"/>
                <w:i w:val="false"/>
                <w:iCs w:val="false"/>
                <w:sz w:val="18"/>
                <w:szCs w:val="18"/>
              </w:rPr>
              <w:t xml:space="preserve">Peer victimization / bullying trauma — general developmental-trauma sequelae</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9998D68" wp14:textId="77777777">
            <w:pPr>
              <w:spacing w:after="40" w:line="250" w:lineRule="auto"/>
            </w:pPr>
            <w:r w:rsidRPr="4ADFB39F" w:rsidR="4ADFB39F">
              <w:rPr>
                <w:b w:val="0"/>
                <w:bCs w:val="0"/>
                <w:i w:val="0"/>
                <w:iCs w:val="0"/>
                <w:sz w:val="18"/>
                <w:szCs w:val="18"/>
                <w:lang w:val="en-US"/>
              </w:rPr>
              <w:t>The named etiology, searched generally rather than through an autism lens</w:t>
            </w:r>
          </w:p>
        </w:tc>
      </w:tr>
      <w:tr xmlns:wp14="http://schemas.microsoft.com/office/word/2010/wordml" w:rsidTr="4ADFB39F" w14:paraId="294ABDCB" wp14:textId="77777777">
        <w:tc>
          <w:tcPr>
            <w:tcW w:w="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5697EEC" wp14:textId="77777777">
            <w:pPr>
              <w:spacing w:after="40" w:line="250"/>
            </w:pPr>
            <w:r>
              <w:rPr>
                <w:b w:val="false"/>
                <w:bCs w:val="false"/>
                <w:i w:val="false"/>
                <w:iCs w:val="false"/>
                <w:sz w:val="18"/>
                <w:szCs w:val="18"/>
              </w:rPr>
              <w:t xml:space="preserve">7</w:t>
            </w:r>
          </w:p>
        </w:tc>
        <w:tc>
          <w:tcPr>
            <w:tcW w:w="3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07482C3" wp14:textId="77777777">
            <w:pPr>
              <w:spacing w:after="40" w:line="250"/>
            </w:pPr>
            <w:r>
              <w:rPr>
                <w:b w:val="false"/>
                <w:bCs w:val="false"/>
                <w:i w:val="false"/>
                <w:iCs w:val="false"/>
                <w:sz w:val="18"/>
                <w:szCs w:val="18"/>
              </w:rPr>
              <w:t xml:space="preserve">Complex/developmental trauma and maladaptive coping mechanisms</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473A48B" wp14:textId="77777777">
            <w:pPr>
              <w:spacing w:after="40" w:line="250"/>
            </w:pPr>
            <w:r>
              <w:rPr>
                <w:b w:val="false"/>
                <w:bCs w:val="false"/>
                <w:i w:val="false"/>
                <w:iCs w:val="false"/>
                <w:sz w:val="18"/>
                <w:szCs w:val="18"/>
              </w:rPr>
              <w:t xml:space="preserve">The clinical category this history falls under</w:t>
            </w:r>
          </w:p>
        </w:tc>
      </w:tr>
    </w:tbl>
    <w:p xmlns:wp14="http://schemas.microsoft.com/office/word/2010/wordml" w14:paraId="5A39BBE3" wp14:textId="77777777">
      <w:pPr>
        <w:spacing w:after="120"/>
      </w:pPr>
    </w:p>
    <w:p xmlns:wp14="http://schemas.microsoft.com/office/word/2010/wordml" w14:paraId="5D8EA160" wp14:textId="77777777">
      <w:pPr>
        <w:spacing w:after="160" w:line="276" w:lineRule="auto"/>
        <w:jc w:val="left"/>
      </w:pPr>
      <w:r w:rsidRPr="4ADFB39F" w:rsidR="4ADFB39F">
        <w:rPr>
          <w:lang w:val="en-US"/>
        </w:rPr>
        <w:t>Eight initial searches were run across these domains, followed by six targeted follow-up searches to confirm affiliations, current status, and (in one case) date of death, before inclusion.</w:t>
      </w:r>
    </w:p>
    <w:p xmlns:wp14="http://schemas.microsoft.com/office/word/2010/wordml" w14:paraId="6101A326" wp14:textId="77777777">
      <w:pPr>
        <w:pStyle w:val="Heading2"/>
      </w:pPr>
      <w:r>
        <w:t xml:space="preserve">0.3 — Locus's Validation Note</w:t>
      </w:r>
    </w:p>
    <w:p xmlns:wp14="http://schemas.microsoft.com/office/word/2010/wordml" w14:paraId="7D396CB5" wp14:textId="77777777">
      <w:pPr>
        <w:pStyle w:val="ListParagraph"/>
        <w:numPr>
          <w:ilvl w:val="0"/>
          <w:numId w:val="2"/>
        </w:numPr>
        <w:spacing w:after="100" w:line="270"/>
      </w:pPr>
      <w:r>
        <w:t>Every entry below was verified against a Google Scholar profile, an institutional faculty page, or a peer-reviewed publication record with a listed affiliation.</w:t>
      </w:r>
    </w:p>
    <w:p xmlns:wp14="http://schemas.microsoft.com/office/word/2010/wordml" w14:paraId="25D13976" wp14:textId="77777777">
      <w:pPr>
        <w:pStyle w:val="ListParagraph"/>
        <w:numPr>
          <w:ilvl w:val="0"/>
          <w:numId w:val="2"/>
        </w:numPr>
        <w:spacing w:after="100" w:line="270"/>
      </w:pPr>
      <w:r>
        <w:t xml:space="preserve">Two figures are historical rather than contactable: G. Alan Marlatt (originator of urge surfing) died in 2011, and R. D. Laing (originator of ontological security, already a HOMES citation) died in 1989. Both are included for intellectual lineage, clearly marked, never as contacts.</w:t>
      </w:r>
    </w:p>
    <w:p xmlns:wp14="http://schemas.microsoft.com/office/word/2010/wordml" w14:paraId="25DA0EED" wp14:textId="77777777">
      <w:pPr>
        <w:pStyle w:val="ListParagraph"/>
        <w:numPr>
          <w:ilvl w:val="0"/>
          <w:numId w:val="2"/>
        </w:numPr>
        <w:spacing w:after="100" w:line="270" w:lineRule="auto"/>
        <w:rPr/>
      </w:pPr>
      <w:r w:rsidRPr="4ADFB39F" w:rsidR="4ADFB39F">
        <w:rPr>
          <w:lang w:val="en-US"/>
        </w:rPr>
        <w:t>Russ Harris, a widely used ACT trainer and author, holds a medical degree but no university faculty appointment; he is flagged as a clinical/training-industry figure rather than an academic one, consistent with how similar figures (e.g., Silvie Spreeuwenberg in the prior follow-up search) were handled.</w:t>
      </w:r>
    </w:p>
    <w:p xmlns:wp14="http://schemas.microsoft.com/office/word/2010/wordml" w14:paraId="23099CA4" wp14:textId="77777777">
      <w:pPr>
        <w:pStyle w:val="ListParagraph"/>
        <w:numPr>
          <w:ilvl w:val="0"/>
          <w:numId w:val="2"/>
        </w:numPr>
        <w:spacing w:after="100" w:line="270"/>
      </w:pPr>
      <w:r>
        <w:t xml:space="preserve">Where a researcher's work spans multiple conditions (e.g., Karl Gustafsson's ontological-security work spans international relations broadly, not clinical psychology specifically), this is noted so the fit to your specific use-case is clear rather than assumed.</w:t>
      </w:r>
    </w:p>
    <w:p xmlns:wp14="http://schemas.microsoft.com/office/word/2010/wordml" w14:paraId="4D1454A3" wp14:textId="77777777">
      <w:pPr>
        <w:pStyle w:val="ListParagraph"/>
        <w:numPr>
          <w:ilvl w:val="0"/>
          <w:numId w:val="2"/>
        </w:numPr>
        <w:spacing w:after="100" w:line="270"/>
      </w:pPr>
      <w:r>
        <w:t>Inclusion certifies that the publication record is real and topically relevant. Inclusion certifies scholarly relevance; it does not imply contact with, or endorsement by, any listed researcher.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ADFB39F" w14:paraId="20F2DBD9"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5D0A59D1" wp14:textId="77777777">
            <w:pPr>
              <w:spacing w:after="80"/>
            </w:pPr>
            <w:r>
              <w:rPr>
                <w:b/>
                <w:bCs/>
                <w:color w:val="5A4A72"/>
              </w:rPr>
              <w:t xml:space="preserve">Locus's verdict</w:t>
            </w:r>
          </w:p>
          <w:p w14:paraId="5B2D1FD9" wp14:textId="77777777">
            <w:pPr>
              <w:spacing w:after="0"/>
            </w:pPr>
            <w:r w:rsidRPr="4ADFB39F" w:rsidR="4ADFB39F">
              <w:rPr>
                <w:lang w:val="en-US"/>
              </w:rPr>
              <w:t>PASS for use as a candidate reference and outreach list. The search surfaced a genuinely well-formed, converging literature: awe's documented “small self” and physiological stress-reduction effects (Part I), direct awe-based PTSD interventions with measured symptom reduction (Part II), a metacognitive-feelings tradition that independently arrived at the same bridge between automatic and controlled behavior your own framing describes (Part III), a mature clinical toolkit for exactly the return-to-choice moment described (Part IV), and both the existential-anxiety roots and general clinical trauma literature underlying ontological security and its threats (Parts V–VII).</w:t>
            </w:r>
          </w:p>
        </w:tc>
      </w:tr>
    </w:tbl>
    <w:p xmlns:wp14="http://schemas.microsoft.com/office/word/2010/wordml" w14:paraId="41C8F396" wp14:textId="77777777">
      <w:r>
        <w:br w:type="page"/>
      </w:r>
    </w:p>
    <w:p xmlns:wp14="http://schemas.microsoft.com/office/word/2010/wordml" w14:paraId="6B1E9EFA" wp14:textId="77777777">
      <w:pPr>
        <w:pStyle w:val="Heading1"/>
      </w:pPr>
      <w:r>
        <w:t xml:space="preserve">Part I — Awe, Wonder &amp; Self-Transcendent Emotion Regulation</w:t>
      </w:r>
    </w:p>
    <w:p xmlns:wp14="http://schemas.microsoft.com/office/word/2010/wordml" w14:paraId="319501E9" wp14:textId="77777777">
      <w:pPr>
        <w:spacing w:after="160" w:line="276" w:lineRule="auto"/>
        <w:jc w:val="left"/>
      </w:pPr>
      <w:r w:rsidRPr="4ADFB39F" w:rsidR="4ADFB39F">
        <w:rPr>
          <w:lang w:val="en-US"/>
        </w:rPr>
        <w:t>These researchers document the core mechanism your framing depends on: that awe is not simply a pleasant feeling but a specific, physiologically measurable state that reduces self-focused threat-monitoring (the “small self” effect) and produces documented drops in inflammatory stress markers — giving a plausible bodily basis for using it deliberately as a stabilizer.</w:t>
      </w:r>
    </w:p>
    <w:p xmlns:wp14="http://schemas.microsoft.com/office/word/2010/wordml" w14:paraId="1BBA5652" wp14:textId="77777777">
      <w:pPr>
        <w:pStyle w:val="Heading3"/>
      </w:pPr>
      <w:r w:rsidRPr="4ADFB39F" w:rsidR="4ADFB39F">
        <w:rPr>
          <w:lang w:val="en-US"/>
        </w:rPr>
        <w:t>Dacher Keltner</w:t>
      </w:r>
    </w:p>
    <w:p xmlns:wp14="http://schemas.microsoft.com/office/word/2010/wordml" w14:paraId="5A75381A" wp14:textId="77777777">
      <w:pPr>
        <w:spacing w:after="160" w:line="276"/>
        <w:jc w:val="left"/>
      </w:pPr>
      <w:r>
        <w:rPr>
          <w:i/>
          <w:iCs/>
          <w:color w:val="5B6670"/>
        </w:rPr>
        <w:t xml:space="preserve">Professor of Psychology, University of California, Berkeley; Founding Director, Greater Good Science Center</w:t>
      </w:r>
    </w:p>
    <w:p xmlns:wp14="http://schemas.microsoft.com/office/word/2010/wordml" w14:paraId="2622210F" wp14:textId="77777777">
      <w:pPr>
        <w:spacing w:after="160" w:line="276" w:lineRule="auto"/>
        <w:jc w:val="left"/>
      </w:pPr>
      <w:r w:rsidRPr="4ADFB39F" w:rsidR="4ADFB39F">
        <w:rPr>
          <w:lang w:val="en-US"/>
        </w:rPr>
        <w:t>Keltner is the field's central figure and, together with Jonathan Haidt, originated the modern scientific study of awe (cited in the HOMES Research Prospectus). His more recent work with Maria Monroy proposes a five-process model — neurophysiological shifts, diminished self-focus, prosocial relationality, social integration, and heightened meaning — explaining how awe benefits mental and physical health, directly relevant to naming the mechanism deployed deliberately.</w:t>
      </w:r>
    </w:p>
    <w:p xmlns:wp14="http://schemas.microsoft.com/office/word/2010/wordml" w14:paraId="77B8BFF6" wp14:textId="77777777">
      <w:pPr>
        <w:spacing w:after="60"/>
      </w:pPr>
      <w:r>
        <w:rPr>
          <w:b/>
          <w:bCs/>
          <w:color w:val="2C6E6B"/>
        </w:rPr>
        <w:t xml:space="preserve">Mini-annotated bibliography:</w:t>
      </w:r>
    </w:p>
    <w:p xmlns:wp14="http://schemas.microsoft.com/office/word/2010/wordml" w14:paraId="4030F83E" wp14:textId="77777777">
      <w:pPr>
        <w:spacing w:after="40" w:line="260" w:lineRule="auto"/>
        <w:ind w:left="260"/>
      </w:pPr>
      <w:r w:rsidRPr="4ADFB39F" w:rsidR="4ADFB39F">
        <w:rPr>
          <w:lang w:val="en-US"/>
        </w:rPr>
        <w:t xml:space="preserve">• </w:t>
      </w:r>
      <w:r w:rsidRPr="4ADFB39F" w:rsidR="4ADFB39F">
        <w:rPr>
          <w:lang w:val="en-US"/>
        </w:rPr>
        <w:t>Monroy, M., &amp; Keltner, D. (2023). Awe as a Pathway to Mental and Physical Health. Perspectives on Psychological Science, 18(2), 309–320.</w:t>
      </w:r>
      <w:r w:rsidRPr="4ADFB39F" w:rsidR="4ADFB39F">
        <w:rPr>
          <w:lang w:val="en-US"/>
        </w:rPr>
        <w:t xml:space="preserve">  —  </w:t>
      </w:r>
      <w:r w:rsidRPr="4ADFB39F" w:rsidR="4ADFB39F">
        <w:rPr>
          <w:i w:val="1"/>
          <w:iCs w:val="1"/>
          <w:lang w:val="en-US"/>
        </w:rPr>
        <w:t>Proposes the five-process model linking awe to well-being; the clearest single account of ‘why awe works’ as a stabilizing state, spanning nature, spirituality, music, and psychedelics as elicitors.</w:t>
      </w:r>
    </w:p>
    <w:p xmlns:wp14="http://schemas.microsoft.com/office/word/2010/wordml" w14:paraId="4A3C0B57" wp14:textId="77777777">
      <w:pPr>
        <w:spacing w:after="40" w:line="260" w:lineRule="auto"/>
        <w:ind w:left="260"/>
      </w:pPr>
      <w:r w:rsidRPr="4ADFB39F" w:rsidR="4ADFB39F">
        <w:rPr>
          <w:lang w:val="en-US"/>
        </w:rPr>
        <w:t xml:space="preserve">• </w:t>
      </w:r>
      <w:r w:rsidRPr="4ADFB39F" w:rsidR="4ADFB39F">
        <w:rPr>
          <w:lang w:val="en-US"/>
        </w:rPr>
        <w:t>Piff, P. K., Dietze, P., Feinberg, M., Stancato, D. M., &amp; Keltner, D. (2015). Awe, the Small Self, and Prosocial Behavior. Journal of Personality and Social Psychology, 108(6), 883–899.</w:t>
      </w:r>
      <w:r w:rsidRPr="4ADFB39F" w:rsidR="4ADFB39F">
        <w:rPr>
          <w:lang w:val="en-US"/>
        </w:rPr>
        <w:t xml:space="preserve">  —  </w:t>
      </w:r>
      <w:r w:rsidRPr="4ADFB39F" w:rsidR="4ADFB39F">
        <w:rPr>
          <w:i w:val="1"/>
          <w:iCs w:val="1"/>
          <w:lang w:val="en-US"/>
        </w:rPr>
        <w:t>The foundational demonstration that awe specifically — not positive affect generally — diminishes self-focus (the ‘small self’) and that this diminishment, not mood alone, drives its downstream behavioral effects.</w:t>
      </w:r>
    </w:p>
    <w:p xmlns:wp14="http://schemas.microsoft.com/office/word/2010/wordml" w14:paraId="72A3D3EC" wp14:textId="77777777">
      <w:pPr>
        <w:spacing w:after="140"/>
      </w:pPr>
    </w:p>
    <w:p xmlns:wp14="http://schemas.microsoft.com/office/word/2010/wordml" w14:paraId="1C46B513" wp14:textId="77777777">
      <w:pPr>
        <w:pStyle w:val="Heading3"/>
      </w:pPr>
      <w:r>
        <w:t xml:space="preserve">Jennifer E. Stellar</w:t>
      </w:r>
    </w:p>
    <w:p xmlns:wp14="http://schemas.microsoft.com/office/word/2010/wordml" w14:paraId="53FE169B" wp14:textId="77777777">
      <w:pPr>
        <w:spacing w:after="160" w:line="276"/>
        <w:jc w:val="left"/>
      </w:pPr>
      <w:r>
        <w:rPr>
          <w:i/>
          <w:iCs/>
          <w:color w:val="5B6670"/>
        </w:rPr>
        <w:t xml:space="preserve">Associate Professor of Psychology, University of Toronto; Director, Health, Emotions, &amp; Altruism Laboratory (HEAL)</w:t>
      </w:r>
    </w:p>
    <w:p xmlns:wp14="http://schemas.microsoft.com/office/word/2010/wordml" w14:paraId="6647AC63" wp14:textId="77777777">
      <w:pPr>
        <w:spacing w:after="160" w:line="276" w:lineRule="auto"/>
        <w:jc w:val="left"/>
      </w:pPr>
      <w:r w:rsidRPr="4ADFB39F" w:rsidR="4ADFB39F">
        <w:rPr>
          <w:lang w:val="en-US"/>
        </w:rPr>
        <w:t>Stellar's lab studies the physiological correlates of self-transcendent emotions directly, including a widely cited finding that awe specifically predicts lower levels of inflammatory cytokines — giving the “awe calms the body” claim an actual biomarker rather than only a self-report basis. Her more recent theoretical work explicitly frames awe as something that “helps us remember why it is important to forget the self,” language that maps closely onto the description of awe as a way to step outside an overwhelming emotional impulse.</w:t>
      </w:r>
    </w:p>
    <w:p xmlns:wp14="http://schemas.microsoft.com/office/word/2010/wordml" w14:paraId="67DC78C1" wp14:textId="77777777">
      <w:pPr>
        <w:spacing w:after="60"/>
      </w:pPr>
      <w:r>
        <w:rPr>
          <w:b/>
          <w:bCs/>
          <w:color w:val="2C6E6B"/>
        </w:rPr>
        <w:t xml:space="preserve">Mini-annotated bibliography:</w:t>
      </w:r>
    </w:p>
    <w:p xmlns:wp14="http://schemas.microsoft.com/office/word/2010/wordml" w14:paraId="1BB6D09A" wp14:textId="77777777">
      <w:pPr>
        <w:spacing w:after="40" w:line="260" w:lineRule="auto"/>
        <w:ind w:left="260"/>
      </w:pPr>
      <w:r w:rsidRPr="4ADFB39F" w:rsidR="4ADFB39F">
        <w:rPr>
          <w:lang w:val="en-US"/>
        </w:rPr>
        <w:t xml:space="preserve">• </w:t>
      </w:r>
      <w:r w:rsidRPr="4ADFB39F" w:rsidR="4ADFB39F">
        <w:rPr>
          <w:lang w:val="en-US"/>
        </w:rPr>
        <w:t>Stellar, J. E., John-Henderson, N., Anderson, C. L., Gordon, A. M., McNeil, G. D., &amp; Keltner, D. (2015). Positive Affect and Markers of Inflammation: Discrete Positive Emotions Predict Lower Levels of Inflammatory Cytokines. Emotion, 15(2), 129–133.</w:t>
      </w:r>
      <w:r w:rsidRPr="4ADFB39F" w:rsidR="4ADFB39F">
        <w:rPr>
          <w:lang w:val="en-US"/>
        </w:rPr>
        <w:t xml:space="preserve">  —  </w:t>
      </w:r>
      <w:r w:rsidRPr="4ADFB39F" w:rsidR="4ADFB39F">
        <w:rPr>
          <w:i w:val="1"/>
          <w:iCs w:val="1"/>
          <w:lang w:val="en-US"/>
        </w:rPr>
        <w:t>Awe (along with a few other discrete positive emotions) independently predicted lower inflammatory cytokine levels — physiological evidence for awe's stress-buffering effect, distinct from general positive mood.</w:t>
      </w:r>
    </w:p>
    <w:p xmlns:wp14="http://schemas.microsoft.com/office/word/2010/wordml" w14:paraId="49252062" wp14:textId="77777777">
      <w:pPr>
        <w:spacing w:after="40" w:line="260" w:lineRule="auto"/>
        <w:ind w:left="260"/>
      </w:pPr>
      <w:r w:rsidRPr="4ADFB39F" w:rsidR="4ADFB39F">
        <w:rPr>
          <w:lang w:val="en-US"/>
        </w:rPr>
        <w:t xml:space="preserve">• </w:t>
      </w:r>
      <w:r w:rsidRPr="4ADFB39F" w:rsidR="4ADFB39F">
        <w:rPr>
          <w:lang w:val="en-US"/>
        </w:rPr>
        <w:t>Stellar, J. E. (2021). Awe Helps Us Remember Why It Is Important to Forget the Self. Annals of the New York Academy of Sciences, 1501(1), 81–84.</w:t>
      </w:r>
      <w:r w:rsidRPr="4ADFB39F" w:rsidR="4ADFB39F">
        <w:rPr>
          <w:lang w:val="en-US"/>
        </w:rPr>
        <w:t xml:space="preserve">  —  </w:t>
      </w:r>
      <w:r w:rsidRPr="4ADFB39F" w:rsidR="4ADFB39F">
        <w:rPr>
          <w:i w:val="1"/>
          <w:iCs w:val="1"/>
          <w:lang w:val="en-US"/>
        </w:rPr>
        <w:t>A concise theoretical piece arguing that the ego-diminishing quality of awe is itself the therapeutic mechanism, not a side effect — directly relevant to using awe deliberately to interrupt self-focused emotional flooding.</w:t>
      </w:r>
    </w:p>
    <w:p xmlns:wp14="http://schemas.microsoft.com/office/word/2010/wordml" w14:paraId="0D0B940D" wp14:textId="77777777">
      <w:pPr>
        <w:spacing w:after="140"/>
      </w:pPr>
    </w:p>
    <w:p xmlns:wp14="http://schemas.microsoft.com/office/word/2010/wordml" w14:paraId="31CA5EF5" wp14:textId="77777777">
      <w:pPr>
        <w:pStyle w:val="Heading3"/>
      </w:pPr>
      <w:r>
        <w:t xml:space="preserve">Paul K. Piff</w:t>
      </w:r>
    </w:p>
    <w:p xmlns:wp14="http://schemas.microsoft.com/office/word/2010/wordml" w14:paraId="2FC72C55" wp14:textId="77777777">
      <w:pPr>
        <w:spacing w:after="160" w:line="276"/>
        <w:jc w:val="left"/>
      </w:pPr>
      <w:r>
        <w:rPr>
          <w:i/>
          <w:iCs/>
          <w:color w:val="5B6670"/>
        </w:rPr>
        <w:t xml:space="preserve">Associate Professor, Department of Psychological Science, University of California, Irvine</w:t>
      </w:r>
    </w:p>
    <w:p xmlns:wp14="http://schemas.microsoft.com/office/word/2010/wordml" w14:paraId="2AD4F536" wp14:textId="77777777">
      <w:pPr>
        <w:spacing w:after="160" w:line="276"/>
        <w:jc w:val="left"/>
      </w:pPr>
      <w:r>
        <w:t xml:space="preserve">Piff is the lead author of the field's most cited demonstration that awe reliably produces the “small self” effect across five separate studies and induction methods (nature, memory, virtual reality, and an in-person grove-of-trees paradigm), and that this effect — not general positive mood — explains awe's downstream behavioral changes.</w:t>
      </w:r>
    </w:p>
    <w:p xmlns:wp14="http://schemas.microsoft.com/office/word/2010/wordml" w14:paraId="6003B98B" wp14:textId="77777777">
      <w:pPr>
        <w:spacing w:after="60"/>
      </w:pPr>
      <w:r>
        <w:rPr>
          <w:b/>
          <w:bCs/>
          <w:color w:val="2C6E6B"/>
        </w:rPr>
        <w:t xml:space="preserve">Mini-annotated bibliography:</w:t>
      </w:r>
    </w:p>
    <w:p xmlns:wp14="http://schemas.microsoft.com/office/word/2010/wordml" w14:paraId="74CB9C9C" wp14:textId="77777777">
      <w:pPr>
        <w:spacing w:after="40" w:line="260" w:lineRule="auto"/>
        <w:ind w:left="260"/>
      </w:pPr>
      <w:r w:rsidRPr="4ADFB39F" w:rsidR="4ADFB39F">
        <w:rPr>
          <w:lang w:val="en-US"/>
        </w:rPr>
        <w:t xml:space="preserve">• </w:t>
      </w:r>
      <w:r w:rsidRPr="4ADFB39F" w:rsidR="4ADFB39F">
        <w:rPr>
          <w:lang w:val="en-US"/>
        </w:rPr>
        <w:t>Piff, P. K., Dietze, P., Feinberg, M., Stancato, D. M., &amp; Keltner, D. (2015). Awe, the Small Self, and Prosocial Behavior. Journal of Personality and Social Psychology, 108(6), 883–899.</w:t>
      </w:r>
      <w:r w:rsidRPr="4ADFB39F" w:rsidR="4ADFB39F">
        <w:rPr>
          <w:lang w:val="en-US"/>
        </w:rPr>
        <w:t xml:space="preserve">  —  </w:t>
      </w:r>
      <w:r w:rsidRPr="4ADFB39F" w:rsidR="4ADFB39F">
        <w:rPr>
          <w:i w:val="1"/>
          <w:iCs w:val="1"/>
          <w:lang w:val="en-US"/>
        </w:rPr>
        <w:t>(Cross-referenced from the Keltner entry above.) Five studies, N = 2,078, converging on awe's specific self-diminishing and behavior-changing effect across multiple induction methods.</w:t>
      </w:r>
    </w:p>
    <w:p xmlns:wp14="http://schemas.microsoft.com/office/word/2010/wordml" w14:paraId="0E27B00A" wp14:textId="77777777">
      <w:pPr>
        <w:spacing w:after="140"/>
      </w:pPr>
    </w:p>
    <w:p xmlns:wp14="http://schemas.microsoft.com/office/word/2010/wordml" w14:paraId="60061E4C" wp14:textId="77777777">
      <w:r>
        <w:br w:type="page"/>
      </w:r>
    </w:p>
    <w:p xmlns:wp14="http://schemas.microsoft.com/office/word/2010/wordml" w14:paraId="038F15B5" wp14:textId="77777777">
      <w:pPr>
        <w:pStyle w:val="Heading1"/>
      </w:pPr>
      <w:r>
        <w:t xml:space="preserve">Part II — Awe-Based Interventions for Trauma/PTSD Recovery</w:t>
      </w:r>
    </w:p>
    <w:p xmlns:wp14="http://schemas.microsoft.com/office/word/2010/wordml" w14:paraId="235B6999" wp14:textId="77777777">
      <w:pPr>
        <w:spacing w:after="160" w:line="276"/>
        <w:jc w:val="left"/>
      </w:pPr>
      <w:r>
        <w:t xml:space="preserve">This is the most directly on-point domain in the entire search: a controlled study using awe deliberately, as the active ingredient, to reduce measured PTSD symptoms in trauma survivors — not as a byproduct of “being outdoors” but as the specific mechanism the researchers isolated and tested for.</w:t>
      </w:r>
    </w:p>
    <w:p xmlns:wp14="http://schemas.microsoft.com/office/word/2010/wordml" w14:paraId="623C04EE" wp14:textId="77777777">
      <w:pPr>
        <w:pStyle w:val="Heading3"/>
      </w:pPr>
      <w:r>
        <w:t xml:space="preserve">Craig L. Anderson</w:t>
      </w:r>
    </w:p>
    <w:p xmlns:wp14="http://schemas.microsoft.com/office/word/2010/wordml" w14:paraId="448C0212" wp14:textId="77777777">
      <w:pPr>
        <w:spacing w:after="160" w:line="276"/>
        <w:jc w:val="left"/>
      </w:pPr>
      <w:r>
        <w:rPr>
          <w:i/>
          <w:iCs/>
          <w:color w:val="5B6670"/>
        </w:rPr>
        <w:t xml:space="preserve">Postdoctoral researcher at the time of this study, University of California, Berkeley and University of California, San Francisco</w:t>
      </w:r>
    </w:p>
    <w:p xmlns:wp14="http://schemas.microsoft.com/office/word/2010/wordml" w14:paraId="4763BA0F" wp14:textId="77777777">
      <w:pPr>
        <w:spacing w:after="160" w:line="276" w:lineRule="auto"/>
        <w:jc w:val="left"/>
      </w:pPr>
      <w:r w:rsidRPr="4ADFB39F" w:rsidR="4ADFB39F">
        <w:rPr>
          <w:lang w:val="en-US"/>
        </w:rPr>
        <w:t>Anderson led a study placing 72 military veterans and 52 at-risk youth on white-water rafting trips, measuring six discrete positive emotions during the trips and PTSD/stress symptoms one week later. Awe — and only awe, controlling for joy, pride, amusement, contentment, and gratitude — predicted the improvements. Veterans showed a 29% average reduction in PTSD symptoms one week after the trip. This is, to date, the strongest controlled evidence that awe can function as a clinical intervention for trauma-related conditions, not merely correlate with well-being.</w:t>
      </w:r>
    </w:p>
    <w:p xmlns:wp14="http://schemas.microsoft.com/office/word/2010/wordml" w14:paraId="3B6C80F3" wp14:textId="77777777">
      <w:pPr>
        <w:spacing w:after="60"/>
      </w:pPr>
      <w:r>
        <w:rPr>
          <w:b/>
          <w:bCs/>
          <w:color w:val="2C6E6B"/>
        </w:rPr>
        <w:t xml:space="preserve">Mini-annotated bibliography:</w:t>
      </w:r>
    </w:p>
    <w:p xmlns:wp14="http://schemas.microsoft.com/office/word/2010/wordml" w14:paraId="1CCD76D3" wp14:textId="77777777">
      <w:pPr>
        <w:spacing w:after="40" w:line="260" w:lineRule="auto"/>
        <w:ind w:left="260"/>
      </w:pPr>
      <w:r w:rsidRPr="4ADFB39F" w:rsidR="4ADFB39F">
        <w:rPr>
          <w:lang w:val="en-US"/>
        </w:rPr>
        <w:t xml:space="preserve">• </w:t>
      </w:r>
      <w:r w:rsidRPr="4ADFB39F" w:rsidR="4ADFB39F">
        <w:rPr>
          <w:lang w:val="en-US"/>
        </w:rPr>
        <w:t>Anderson, C. L., Monroy, M., &amp; Keltner, D. (2018). Awe in Nature Heals: Evidence From Military Veterans, At-Risk Youth, and College Students. Emotion, 18(8), 1195–1202.</w:t>
      </w:r>
      <w:r w:rsidRPr="4ADFB39F" w:rsidR="4ADFB39F">
        <w:rPr>
          <w:lang w:val="en-US"/>
        </w:rPr>
        <w:t xml:space="preserve">  —  </w:t>
      </w:r>
      <w:r w:rsidRPr="4ADFB39F" w:rsidR="4ADFB39F">
        <w:rPr>
          <w:i w:val="1"/>
          <w:iCs w:val="1"/>
          <w:lang w:val="en-US"/>
        </w:rPr>
        <w:t>The core study: awe, isolated from other positive emotions, was the specific predictor of reduced PTSD symptoms, stress, and improved social functioning one week after a nature-based awe induction.</w:t>
      </w:r>
    </w:p>
    <w:p xmlns:wp14="http://schemas.microsoft.com/office/word/2010/wordml" w14:paraId="44EAFD9C" wp14:textId="77777777">
      <w:pPr>
        <w:spacing w:after="140"/>
      </w:pPr>
    </w:p>
    <w:p xmlns:wp14="http://schemas.microsoft.com/office/word/2010/wordml" w14:paraId="26FE9351" wp14:textId="77777777">
      <w:pPr>
        <w:pStyle w:val="Heading3"/>
      </w:pPr>
      <w:r>
        <w:t xml:space="preserve">Maria Monroy</w:t>
      </w:r>
    </w:p>
    <w:p xmlns:wp14="http://schemas.microsoft.com/office/word/2010/wordml" w14:paraId="16EE8FB2" wp14:textId="77777777">
      <w:pPr>
        <w:spacing w:after="160" w:line="276"/>
        <w:jc w:val="left"/>
      </w:pPr>
      <w:r>
        <w:rPr>
          <w:i/>
          <w:iCs/>
          <w:color w:val="5B6670"/>
        </w:rPr>
        <w:t xml:space="preserve">Doctoral researcher at the time of this study, Department of Psychology, University of California, Berkeley (co-author with Keltner on the five-process awe-and-health model, Part I above)</w:t>
      </w:r>
    </w:p>
    <w:p xmlns:wp14="http://schemas.microsoft.com/office/word/2010/wordml" w14:paraId="3C4A3C97" wp14:textId="77777777">
      <w:pPr>
        <w:spacing w:after="160" w:line="276" w:lineRule="auto"/>
        <w:jc w:val="left"/>
      </w:pPr>
      <w:r w:rsidRPr="4ADFB39F" w:rsidR="4ADFB39F">
        <w:rPr>
          <w:lang w:val="en-US"/>
        </w:rPr>
        <w:t>Monroy co-authored the rafting-trip PTSD study above and later co-authored, with Keltner, the broader theoretical account of why awe benefits mental and physical health (Part I). Her work bridges the applied trauma-intervention finding and the underlying mechanism account, making her a useful single point of contact for both the ‘does it work’ and ‘why does it work’ questions.</w:t>
      </w:r>
    </w:p>
    <w:p xmlns:wp14="http://schemas.microsoft.com/office/word/2010/wordml" w14:paraId="382B8630" wp14:textId="77777777">
      <w:pPr>
        <w:spacing w:after="60"/>
      </w:pPr>
      <w:r>
        <w:rPr>
          <w:b/>
          <w:bCs/>
          <w:color w:val="2C6E6B"/>
        </w:rPr>
        <w:t xml:space="preserve">Mini-annotated bibliography:</w:t>
      </w:r>
    </w:p>
    <w:p xmlns:wp14="http://schemas.microsoft.com/office/word/2010/wordml" w14:paraId="259A133F" wp14:textId="77777777">
      <w:pPr>
        <w:spacing w:after="40" w:line="260" w:lineRule="auto"/>
        <w:ind w:left="260"/>
      </w:pPr>
      <w:r w:rsidRPr="4ADFB39F" w:rsidR="4ADFB39F">
        <w:rPr>
          <w:lang w:val="en-US"/>
        </w:rPr>
        <w:t xml:space="preserve">• </w:t>
      </w:r>
      <w:r w:rsidRPr="4ADFB39F" w:rsidR="4ADFB39F">
        <w:rPr>
          <w:lang w:val="en-US"/>
        </w:rPr>
        <w:t>Anderson, C. L., Monroy, M., &amp; Keltner, D. (2018). Awe in Nature Heals. Emotion, 18(8), 1195–1202.</w:t>
      </w:r>
      <w:r w:rsidRPr="4ADFB39F" w:rsidR="4ADFB39F">
        <w:rPr>
          <w:lang w:val="en-US"/>
        </w:rPr>
        <w:t xml:space="preserve">  —  </w:t>
      </w:r>
      <w:r w:rsidRPr="4ADFB39F" w:rsidR="4ADFB39F">
        <w:rPr>
          <w:i w:val="1"/>
          <w:iCs w:val="1"/>
          <w:lang w:val="en-US"/>
        </w:rPr>
        <w:t>(Cross-referenced from the Anderson entry above.)</w:t>
      </w:r>
    </w:p>
    <w:p xmlns:wp14="http://schemas.microsoft.com/office/word/2010/wordml" w14:paraId="352F8D61" wp14:textId="77777777">
      <w:pPr>
        <w:spacing w:after="40" w:line="260" w:lineRule="auto"/>
        <w:ind w:left="260"/>
      </w:pPr>
      <w:r w:rsidRPr="4ADFB39F" w:rsidR="4ADFB39F">
        <w:rPr>
          <w:lang w:val="en-US"/>
        </w:rPr>
        <w:t xml:space="preserve">• </w:t>
      </w:r>
      <w:r w:rsidRPr="4ADFB39F" w:rsidR="4ADFB39F">
        <w:rPr>
          <w:lang w:val="en-US"/>
        </w:rPr>
        <w:t>Monroy, M., &amp; Keltner, D. (2023). Awe as a Pathway to Mental and Physical Health. Perspectives on Psychological Science, 18(2), 309–320.</w:t>
      </w:r>
      <w:r w:rsidRPr="4ADFB39F" w:rsidR="4ADFB39F">
        <w:rPr>
          <w:lang w:val="en-US"/>
        </w:rPr>
        <w:t xml:space="preserve">  —  </w:t>
      </w:r>
      <w:r w:rsidRPr="4ADFB39F" w:rsidR="4ADFB39F">
        <w:rPr>
          <w:i w:val="1"/>
          <w:iCs w:val="1"/>
          <w:lang w:val="en-US"/>
        </w:rPr>
        <w:t>(Cross-referenced from the Keltner entry, Part I.) Connects the applied PTSD finding to the five-process mechanism account.</w:t>
      </w:r>
    </w:p>
    <w:p xmlns:wp14="http://schemas.microsoft.com/office/word/2010/wordml" w14:paraId="4B94D5A5" wp14:textId="77777777">
      <w:pPr>
        <w:spacing w:after="14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ADFB39F" w14:paraId="373C0BA2"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6B102F3B" wp14:textId="77777777">
            <w:pPr>
              <w:spacing w:after="80"/>
            </w:pPr>
            <w:r>
              <w:rPr>
                <w:b/>
                <w:bCs/>
                <w:color w:val="5A4A72"/>
              </w:rPr>
              <w:t xml:space="preserve">A note on relevance</w:t>
            </w:r>
          </w:p>
          <w:p w14:paraId="6575AA1A" wp14:textId="77777777">
            <w:pPr>
              <w:spacing w:after="0"/>
            </w:pPr>
            <w:r w:rsidRPr="4ADFB39F" w:rsidR="4ADFB39F">
              <w:rPr>
                <w:lang w:val="en-US"/>
              </w:rPr>
              <w:t>This study did not use awe as a general wellness practice — it used it as the isolated, measured active ingredient in a trauma-recovery intervention, with a comparison against five other positive emotions built into the design. That specificity is exactly what would be needed to responsibly build a HOMES practice (e.g., the sun-room orientation ritual, or a future dedicated awe-invitation Blueprint) that claims to do more than simply feel nice — it is claiming to interrupt a trauma-linked stress response.</w:t>
            </w:r>
          </w:p>
        </w:tc>
      </w:tr>
    </w:tbl>
    <w:p xmlns:wp14="http://schemas.microsoft.com/office/word/2010/wordml" w14:paraId="3DEEC669" wp14:textId="77777777">
      <w:r>
        <w:br w:type="page"/>
      </w:r>
    </w:p>
    <w:p xmlns:wp14="http://schemas.microsoft.com/office/word/2010/wordml" w14:paraId="43ECDA2E" wp14:textId="77777777">
      <w:pPr>
        <w:pStyle w:val="Heading1"/>
      </w:pPr>
      <w:r>
        <w:t xml:space="preserve">Part III — Feeling of Knowing &amp; Metacognition</w:t>
      </w:r>
    </w:p>
    <w:p xmlns:wp14="http://schemas.microsoft.com/office/word/2010/wordml" w14:paraId="4A105058" wp14:textId="77777777">
      <w:pPr>
        <w:spacing w:after="160" w:line="276"/>
        <w:jc w:val="left"/>
      </w:pPr>
      <w:r>
        <w:t>“Feeling of knowing” is a specific, named construct in cognitive psychology, distinct from the active-inference framing already built into the HOMES situating bridge. This tradition independently arrived at a claim that maps with striking precision onto the target mechanism: that a noetic feeling sits at the exact junction between automatic, implicit processes and deliberate, controlled action, and can itself function as the trigger that shifts a person from one mode to the other.</w:t>
      </w:r>
    </w:p>
    <w:p xmlns:wp14="http://schemas.microsoft.com/office/word/2010/wordml" w14:paraId="4B3A52ED" wp14:textId="77777777">
      <w:pPr>
        <w:pStyle w:val="Heading3"/>
      </w:pPr>
      <w:r w:rsidRPr="4ADFB39F" w:rsidR="4ADFB39F">
        <w:rPr>
          <w:lang w:val="en-US"/>
        </w:rPr>
        <w:t>Asher Koriat</w:t>
      </w:r>
    </w:p>
    <w:p xmlns:wp14="http://schemas.microsoft.com/office/word/2010/wordml" w14:paraId="34D76268" wp14:textId="77777777">
      <w:pPr>
        <w:spacing w:after="160" w:line="276"/>
        <w:jc w:val="left"/>
      </w:pPr>
      <w:r>
        <w:rPr>
          <w:i/>
          <w:iCs/>
          <w:color w:val="5B6670"/>
        </w:rPr>
        <w:t xml:space="preserve">Professor of Psychology, University of Haifa</w:t>
      </w:r>
    </w:p>
    <w:p xmlns:wp14="http://schemas.microsoft.com/office/word/2010/wordml" w14:paraId="790C53F4" wp14:textId="77777777">
      <w:pPr>
        <w:spacing w:after="160" w:line="276" w:lineRule="auto"/>
        <w:jc w:val="left"/>
      </w:pPr>
      <w:r w:rsidRPr="4ADFB39F" w:rsidR="4ADFB39F">
        <w:rPr>
          <w:lang w:val="en-US"/>
        </w:rPr>
        <w:t>Koriat is the field's foundational theorist of the feeling of knowing (FOK). His central claim is that noetic feelings — the sheer phenomenological sense of knowing, independent of whether the knowledge can actually be retrieved — are not direct readouts of memory but inferential heuristics that, once they rise to conscious awareness, are themselves capable of shifting behavior from implicit-automatic to explicit-controlled processing. This is close to a formal cognitive-science account of exactly the shift you described: a felt state (there, wonder or felt-knowing; here, FOK) acting as the hinge between an automatic reaction and a chosen response.</w:t>
      </w:r>
    </w:p>
    <w:p xmlns:wp14="http://schemas.microsoft.com/office/word/2010/wordml" w14:paraId="63273278" wp14:textId="77777777">
      <w:pPr>
        <w:spacing w:after="60"/>
      </w:pPr>
      <w:r>
        <w:rPr>
          <w:b/>
          <w:bCs/>
          <w:color w:val="2C6E6B"/>
        </w:rPr>
        <w:t xml:space="preserve">Mini-annotated bibliography:</w:t>
      </w:r>
    </w:p>
    <w:p xmlns:wp14="http://schemas.microsoft.com/office/word/2010/wordml" w14:paraId="079EE568" wp14:textId="77777777">
      <w:pPr>
        <w:spacing w:after="40" w:line="260" w:lineRule="auto"/>
        <w:ind w:left="260"/>
      </w:pPr>
      <w:r w:rsidRPr="4ADFB39F" w:rsidR="4ADFB39F">
        <w:rPr>
          <w:lang w:val="en-US"/>
        </w:rPr>
        <w:t xml:space="preserve">• </w:t>
      </w:r>
      <w:r w:rsidRPr="4ADFB39F" w:rsidR="4ADFB39F">
        <w:rPr>
          <w:lang w:val="en-US"/>
        </w:rPr>
        <w:t>Koriat, A. (2000). The Feeling of Knowing: Some Metatheoretical Implications for Consciousness and Control. Consciousness and Cognition, 9(2), 149–171.</w:t>
      </w:r>
      <w:r w:rsidRPr="4ADFB39F" w:rsidR="4ADFB39F">
        <w:rPr>
          <w:lang w:val="en-US"/>
        </w:rPr>
        <w:t xml:space="preserve">  —  </w:t>
      </w:r>
      <w:r w:rsidRPr="4ADFB39F" w:rsidR="4ADFB39F">
        <w:rPr>
          <w:i w:val="1"/>
          <w:iCs w:val="1"/>
          <w:lang w:val="en-US"/>
        </w:rPr>
        <w:t>The core theoretical paper: noetic feelings mediate between implicit-automatic and explicit-controlled processing, and once conscious, can themselves affect controlled action — a formal account of feeling-as-hinge between impulse and choice.</w:t>
      </w:r>
    </w:p>
    <w:p xmlns:wp14="http://schemas.microsoft.com/office/word/2010/wordml" w14:paraId="12CFE749" wp14:textId="77777777">
      <w:pPr>
        <w:spacing w:after="40" w:line="260" w:lineRule="auto"/>
        <w:ind w:left="260"/>
      </w:pPr>
      <w:r w:rsidRPr="4ADFB39F" w:rsidR="4ADFB39F">
        <w:rPr>
          <w:lang w:val="en-US"/>
        </w:rPr>
        <w:t xml:space="preserve">• </w:t>
      </w:r>
      <w:r w:rsidRPr="4ADFB39F" w:rsidR="4ADFB39F">
        <w:rPr>
          <w:lang w:val="en-US"/>
        </w:rPr>
        <w:t>Koriat, A. (2005). Knowing and the Feeling of Knowing. (CAS Fellow lecture text, University of Haifa.)</w:t>
      </w:r>
      <w:r w:rsidRPr="4ADFB39F" w:rsidR="4ADFB39F">
        <w:rPr>
          <w:lang w:val="en-US"/>
        </w:rPr>
        <w:t xml:space="preserve">  —  </w:t>
      </w:r>
      <w:r w:rsidRPr="4ADFB39F" w:rsidR="4ADFB39F">
        <w:rPr>
          <w:i w:val="1"/>
          <w:iCs w:val="1"/>
          <w:lang w:val="en-US"/>
        </w:rPr>
        <w:t>An accessible, first-person account of the FOK research program, including the classic tip-of-the-tongue phenomenon as the clearest everyday example of ‘knowing about the unknown.’</w:t>
      </w:r>
    </w:p>
    <w:p xmlns:wp14="http://schemas.microsoft.com/office/word/2010/wordml" w14:paraId="3656B9AB" wp14:textId="77777777">
      <w:pPr>
        <w:spacing w:after="140"/>
      </w:pPr>
    </w:p>
    <w:p xmlns:wp14="http://schemas.microsoft.com/office/word/2010/wordml" w14:paraId="31126540" wp14:textId="77777777">
      <w:pPr>
        <w:pStyle w:val="Heading3"/>
      </w:pPr>
      <w:r>
        <w:t xml:space="preserve">Janet Metcalfe</w:t>
      </w:r>
    </w:p>
    <w:p xmlns:wp14="http://schemas.microsoft.com/office/word/2010/wordml" w14:paraId="26B8EE7B" wp14:textId="77777777">
      <w:pPr>
        <w:spacing w:after="160" w:line="276"/>
        <w:jc w:val="left"/>
      </w:pPr>
      <w:r>
        <w:rPr>
          <w:i/>
          <w:iCs/>
          <w:color w:val="5B6670"/>
        </w:rPr>
        <w:t xml:space="preserve">Professor of Psychology, Columbia University; Director, Metacognition and Memory Laboratory</w:t>
      </w:r>
    </w:p>
    <w:p xmlns:wp14="http://schemas.microsoft.com/office/word/2010/wordml" w14:paraId="585A2EC3" wp14:textId="77777777">
      <w:pPr>
        <w:spacing w:after="160" w:line="276" w:lineRule="auto"/>
        <w:jc w:val="left"/>
      </w:pPr>
      <w:r w:rsidRPr="4ADFB39F" w:rsidR="4ADFB39F">
        <w:rPr>
          <w:lang w:val="en-US"/>
        </w:rPr>
        <w:t>Metcalfe's most relevant contribution is not about feeling of knowing per se but about a closely related construct: the “hot/cool system” model of willpower and delay of gratification, co-authored with Walter Mischel. The model proposes that behavior under emotional heat is governed by a “hot,” impulsive, stimulus-driven system, and that self-control specifically depends on the ability to activate a “cool,” reflective system even while emotionally activated. This is a direct cognitive-science formalization of “returning to choosing behavior instead of caving to impulse,” and pairs naturally with the FOK tradition since Metcalfe has also written directly on metacognitive feelings.</w:t>
      </w:r>
    </w:p>
    <w:p xmlns:wp14="http://schemas.microsoft.com/office/word/2010/wordml" w14:paraId="107D3548" wp14:textId="77777777">
      <w:pPr>
        <w:spacing w:after="60"/>
      </w:pPr>
      <w:r>
        <w:rPr>
          <w:b/>
          <w:bCs/>
          <w:color w:val="2C6E6B"/>
        </w:rPr>
        <w:t xml:space="preserve">Mini-annotated bibliography:</w:t>
      </w:r>
    </w:p>
    <w:p xmlns:wp14="http://schemas.microsoft.com/office/word/2010/wordml" w14:paraId="77A95274" wp14:textId="77777777">
      <w:pPr>
        <w:spacing w:after="40" w:line="260" w:lineRule="auto"/>
        <w:ind w:left="260"/>
      </w:pPr>
      <w:r w:rsidRPr="4ADFB39F" w:rsidR="4ADFB39F">
        <w:rPr>
          <w:lang w:val="en-US"/>
        </w:rPr>
        <w:t>• Metcalfe, J., &amp; Mischel, W. (1999). A Hot/Cool-System Analysis of Delay of Gratification: Dynamics of Willpower. Psychological Review, 106(1), 3–19.  —  The single most-cited formal model (4,800+ citations) of exactly the phenomenon of interest: an impulsive ‘hot’ system versus a reflective ‘cool’ system, and what determines which one governs behavior under emotional activation.</w:t>
      </w:r>
      <w:r w:rsidRPr="4ADFB39F" w:rsidR="4ADFB39F">
        <w:rPr>
          <w:lang w:val="en-US"/>
        </w:rPr>
      </w:r>
      <w:r w:rsidRPr="4ADFB39F" w:rsidR="4ADFB39F">
        <w:rPr>
          <w:lang w:val="en-US"/>
        </w:rPr>
      </w:r>
      <w:r w:rsidRPr="4ADFB39F" w:rsidR="4ADFB39F">
        <w:rPr>
          <w:i w:val="1"/>
          <w:iCs w:val="1"/>
          <w:lang w:val="en-US"/>
        </w:rPr>
      </w:r>
    </w:p>
    <w:p xmlns:wp14="http://schemas.microsoft.com/office/word/2010/wordml" w14:paraId="07DD02F7" wp14:textId="77777777">
      <w:pPr>
        <w:spacing w:after="40" w:line="260" w:lineRule="auto"/>
        <w:ind w:left="260"/>
      </w:pPr>
      <w:r w:rsidRPr="4ADFB39F" w:rsidR="4ADFB39F">
        <w:rPr>
          <w:lang w:val="en-US"/>
        </w:rPr>
        <w:t xml:space="preserve">• </w:t>
      </w:r>
      <w:r w:rsidRPr="4ADFB39F" w:rsidR="4ADFB39F">
        <w:rPr>
          <w:lang w:val="en-US"/>
        </w:rPr>
        <w:t>Metcalfe, J., &amp; Shimamura, A. P. (Eds.) (1994). Metacognition: Knowing About Knowing. MIT Press.</w:t>
      </w:r>
      <w:r w:rsidRPr="4ADFB39F" w:rsidR="4ADFB39F">
        <w:rPr>
          <w:lang w:val="en-US"/>
        </w:rPr>
        <w:t xml:space="preserve">  —  </w:t>
      </w:r>
      <w:r w:rsidRPr="4ADFB39F" w:rsidR="4ADFB39F">
        <w:rPr>
          <w:i w:val="1"/>
          <w:iCs w:val="1"/>
          <w:lang w:val="en-US"/>
        </w:rPr>
        <w:t>An edited volume (Metcalfe as co-editor) containing Koriat's own chapter on the feeling of knowing alongside broader metacognition research, situating the FOK tradition within the wider study of self-reflective consciousness and control.</w:t>
      </w:r>
    </w:p>
    <w:p xmlns:wp14="http://schemas.microsoft.com/office/word/2010/wordml" w14:paraId="45FB0818" wp14:textId="77777777">
      <w:pPr>
        <w:spacing w:after="140"/>
      </w:pPr>
    </w:p>
    <w:p xmlns:wp14="http://schemas.microsoft.com/office/word/2010/wordml" w14:paraId="049F31CB" wp14:textId="77777777">
      <w:r>
        <w:br w:type="page"/>
      </w:r>
    </w:p>
    <w:p xmlns:wp14="http://schemas.microsoft.com/office/word/2010/wordml" w14:paraId="523F7CF8" wp14:textId="77777777">
      <w:pPr>
        <w:pStyle w:val="Heading1"/>
      </w:pPr>
      <w:r>
        <w:t xml:space="preserve">Part IV — Return-to-Choice Under Emotional Impulse</w:t>
      </w:r>
    </w:p>
    <w:p xmlns:wp14="http://schemas.microsoft.com/office/word/2010/wordml" w14:paraId="21400DDF" wp14:textId="77777777">
      <w:pPr>
        <w:spacing w:after="160" w:line="276"/>
        <w:jc w:val="left"/>
      </w:pPr>
      <w:r>
        <w:t>This is the clinical toolkit most directly built for the exact moment of interest: an urge or emotional wave has built to the point of feeling unbearable, and the task is to ride it out — without acting on it and without suppressing it — until it passes, so that behavior can be chosen rather than dictated by the wave itself.</w:t>
      </w:r>
    </w:p>
    <w:p xmlns:wp14="http://schemas.microsoft.com/office/word/2010/wordml" w14:paraId="5D0B018C" wp14:textId="77777777">
      <w:pPr>
        <w:pStyle w:val="Heading3"/>
      </w:pPr>
      <w:r>
        <w:t xml:space="preserve">G. Alan Marlatt (1941–2011)</w:t>
      </w:r>
    </w:p>
    <w:p xmlns:wp14="http://schemas.microsoft.com/office/word/2010/wordml" w14:paraId="3AF41FB0" wp14:textId="77777777">
      <w:pPr>
        <w:spacing w:after="160" w:line="276"/>
        <w:jc w:val="left"/>
      </w:pPr>
      <w:r>
        <w:rPr>
          <w:i/>
          <w:iCs/>
          <w:color w:val="5B6670"/>
        </w:rPr>
        <w:t xml:space="preserve">Professor of Psychology and Director, Addictive Behaviors Research Center, University of Washington (deceased; included for lineage only, not as a contact)</w:t>
      </w:r>
    </w:p>
    <w:p xmlns:wp14="http://schemas.microsoft.com/office/word/2010/wordml" w14:paraId="30DD58ED" wp14:textId="77777777">
      <w:pPr>
        <w:spacing w:after="160" w:line="276" w:lineRule="auto"/>
        <w:jc w:val="left"/>
      </w:pPr>
      <w:r w:rsidRPr="4ADFB39F" w:rsidR="4ADFB39F">
        <w:rPr>
          <w:lang w:val="en-US"/>
        </w:rPr>
        <w:t>Marlatt coined “urge surfing” in the early 1980s as part of Mindfulness-Based Relapse Prevention, developed with a client who was both trying to quit smoking and an avid surfer. The core reframe — treat an urge as a wave that will crest and fall rather than something to fight or suppress — is the direct historical origin of the technique you supported deliberately by awe/wonder. Marlatt died in 2011; his research center and intellectual legacy continue at the University of Washington.</w:t>
      </w:r>
    </w:p>
    <w:p xmlns:wp14="http://schemas.microsoft.com/office/word/2010/wordml" w14:paraId="73BB82BE" wp14:textId="77777777">
      <w:pPr>
        <w:spacing w:after="60"/>
      </w:pPr>
      <w:r>
        <w:rPr>
          <w:b/>
          <w:bCs/>
          <w:color w:val="2C6E6B"/>
        </w:rPr>
        <w:t xml:space="preserve">Mini-annotated bibliography:</w:t>
      </w:r>
    </w:p>
    <w:p xmlns:wp14="http://schemas.microsoft.com/office/word/2010/wordml" w14:paraId="2B53DF58" wp14:textId="77777777">
      <w:pPr>
        <w:spacing w:after="40" w:line="260"/>
        <w:ind w:left="260"/>
      </w:pPr>
      <w:r>
        <w:t xml:space="preserve">• </w:t>
      </w:r>
      <w:r>
        <w:t xml:space="preserve">Marlatt, G. A., &amp; Gordon, J. R. (Eds.) (1985). Relapse Prevention: Maintenance Strategies in the Treatment of Addictive Behaviors. Guilford Press.</w:t>
      </w:r>
      <w:r>
        <w:t xml:space="preserve">  —  </w:t>
      </w:r>
      <w:r>
        <w:rPr>
          <w:i/>
          <w:iCs/>
        </w:rPr>
        <w:t xml:space="preserve">The foundational text introducing urge surfing as a named clinical technique within a broader relapse-prevention framework.</w:t>
      </w:r>
    </w:p>
    <w:p xmlns:wp14="http://schemas.microsoft.com/office/word/2010/wordml" w14:paraId="63EEBEC0" wp14:textId="77777777">
      <w:pPr>
        <w:spacing w:after="40" w:line="260"/>
        <w:ind w:left="260"/>
      </w:pPr>
      <w:r>
        <w:t xml:space="preserve">• </w:t>
      </w:r>
      <w:r>
        <w:t xml:space="preserve">Witkiewitz, K., &amp; Marlatt, G. A. (Eds.) (2007). Therapist's Guide to Evidence-Based Relapse Prevention. Academic Press.</w:t>
      </w:r>
      <w:r>
        <w:t xml:space="preserve">  —  </w:t>
      </w:r>
      <w:r>
        <w:rPr>
          <w:i/>
          <w:iCs/>
        </w:rPr>
        <w:t xml:space="preserve">A later, evidence-focused update co-edited shortly before Marlatt's death, consolidating the empirical support for urge-surfing and related techniques.</w:t>
      </w:r>
    </w:p>
    <w:p xmlns:wp14="http://schemas.microsoft.com/office/word/2010/wordml" w14:paraId="53128261" wp14:textId="77777777">
      <w:pPr>
        <w:spacing w:after="140"/>
      </w:pPr>
    </w:p>
    <w:p xmlns:wp14="http://schemas.microsoft.com/office/word/2010/wordml" w14:paraId="0903E90F" wp14:textId="77777777">
      <w:pPr>
        <w:pStyle w:val="Heading3"/>
      </w:pPr>
      <w:r>
        <w:t xml:space="preserve">Marsha M. Linehan</w:t>
      </w:r>
    </w:p>
    <w:p xmlns:wp14="http://schemas.microsoft.com/office/word/2010/wordml" w14:paraId="2A6D27E1" wp14:textId="77777777">
      <w:pPr>
        <w:spacing w:after="160" w:line="276"/>
        <w:jc w:val="left"/>
      </w:pPr>
      <w:r>
        <w:rPr>
          <w:i/>
          <w:iCs/>
          <w:color w:val="5B6670"/>
        </w:rPr>
        <w:t xml:space="preserve">Professor Emerita of Psychology, University of Washington; developer of Dialectical Behavior Therapy (DBT)</w:t>
      </w:r>
    </w:p>
    <w:p xmlns:wp14="http://schemas.microsoft.com/office/word/2010/wordml" w14:paraId="3D1EB9D9" wp14:textId="77777777">
      <w:pPr>
        <w:spacing w:after="160" w:line="276"/>
        <w:jc w:val="left"/>
      </w:pPr>
      <w:r>
        <w:t xml:space="preserve">Linehan's lab at the University of Washington was, by circumstance, next door to Marlatt's, and she incorporated urge surfing into DBT's distress tolerance module, renaming and adapting it as “emotion surfing” for the broader class of overwhelming feelings (not only addictive urges). DBT distress tolerance is the most clinically developed, manualized version of “riding out an overwhelming feeling without acting on it or suppressing it,” and is specifically designed for people whose emotional intensity outpaces their ability to regulate through calmer methods — directly relevant to using a resource like felt wonder as a stabilizer during flooding.</w:t>
      </w:r>
    </w:p>
    <w:p xmlns:wp14="http://schemas.microsoft.com/office/word/2010/wordml" w14:paraId="75E6DE5F" wp14:textId="77777777">
      <w:pPr>
        <w:spacing w:after="60"/>
      </w:pPr>
      <w:r>
        <w:rPr>
          <w:b/>
          <w:bCs/>
          <w:color w:val="2C6E6B"/>
        </w:rPr>
        <w:t xml:space="preserve">Mini-annotated bibliography:</w:t>
      </w:r>
    </w:p>
    <w:p xmlns:wp14="http://schemas.microsoft.com/office/word/2010/wordml" w14:paraId="1B19801C" wp14:textId="77777777">
      <w:pPr>
        <w:spacing w:after="40" w:line="260"/>
        <w:ind w:left="260"/>
      </w:pPr>
      <w:r>
        <w:t xml:space="preserve">• </w:t>
      </w:r>
      <w:r>
        <w:t xml:space="preserve">Linehan, M. M. (1993). Cognitive-Behavioral Treatment of Borderline Personality Disorder. Guilford Press.</w:t>
      </w:r>
      <w:r>
        <w:t xml:space="preserve">  —  </w:t>
      </w:r>
      <w:r>
        <w:rPr>
          <w:i/>
          <w:iCs/>
        </w:rPr>
        <w:t xml:space="preserve">The foundational DBT text; introduces distress tolerance as a core skill module, including the emotion-surfing adaptation of Marlatt's urge-surfing technique.</w:t>
      </w:r>
    </w:p>
    <w:p xmlns:wp14="http://schemas.microsoft.com/office/word/2010/wordml" w14:paraId="370D5F3B" wp14:textId="77777777">
      <w:pPr>
        <w:spacing w:after="40" w:line="260"/>
        <w:ind w:left="260"/>
      </w:pPr>
      <w:r>
        <w:t xml:space="preserve">• </w:t>
      </w:r>
      <w:r>
        <w:t xml:space="preserve">Linehan, M. M. (2014). DBT Skills Training Manual (2nd ed.). Guilford Press.</w:t>
      </w:r>
      <w:r>
        <w:t xml:space="preserve">  —  </w:t>
      </w:r>
      <w:r>
        <w:rPr>
          <w:i/>
          <w:iCs/>
        </w:rPr>
        <w:t xml:space="preserve">The current, widely used skills manual with the practical, step-by-step distress-tolerance and emotion-regulation exercises clinicians actually teach.</w:t>
      </w:r>
    </w:p>
    <w:p xmlns:wp14="http://schemas.microsoft.com/office/word/2010/wordml" w14:paraId="62486C05" wp14:textId="77777777">
      <w:pPr>
        <w:spacing w:after="140"/>
      </w:pPr>
    </w:p>
    <w:p xmlns:wp14="http://schemas.microsoft.com/office/word/2010/wordml" w14:paraId="0425E17B" wp14:textId="77777777">
      <w:pPr>
        <w:pStyle w:val="Heading3"/>
      </w:pPr>
      <w:r>
        <w:t xml:space="preserve">Steven C. Hayes</w:t>
      </w:r>
    </w:p>
    <w:p xmlns:wp14="http://schemas.microsoft.com/office/word/2010/wordml" w14:paraId="3FAE3769" wp14:textId="77777777">
      <w:pPr>
        <w:spacing w:after="160" w:line="276"/>
        <w:jc w:val="left"/>
      </w:pPr>
      <w:r>
        <w:rPr>
          <w:i/>
          <w:iCs/>
          <w:color w:val="5B6670"/>
        </w:rPr>
        <w:t xml:space="preserve">Nevada Foundation Professor, Department of Psychology, University of Nevada, Reno; co-founder of Acceptance and Commitment Therapy (ACT)</w:t>
      </w:r>
    </w:p>
    <w:p xmlns:wp14="http://schemas.microsoft.com/office/word/2010/wordml" w14:paraId="704B9561" wp14:textId="77777777">
      <w:pPr>
        <w:spacing w:after="160" w:line="276" w:lineRule="auto"/>
        <w:jc w:val="left"/>
      </w:pPr>
      <w:r w:rsidRPr="4ADFB39F" w:rsidR="4ADFB39F">
        <w:rPr>
          <w:lang w:val="en-US"/>
        </w:rPr>
        <w:t>Hayes co-developed ACT's “choice point” model, a diagram used clinically to make the exact moment of interest visible and workable: a triggering situation produces “hooks” (unhelpful thoughts, feelings, and urges) that pull toward away-moves (impulsive, avoidant, or old-pattern behavior), versus toward-moves (values-aligned, chosen behavior) — with mindfulness and defusion skills used to widen the gap between hook and action. This is close to a formal clinical model of “returning to choosing behavior instead of caving to the pressure of emotional impulses.”</w:t>
      </w:r>
    </w:p>
    <w:p xmlns:wp14="http://schemas.microsoft.com/office/word/2010/wordml" w14:paraId="2E91F5D3" wp14:textId="77777777">
      <w:pPr>
        <w:spacing w:after="60"/>
      </w:pPr>
      <w:r>
        <w:rPr>
          <w:b/>
          <w:bCs/>
          <w:color w:val="2C6E6B"/>
        </w:rPr>
        <w:t xml:space="preserve">Mini-annotated bibliography:</w:t>
      </w:r>
    </w:p>
    <w:p xmlns:wp14="http://schemas.microsoft.com/office/word/2010/wordml" w14:paraId="62BE166E" wp14:textId="77777777">
      <w:pPr>
        <w:spacing w:after="40" w:line="260" w:lineRule="auto"/>
        <w:ind w:left="260"/>
      </w:pPr>
      <w:r w:rsidRPr="4ADFB39F" w:rsidR="4ADFB39F">
        <w:rPr>
          <w:lang w:val="en-US"/>
        </w:rPr>
        <w:t xml:space="preserve">• </w:t>
      </w:r>
      <w:r w:rsidRPr="4ADFB39F" w:rsidR="4ADFB39F">
        <w:rPr>
          <w:lang w:val="en-US"/>
        </w:rPr>
        <w:t>Hayes, S. C., Strosahl, K. D., &amp; Wilson, K. G. (2011). Acceptance and Commitment Therapy: The Process and Practice of Mindful Change (2nd ed.). Guilford Press.</w:t>
      </w:r>
      <w:r w:rsidRPr="4ADFB39F" w:rsidR="4ADFB39F">
        <w:rPr>
          <w:lang w:val="en-US"/>
        </w:rPr>
        <w:t xml:space="preserve">  —  </w:t>
      </w:r>
      <w:r w:rsidRPr="4ADFB39F" w:rsidR="4ADFB39F">
        <w:rPr>
          <w:i w:val="1"/>
          <w:iCs w:val="1"/>
          <w:lang w:val="en-US"/>
        </w:rPr>
        <w:t>The core ACT text, including the theoretical basis for psychological flexibility and the practices (defusion, acceptance, present-moment awareness) that create space between an urge and an action.</w:t>
      </w:r>
    </w:p>
    <w:p xmlns:wp14="http://schemas.microsoft.com/office/word/2010/wordml" w14:paraId="4101652C" wp14:textId="77777777">
      <w:pPr>
        <w:spacing w:after="140"/>
      </w:pPr>
    </w:p>
    <w:p xmlns:wp14="http://schemas.microsoft.com/office/word/2010/wordml" w14:paraId="4C49697C" wp14:textId="77777777">
      <w:pPr>
        <w:pStyle w:val="Heading3"/>
      </w:pPr>
      <w:r>
        <w:t xml:space="preserve">Russ Harris</w:t>
      </w:r>
    </w:p>
    <w:p xmlns:wp14="http://schemas.microsoft.com/office/word/2010/wordml" w14:paraId="65AB0A61" wp14:textId="77777777">
      <w:pPr>
        <w:spacing w:after="160" w:line="276"/>
        <w:jc w:val="left"/>
      </w:pPr>
      <w:r>
        <w:rPr>
          <w:i/>
          <w:iCs/>
          <w:color w:val="5B6670"/>
        </w:rPr>
        <w:t xml:space="preserve">Physician (MBBS) and ACT trainer/author; not a university faculty member — flagged as a clinical-training rather than academic figure</w:t>
      </w:r>
    </w:p>
    <w:p xmlns:wp14="http://schemas.microsoft.com/office/word/2010/wordml" w14:paraId="022DA07E" wp14:textId="77777777">
      <w:pPr>
        <w:spacing w:after="160" w:line="276"/>
        <w:jc w:val="left"/>
      </w:pPr>
      <w:r>
        <w:t xml:space="preserve">Harris did not originate ACT but is its most widely used popularizer and trainer, and his “Choice Point” diagram (developed as a teaching tool building on Hayes's model) is probably the single most concretely usable visual for the exact dynamic you described — hooks and urges pulling toward old patterns, versus a chosen, values-aligned action, with an explicit gap in between where a stabilizing resource like felt wonder could be inserted deliberately.</w:t>
      </w:r>
    </w:p>
    <w:p xmlns:wp14="http://schemas.microsoft.com/office/word/2010/wordml" w14:paraId="5CFC79DF" wp14:textId="77777777">
      <w:pPr>
        <w:spacing w:after="60"/>
      </w:pPr>
      <w:r>
        <w:rPr>
          <w:b/>
          <w:bCs/>
          <w:color w:val="2C6E6B"/>
        </w:rPr>
        <w:t xml:space="preserve">Mini-annotated bibliography:</w:t>
      </w:r>
    </w:p>
    <w:p xmlns:wp14="http://schemas.microsoft.com/office/word/2010/wordml" w14:paraId="2291DEFF" wp14:textId="77777777">
      <w:pPr>
        <w:spacing w:after="40" w:line="260" w:lineRule="auto"/>
        <w:ind w:left="260"/>
      </w:pPr>
      <w:r w:rsidRPr="4ADFB39F" w:rsidR="4ADFB39F">
        <w:rPr>
          <w:lang w:val="en-US"/>
        </w:rPr>
        <w:t xml:space="preserve">• </w:t>
      </w:r>
      <w:r w:rsidRPr="4ADFB39F" w:rsidR="4ADFB39F">
        <w:rPr>
          <w:lang w:val="en-US"/>
        </w:rPr>
        <w:t>Harris, R. (2019). ACT Made Simple: An Easy-to-Read Primer on Acceptance and Commitment Therapy (2nd ed.). New Harbinger Publications.</w:t>
      </w:r>
      <w:r w:rsidRPr="4ADFB39F" w:rsidR="4ADFB39F">
        <w:rPr>
          <w:lang w:val="en-US"/>
        </w:rPr>
        <w:t xml:space="preserve">  —  </w:t>
      </w:r>
      <w:r w:rsidRPr="4ADFB39F" w:rsidR="4ADFB39F">
        <w:rPr>
          <w:i w:val="1"/>
          <w:iCs w:val="1"/>
          <w:lang w:val="en-US"/>
        </w:rPr>
        <w:t>Includes the Choice Point diagram and worked emotion-surfing/urge-surfing scripts combining ACT and DBT-derived techniques — practical, therapist-facing tools for the specific mechanism described.</w:t>
      </w:r>
    </w:p>
    <w:p xmlns:wp14="http://schemas.microsoft.com/office/word/2010/wordml" w14:paraId="4B99056E" wp14:textId="77777777">
      <w:pPr>
        <w:spacing w:after="14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ADFB39F" w14:paraId="0AA50846"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5DEEAB00" wp14:textId="77777777">
            <w:pPr>
              <w:spacing w:after="80"/>
            </w:pPr>
            <w:r>
              <w:rPr>
                <w:b/>
                <w:bCs/>
                <w:color w:val="5A4A72"/>
              </w:rPr>
              <w:t xml:space="preserve">How these four connect</w:t>
            </w:r>
          </w:p>
          <w:p w14:paraId="64A81639" wp14:textId="77777777">
            <w:pPr>
              <w:spacing w:after="0"/>
            </w:pPr>
            <w:r w:rsidRPr="4ADFB39F" w:rsidR="4ADFB39F">
              <w:rPr>
                <w:lang w:val="en-US"/>
              </w:rPr>
              <w:t>Marlatt named the wave; Linehan built a full clinical skill-set around riding it; Hayes gave the moment of choice a formal model; Harris made that model into something a person could actually use session to session. Read together, they form a complete, already-existing clinical vocabulary for the exact gap — between an emotional impulse and a chosen action — that HOMES's own H4-gated practice-invitation mechanism (BP-C-005, BP-A-002) is trying to support technologically.</w:t>
            </w:r>
          </w:p>
        </w:tc>
      </w:tr>
    </w:tbl>
    <w:p xmlns:wp14="http://schemas.microsoft.com/office/word/2010/wordml" w14:paraId="1299C43A" wp14:textId="77777777">
      <w:r>
        <w:br w:type="page"/>
      </w:r>
    </w:p>
    <w:p xmlns:wp14="http://schemas.microsoft.com/office/word/2010/wordml" w14:paraId="18E257F6" wp14:textId="77777777">
      <w:pPr>
        <w:pStyle w:val="Heading1"/>
      </w:pPr>
      <w:r>
        <w:t xml:space="preserve">Part V — Ontological Security: Roots and Extensions</w:t>
      </w:r>
    </w:p>
    <w:p xmlns:wp14="http://schemas.microsoft.com/office/word/2010/wordml" w14:paraId="03108A74" wp14:textId="77777777">
      <w:pPr>
        <w:spacing w:after="160" w:line="276"/>
        <w:jc w:val="left"/>
      </w:pPr>
      <w:r>
        <w:t>R. D. Laing and Anthony Giddens are part of the established HOMES cited framework (Research Prospectus §2; Canonical System Model glossary). This section extends that lineage in one direction you specifically invoked — Laing's own logic of the divided self — and toward the existentialist-anxiety literature that most directly clarifies why ontological security threats are so often about how others perceive and define a person, rather than about any inherent fact about them.</w:t>
      </w:r>
    </w:p>
    <w:p xmlns:wp14="http://schemas.microsoft.com/office/word/2010/wordml" w14:paraId="26F9F39E" wp14:textId="77777777">
      <w:pPr>
        <w:pStyle w:val="Heading3"/>
      </w:pPr>
      <w:r>
        <w:t xml:space="preserve">R. D. Laing (1927–1989)</w:t>
      </w:r>
    </w:p>
    <w:p xmlns:wp14="http://schemas.microsoft.com/office/word/2010/wordml" w14:paraId="07236D6A" wp14:textId="77777777">
      <w:pPr>
        <w:spacing w:after="160" w:line="276"/>
        <w:jc w:val="left"/>
      </w:pPr>
      <w:r>
        <w:rPr>
          <w:i/>
          <w:iCs/>
          <w:color w:val="5B6670"/>
        </w:rPr>
        <w:t xml:space="preserve">Scottish psychiatrist; author of The Divided Self (1960) (deceased; already a HOMES citation, included here for lineage only)</w:t>
      </w:r>
    </w:p>
    <w:p xmlns:wp14="http://schemas.microsoft.com/office/word/2010/wordml" w14:paraId="2D903974" wp14:textId="77777777">
      <w:pPr>
        <w:spacing w:after="160" w:line="276" w:lineRule="auto"/>
        <w:jc w:val="left"/>
      </w:pPr>
      <w:r w:rsidRPr="4ADFB39F" w:rsidR="4ADFB39F">
        <w:rPr>
          <w:lang w:val="en-US"/>
        </w:rPr>
        <w:t>Laing coined ontological security to describe a person's basic existential footing — encountering life's hazards from a centrally firm sense of one's own and others' reality, rather than from a constant threat of being defined, invaded, or engulfed by others' perceptions. This is precisely the logic you invoked: the divided self forms not because of an inherent trait, but because others' way of seeing a person becomes internalized as a threat to that person's own sense of realness. Your framing — that the trauma is associated with autism because others perceived the behavior as autistic, not because autism itself is the wound — is a direct, careful application of Laing's own distinction between a person's authentic self-experience and an externally imposed, false-self-generating perception.</w:t>
      </w:r>
    </w:p>
    <w:p xmlns:wp14="http://schemas.microsoft.com/office/word/2010/wordml" w14:paraId="30D6706A" wp14:textId="77777777">
      <w:pPr>
        <w:spacing w:after="60"/>
      </w:pPr>
      <w:r>
        <w:rPr>
          <w:b/>
          <w:bCs/>
          <w:color w:val="2C6E6B"/>
        </w:rPr>
        <w:t xml:space="preserve">Mini-annotated bibliography:</w:t>
      </w:r>
    </w:p>
    <w:p xmlns:wp14="http://schemas.microsoft.com/office/word/2010/wordml" w14:paraId="305794A7" wp14:textId="77777777">
      <w:pPr>
        <w:spacing w:after="40" w:line="260" w:lineRule="auto"/>
        <w:ind w:left="260"/>
      </w:pPr>
      <w:r w:rsidRPr="4ADFB39F" w:rsidR="4ADFB39F">
        <w:rPr>
          <w:lang w:val="en-US"/>
        </w:rPr>
        <w:t>• Laing, R. D. (1960). The Divided Self: An Existential Study in Sanity and Madness. Tavistock.  —  The originating text; cited in the HOMES Research Prospectus (Chapters 1–5, used descriptively). Introduces ontological security/insecurity and the false-self system that forms in response to being perceived rather than known.</w:t>
      </w:r>
      <w:r w:rsidRPr="4ADFB39F" w:rsidR="4ADFB39F">
        <w:rPr>
          <w:lang w:val="en-US"/>
        </w:rPr>
      </w:r>
      <w:r w:rsidRPr="4ADFB39F" w:rsidR="4ADFB39F">
        <w:rPr>
          <w:lang w:val="en-US"/>
        </w:rPr>
      </w:r>
      <w:r w:rsidRPr="4ADFB39F" w:rsidR="4ADFB39F">
        <w:rPr>
          <w:i w:val="1"/>
          <w:iCs w:val="1"/>
          <w:lang w:val="en-US"/>
        </w:rPr>
      </w:r>
    </w:p>
    <w:p xmlns:wp14="http://schemas.microsoft.com/office/word/2010/wordml" w14:paraId="4DDBEF00" wp14:textId="77777777">
      <w:pPr>
        <w:spacing w:after="140"/>
      </w:pPr>
    </w:p>
    <w:p xmlns:wp14="http://schemas.microsoft.com/office/word/2010/wordml" w14:paraId="55A0B589" wp14:textId="77777777">
      <w:pPr>
        <w:pStyle w:val="Heading3"/>
      </w:pPr>
      <w:r>
        <w:t xml:space="preserve">Anthony Giddens</w:t>
      </w:r>
    </w:p>
    <w:p xmlns:wp14="http://schemas.microsoft.com/office/word/2010/wordml" w14:paraId="375AA6F2" wp14:textId="77777777">
      <w:pPr>
        <w:spacing w:after="160" w:line="276"/>
        <w:jc w:val="left"/>
      </w:pPr>
      <w:r>
        <w:rPr>
          <w:i/>
          <w:iCs/>
          <w:color w:val="5B6670"/>
        </w:rPr>
        <w:t xml:space="preserve">Emeritus Professor of Sociology, London School of Economics; former Director, LSE (already a HOMES citation)</w:t>
      </w:r>
    </w:p>
    <w:p xmlns:wp14="http://schemas.microsoft.com/office/word/2010/wordml" w14:paraId="5E70C4B8" wp14:textId="77777777">
      <w:pPr>
        <w:spacing w:after="160" w:line="276"/>
        <w:jc w:val="left"/>
      </w:pPr>
      <w:r>
        <w:t xml:space="preserve">Giddens extended ontological security from Laing's clinical/existential register into a sociological one, arguing it depends on routinized trust and coherent, continuously revisable self-narratives, and that its threat is anxiety arising from disruption to those narratives — directly relevant to why a consistent, self-authored practice of noticing wonder (rather than an externally imposed narrative about what one ‘is’) would support rather than threaten this security.</w:t>
      </w:r>
    </w:p>
    <w:p xmlns:wp14="http://schemas.microsoft.com/office/word/2010/wordml" w14:paraId="7FAE8E06" wp14:textId="77777777">
      <w:pPr>
        <w:spacing w:after="60"/>
      </w:pPr>
      <w:r>
        <w:rPr>
          <w:b/>
          <w:bCs/>
          <w:color w:val="2C6E6B"/>
        </w:rPr>
        <w:t xml:space="preserve">Mini-annotated bibliography:</w:t>
      </w:r>
    </w:p>
    <w:p xmlns:wp14="http://schemas.microsoft.com/office/word/2010/wordml" w14:paraId="4E224771" wp14:textId="77777777">
      <w:pPr>
        <w:spacing w:after="40" w:line="260" w:lineRule="auto"/>
        <w:ind w:left="260"/>
      </w:pPr>
      <w:r w:rsidRPr="4ADFB39F" w:rsidR="4ADFB39F">
        <w:rPr>
          <w:lang w:val="en-US"/>
        </w:rPr>
        <w:t>• Giddens, A. (1991). Modernity and Self-Identity: Self and Society in the Late Modern Age. Stanford University Press.  —  Cited in the HOMES Research Prospectus. Frames ontological security as reliant on the ability to sustain a coherent, self-authored biographical narrative under conditions of constant reflexive self-monitoring.</w:t>
      </w:r>
      <w:r w:rsidRPr="4ADFB39F" w:rsidR="4ADFB39F">
        <w:rPr>
          <w:lang w:val="en-US"/>
        </w:rPr>
      </w:r>
      <w:r w:rsidRPr="4ADFB39F" w:rsidR="4ADFB39F">
        <w:rPr>
          <w:lang w:val="en-US"/>
        </w:rPr>
      </w:r>
      <w:r w:rsidRPr="4ADFB39F" w:rsidR="4ADFB39F">
        <w:rPr>
          <w:i w:val="1"/>
          <w:iCs w:val="1"/>
          <w:lang w:val="en-US"/>
        </w:rPr>
      </w:r>
    </w:p>
    <w:p xmlns:wp14="http://schemas.microsoft.com/office/word/2010/wordml" w14:paraId="3461D779" wp14:textId="77777777">
      <w:pPr>
        <w:spacing w:after="140"/>
      </w:pPr>
    </w:p>
    <w:p xmlns:wp14="http://schemas.microsoft.com/office/word/2010/wordml" w14:paraId="3B0D9F1A" wp14:textId="77777777">
      <w:pPr>
        <w:pStyle w:val="Heading3"/>
      </w:pPr>
      <w:r>
        <w:t xml:space="preserve">Karl Gustafsson</w:t>
      </w:r>
    </w:p>
    <w:p xmlns:wp14="http://schemas.microsoft.com/office/word/2010/wordml" w14:paraId="24C98878" wp14:textId="77777777">
      <w:pPr>
        <w:spacing w:after="160" w:line="276" w:lineRule="auto"/>
        <w:jc w:val="left"/>
      </w:pPr>
      <w:r w:rsidRPr="4ADFB39F" w:rsidR="4ADFB39F">
        <w:rPr>
          <w:i w:val="1"/>
          <w:iCs w:val="1"/>
          <w:color w:val="5B6670"/>
          <w:lang w:val="en-US"/>
        </w:rPr>
        <w:t>Professor of International Relations, Stockholm University; Docent, Swedish Defence University</w:t>
      </w:r>
    </w:p>
    <w:p xmlns:wp14="http://schemas.microsoft.com/office/word/2010/wordml" w14:paraId="43BDE285" wp14:textId="77777777">
      <w:pPr>
        <w:spacing w:after="160" w:line="276" w:lineRule="auto"/>
        <w:jc w:val="left"/>
      </w:pPr>
      <w:r w:rsidRPr="4ADFB39F" w:rsidR="4ADFB39F">
        <w:rPr>
          <w:lang w:val="en-US"/>
        </w:rPr>
        <w:t>Gustafsson's own field is international relations, not clinical psychology — flagged plainly since his direct applications are to state behavior, not individual therapy. His relevance here is narrower but useful: he argues that ontological-security scholarship has drifted from its roots in the existentialist literature on anxiety (Kierkegaard, Heidegger, Rollo May), and that returning to that literature — specifically May's distinction between normal anxiety (proportionate, and a spur to growth) and neurotic anxiety (disproportionate, and self-perpetuating) — restores conceptual clarity that later, more decontextualized uses of the term lost. This distinction is directly useful for your own project: naming which kind of anxiety a given overwhelming moment actually is.</w:t>
      </w:r>
    </w:p>
    <w:p xmlns:wp14="http://schemas.microsoft.com/office/word/2010/wordml" w14:paraId="6829D208" wp14:textId="77777777">
      <w:pPr>
        <w:spacing w:after="60"/>
      </w:pPr>
      <w:r>
        <w:rPr>
          <w:b/>
          <w:bCs/>
          <w:color w:val="2C6E6B"/>
        </w:rPr>
        <w:t xml:space="preserve">Mini-annotated bibliography:</w:t>
      </w:r>
    </w:p>
    <w:p xmlns:wp14="http://schemas.microsoft.com/office/word/2010/wordml" w14:paraId="5896FF85" wp14:textId="77777777">
      <w:pPr>
        <w:spacing w:after="40" w:line="260" w:lineRule="auto"/>
        <w:ind w:left="260"/>
      </w:pPr>
      <w:r w:rsidRPr="4ADFB39F" w:rsidR="4ADFB39F">
        <w:rPr>
          <w:lang w:val="en-US"/>
        </w:rPr>
        <w:t xml:space="preserve">• </w:t>
      </w:r>
      <w:r w:rsidRPr="4ADFB39F" w:rsidR="4ADFB39F">
        <w:rPr>
          <w:lang w:val="en-US"/>
        </w:rPr>
        <w:t>Gustafsson, K., &amp; Krickel-Choi, N. C. (2020). Returning to the Roots of Ontological Security: Insights from the Existentialist Anxiety Literature. European Journal of International Relations, 26(3), 875–895.</w:t>
      </w:r>
      <w:r w:rsidRPr="4ADFB39F" w:rsidR="4ADFB39F">
        <w:rPr>
          <w:lang w:val="en-US"/>
        </w:rPr>
        <w:t xml:space="preserve">  —  </w:t>
      </w:r>
      <w:r w:rsidRPr="4ADFB39F" w:rsidR="4ADFB39F">
        <w:rPr>
          <w:i w:val="1"/>
          <w:iCs w:val="1"/>
          <w:lang w:val="en-US"/>
        </w:rPr>
        <w:t>Argues for reintroducing Rollo May's normal-vs-neurotic anxiety distinction into ontological security scholarship, restoring conceptual ties to Laing's own existentialist sources.</w:t>
      </w:r>
    </w:p>
    <w:p xmlns:wp14="http://schemas.microsoft.com/office/word/2010/wordml" w14:paraId="3CF2D8B6" wp14:textId="77777777">
      <w:pPr>
        <w:spacing w:after="140"/>
      </w:pPr>
    </w:p>
    <w:p xmlns:wp14="http://schemas.microsoft.com/office/word/2010/wordml" w14:paraId="0FB78278" wp14:textId="77777777">
      <w:r>
        <w:br w:type="page"/>
      </w:r>
    </w:p>
    <w:p xmlns:wp14="http://schemas.microsoft.com/office/word/2010/wordml" w14:paraId="5207215A" wp14:textId="77777777">
      <w:pPr>
        <w:pStyle w:val="Heading1"/>
      </w:pPr>
      <w:r>
        <w:t xml:space="preserve">Part VI — Peer Victimization &amp; Bullying Trauma (General)</w:t>
      </w:r>
    </w:p>
    <w:p xmlns:wp14="http://schemas.microsoft.com/office/word/2010/wordml" w14:paraId="249E58AF" wp14:textId="77777777">
      <w:pPr>
        <w:spacing w:after="160" w:line="276" w:lineRule="auto"/>
        <w:jc w:val="left"/>
      </w:pPr>
      <w:r w:rsidRPr="4ADFB39F" w:rsidR="4ADFB39F">
        <w:rPr>
          <w:lang w:val="en-US"/>
        </w:rPr>
        <w:t>This section addresses the specific etiology under study — childhood bullying — as a general developmental-trauma phenomenon, using current research that treats peer victimization as a legitimate form of interpersonal trauma in its own right, independent of any characteristic of the child being victimized.</w:t>
      </w:r>
    </w:p>
    <w:p xmlns:wp14="http://schemas.microsoft.com/office/word/2010/wordml" w14:paraId="6C3FFB0F" wp14:textId="77777777">
      <w:pPr>
        <w:pStyle w:val="Heading3"/>
      </w:pPr>
      <w:r>
        <w:t xml:space="preserve">John L. Cooley</w:t>
      </w:r>
    </w:p>
    <w:p xmlns:wp14="http://schemas.microsoft.com/office/word/2010/wordml" w14:paraId="1ACAB8D8" wp14:textId="77777777">
      <w:pPr>
        <w:spacing w:after="160" w:line="276" w:lineRule="auto"/>
        <w:jc w:val="left"/>
      </w:pPr>
      <w:r w:rsidRPr="4ADFB39F" w:rsidR="4ADFB39F">
        <w:rPr>
          <w:i w:val="1"/>
          <w:iCs w:val="1"/>
          <w:color w:val="5B6670"/>
          <w:lang w:val="en-US"/>
        </w:rPr>
        <w:t>Irving and Rose Fien Endowed Assistant Professor, School Psychology Program, University of Florida; Director, Positive Youth Development Lab</w:t>
      </w:r>
    </w:p>
    <w:p xmlns:wp14="http://schemas.microsoft.com/office/word/2010/wordml" w14:paraId="0C2D0AA6" wp14:textId="77777777">
      <w:pPr>
        <w:spacing w:after="160" w:line="276" w:lineRule="auto"/>
        <w:jc w:val="left"/>
      </w:pPr>
      <w:r w:rsidRPr="4ADFB39F" w:rsidR="4ADFB39F">
        <w:rPr>
          <w:lang w:val="en-US"/>
        </w:rPr>
        <w:t>Cooley's current, active research program directly reframes peer victimization and bullying as a potentially traumatic stressor in its own right, rather than a normal, low-stakes part of growing up. His most recent (2026) study found that more than 40% of elementary school children who experienced peer victimization showed clinically significant trauma symptoms — avoidance, intrusive thoughts, heightened physical arousal, and changes in self- and other-perception — persisting more than six months later. This work treats bullying-linked trauma as a general childhood phenomenon studied on its own terms, exactly the general-population framing used here.</w:t>
      </w:r>
    </w:p>
    <w:p xmlns:wp14="http://schemas.microsoft.com/office/word/2010/wordml" w14:paraId="60ABFDB0" wp14:textId="77777777">
      <w:pPr>
        <w:spacing w:after="60"/>
      </w:pPr>
      <w:r>
        <w:rPr>
          <w:b/>
          <w:bCs/>
          <w:color w:val="2C6E6B"/>
        </w:rPr>
        <w:t xml:space="preserve">Mini-annotated bibliography:</w:t>
      </w:r>
    </w:p>
    <w:p xmlns:wp14="http://schemas.microsoft.com/office/word/2010/wordml" w14:paraId="74EE46DD" wp14:textId="77777777">
      <w:pPr>
        <w:spacing w:after="40" w:line="260" w:lineRule="auto"/>
        <w:ind w:left="260"/>
      </w:pPr>
      <w:r w:rsidRPr="4ADFB39F" w:rsidR="4ADFB39F">
        <w:rPr>
          <w:lang w:val="en-US"/>
        </w:rPr>
        <w:t xml:space="preserve">• </w:t>
      </w:r>
      <w:r w:rsidRPr="4ADFB39F" w:rsidR="4ADFB39F">
        <w:rPr>
          <w:lang w:val="en-US"/>
        </w:rPr>
        <w:t>Cooley, J. L., Sims, J. G., Mitchell, T. B., Sanchez, C. R., Ricker, B. T., &amp; Pollina, M. M. (2026). Peer Victimization and Bullying are Potentially Traumatic Stressors Among Children. Journal of Clinical Child &amp; Adolescent Psychology.</w:t>
      </w:r>
      <w:r w:rsidRPr="4ADFB39F" w:rsidR="4ADFB39F">
        <w:rPr>
          <w:lang w:val="en-US"/>
        </w:rPr>
        <w:t xml:space="preserve">  —  </w:t>
      </w:r>
      <w:r w:rsidRPr="4ADFB39F" w:rsidR="4ADFB39F">
        <w:rPr>
          <w:i w:val="1"/>
          <w:iCs w:val="1"/>
          <w:lang w:val="en-US"/>
        </w:rPr>
        <w:t>Found over 40% of elementary-age children experiencing peer victimization showed clinically significant trauma symptoms persisting at least six months — direct evidence that bullying functions as a genuine trauma stressor.</w:t>
      </w:r>
    </w:p>
    <w:p xmlns:wp14="http://schemas.microsoft.com/office/word/2010/wordml" w14:paraId="78B1DB73" wp14:textId="77777777">
      <w:pPr>
        <w:spacing w:after="40" w:line="260" w:lineRule="auto"/>
        <w:ind w:left="260"/>
      </w:pPr>
      <w:r w:rsidRPr="4ADFB39F" w:rsidR="4ADFB39F">
        <w:rPr>
          <w:lang w:val="en-US"/>
        </w:rPr>
        <w:t xml:space="preserve">• </w:t>
      </w:r>
      <w:r w:rsidRPr="4ADFB39F" w:rsidR="4ADFB39F">
        <w:rPr>
          <w:lang w:val="en-US"/>
        </w:rPr>
        <w:t>Sims, J. G., &amp; Cooley, J. L. (2025). Understanding What Characteristics of Peer Victimization and Bullying Predict Posttraumatic Stress Symptoms Among Children. Journal of Interpersonal Violence.</w:t>
      </w:r>
      <w:r w:rsidRPr="4ADFB39F" w:rsidR="4ADFB39F">
        <w:rPr>
          <w:lang w:val="en-US"/>
        </w:rPr>
        <w:t xml:space="preserve">  —  </w:t>
      </w:r>
      <w:r w:rsidRPr="4ADFB39F" w:rsidR="4ADFB39F">
        <w:rPr>
          <w:i w:val="1"/>
          <w:iCs w:val="1"/>
          <w:lang w:val="en-US"/>
        </w:rPr>
        <w:t>Identifies polyvictimization (being targeted in multiple ways) and aggressor popularity/power imbalance as the strongest predictors of trauma symptoms — useful for understanding which features of a bullying history are most likely to have left a lasting mark.</w:t>
      </w:r>
    </w:p>
    <w:p xmlns:wp14="http://schemas.microsoft.com/office/word/2010/wordml" w14:paraId="1FC39945" wp14:textId="77777777">
      <w:pPr>
        <w:spacing w:after="140"/>
      </w:pPr>
    </w:p>
    <w:p xmlns:wp14="http://schemas.microsoft.com/office/word/2010/wordml" w14:paraId="53731073" wp14:textId="77777777">
      <w:pPr>
        <w:pStyle w:val="Heading3"/>
      </w:pPr>
      <w:r>
        <w:t xml:space="preserve">Thormod Idsoe</w:t>
      </w:r>
    </w:p>
    <w:p xmlns:wp14="http://schemas.microsoft.com/office/word/2010/wordml" w14:paraId="2C711D30" wp14:textId="77777777">
      <w:pPr>
        <w:spacing w:after="160" w:line="276"/>
        <w:jc w:val="left"/>
      </w:pPr>
      <w:r>
        <w:rPr>
          <w:i/>
          <w:iCs/>
          <w:color w:val="5B6670"/>
        </w:rPr>
        <w:t xml:space="preserve">Norwegian Center for Child Behavioral Development, Oslo (with co-authors Tracy Vaillancourt, University of Ottawa, and colleagues)</w:t>
      </w:r>
    </w:p>
    <w:p xmlns:wp14="http://schemas.microsoft.com/office/word/2010/wordml" w14:paraId="289C76E9" wp14:textId="77777777">
      <w:pPr>
        <w:spacing w:after="160" w:line="276"/>
        <w:jc w:val="left"/>
      </w:pPr>
      <w:r>
        <w:t xml:space="preserve">Idsoe and colleagues argue directly that bullying victimization should be understood within a developmental-trauma framework rather than treated as a separate research tradition from interpersonal trauma more broadly — explicitly naming developmental trauma disorder and complex PTSD (rather than standard PTSD) as the frameworks that best capture bullying's actual symptom pattern, because they account for the way repeated, developmentally-timed interpersonal harm produces effects beyond the standard PTSD symptom set.</w:t>
      </w:r>
    </w:p>
    <w:p xmlns:wp14="http://schemas.microsoft.com/office/word/2010/wordml" w14:paraId="2EE417AB" wp14:textId="77777777">
      <w:pPr>
        <w:spacing w:after="60"/>
      </w:pPr>
      <w:r>
        <w:rPr>
          <w:b/>
          <w:bCs/>
          <w:color w:val="2C6E6B"/>
        </w:rPr>
        <w:t xml:space="preserve">Mini-annotated bibliography:</w:t>
      </w:r>
    </w:p>
    <w:p xmlns:wp14="http://schemas.microsoft.com/office/word/2010/wordml" w14:paraId="0B2263F3" wp14:textId="77777777">
      <w:pPr>
        <w:spacing w:after="40" w:line="260" w:lineRule="auto"/>
        <w:ind w:left="260"/>
      </w:pPr>
      <w:r w:rsidRPr="4ADFB39F" w:rsidR="4ADFB39F">
        <w:rPr>
          <w:lang w:val="en-US"/>
        </w:rPr>
        <w:t xml:space="preserve">• </w:t>
      </w:r>
      <w:r w:rsidRPr="4ADFB39F" w:rsidR="4ADFB39F">
        <w:rPr>
          <w:lang w:val="en-US"/>
        </w:rPr>
        <w:t>Idsoe, T., Vaillancourt, T., Dyregrov, A., Hagen, K. A., Ogden, T., &amp; Nærde, A. (2021). Bullying Victimization and Trauma. Frontiers in Psychiatry, 11, 480353.</w:t>
      </w:r>
      <w:r w:rsidRPr="4ADFB39F" w:rsidR="4ADFB39F">
        <w:rPr>
          <w:lang w:val="en-US"/>
        </w:rPr>
        <w:t xml:space="preserve">  —  </w:t>
      </w:r>
      <w:r w:rsidRPr="4ADFB39F" w:rsidR="4ADFB39F">
        <w:rPr>
          <w:i w:val="1"/>
          <w:iCs w:val="1"/>
          <w:lang w:val="en-US"/>
        </w:rPr>
        <w:t>Argues bullying victimization is best framed through developmental trauma disorder and complex PTSD rather than standard PTSD criteria, given its typically repeated, developmentally-embedded nature.</w:t>
      </w:r>
    </w:p>
    <w:p xmlns:wp14="http://schemas.microsoft.com/office/word/2010/wordml" w14:paraId="0562CB0E" wp14:textId="77777777">
      <w:pPr>
        <w:spacing w:after="140"/>
      </w:pPr>
    </w:p>
    <w:p xmlns:wp14="http://schemas.microsoft.com/office/word/2010/wordml" w14:paraId="34CE0A41" wp14:textId="77777777">
      <w:r>
        <w:br w:type="page"/>
      </w:r>
    </w:p>
    <w:p xmlns:wp14="http://schemas.microsoft.com/office/word/2010/wordml" w14:paraId="1DE30897" wp14:textId="77777777">
      <w:pPr>
        <w:pStyle w:val="Heading1"/>
      </w:pPr>
      <w:r>
        <w:t xml:space="preserve">Part VII — Complex/Developmental Trauma &amp; Maladaptive Coping</w:t>
      </w:r>
    </w:p>
    <w:p xmlns:wp14="http://schemas.microsoft.com/office/word/2010/wordml" w14:paraId="2D21CC9C" wp14:textId="77777777">
      <w:pPr>
        <w:spacing w:after="160" w:line="276"/>
        <w:jc w:val="left"/>
      </w:pPr>
      <w:r>
        <w:t>This is the clinical category the clinical category of record — repeated, developmentally early, interpersonal harm producing a broad, multi-system pattern of adaptation, of which the specific behaviors that concern you now would be one expression.</w:t>
      </w:r>
    </w:p>
    <w:p xmlns:wp14="http://schemas.microsoft.com/office/word/2010/wordml" w14:paraId="281FA822" wp14:textId="77777777">
      <w:pPr>
        <w:pStyle w:val="Heading3"/>
      </w:pPr>
      <w:r>
        <w:t xml:space="preserve">Bessel A. van der Kolk</w:t>
      </w:r>
    </w:p>
    <w:p xmlns:wp14="http://schemas.microsoft.com/office/word/2010/wordml" w14:paraId="4DDB2967" wp14:textId="77777777">
      <w:pPr>
        <w:spacing w:after="160" w:line="276"/>
        <w:jc w:val="left"/>
      </w:pPr>
      <w:r>
        <w:rPr>
          <w:i/>
          <w:iCs/>
          <w:color w:val="5B6670"/>
        </w:rPr>
        <w:t xml:space="preserve">Professor of Psychiatry, Boston University School of Medicine; founder, The Trauma Center at Justice Resource Institute</w:t>
      </w:r>
    </w:p>
    <w:p xmlns:wp14="http://schemas.microsoft.com/office/word/2010/wordml" w14:paraId="5E27487D" wp14:textId="77777777">
      <w:pPr>
        <w:spacing w:after="160" w:line="276"/>
        <w:jc w:val="left"/>
      </w:pPr>
      <w:r>
        <w:t xml:space="preserve">Van der Kolk is the field's most prominent living authority on developmental and complex trauma, and the lead architect of the proposed “Developmental Trauma Disorder” diagnosis — an attempt to name, as a single coherent condition, the pattern that emerges when trauma occurs repeatedly during childhood within a person's own caregiving or social environment, producing pervasive difficulties (including impulsive and self-protective behaviors) that piecemeal diagnosis tends to miss. His broader body of work also documents how trauma is held in the body (not just narrated in memory), directly relevant to why a bodily, felt state like awe might be a more effective stabilizer than a purely cognitive strategy.</w:t>
      </w:r>
    </w:p>
    <w:p xmlns:wp14="http://schemas.microsoft.com/office/word/2010/wordml" w14:paraId="103D679E" wp14:textId="77777777">
      <w:pPr>
        <w:spacing w:after="60"/>
      </w:pPr>
      <w:r>
        <w:rPr>
          <w:b/>
          <w:bCs/>
          <w:color w:val="2C6E6B"/>
        </w:rPr>
        <w:t xml:space="preserve">Mini-annotated bibliography:</w:t>
      </w:r>
    </w:p>
    <w:p xmlns:wp14="http://schemas.microsoft.com/office/word/2010/wordml" w14:paraId="7F20E6C3" wp14:textId="77777777">
      <w:pPr>
        <w:spacing w:after="40" w:line="260" w:lineRule="auto"/>
        <w:ind w:left="260"/>
      </w:pPr>
      <w:r w:rsidRPr="4ADFB39F" w:rsidR="4ADFB39F">
        <w:rPr>
          <w:lang w:val="en-US"/>
        </w:rPr>
        <w:t xml:space="preserve">• </w:t>
      </w:r>
      <w:r w:rsidRPr="4ADFB39F" w:rsidR="4ADFB39F">
        <w:rPr>
          <w:lang w:val="en-US"/>
        </w:rPr>
        <w:t>van der Kolk, B. A. (2005). Developmental Trauma Disorder: A New, Rational Diagnosis for Children with Complex Trauma Histories. Psychiatric Annals, 35(5), 401–408.</w:t>
      </w:r>
      <w:r w:rsidRPr="4ADFB39F" w:rsidR="4ADFB39F">
        <w:rPr>
          <w:lang w:val="en-US"/>
        </w:rPr>
        <w:t xml:space="preserve">  —  </w:t>
      </w:r>
      <w:r w:rsidRPr="4ADFB39F" w:rsidR="4ADFB39F">
        <w:rPr>
          <w:i w:val="1"/>
          <w:iCs w:val="1"/>
          <w:lang w:val="en-US"/>
        </w:rPr>
        <w:t>Argues that piecemeal diagnosis of trauma-exposed children's symptoms (treating depression, impulsivity, and dissociation as separate problems) loses sight of their common origin in a single, coherent pattern of developmental adaptation to overwhelming experience.</w:t>
      </w:r>
    </w:p>
    <w:p xmlns:wp14="http://schemas.microsoft.com/office/word/2010/wordml" w14:paraId="7BE0E20D" wp14:textId="77777777">
      <w:pPr>
        <w:spacing w:after="40" w:line="260" w:lineRule="auto"/>
        <w:ind w:left="260"/>
      </w:pPr>
      <w:r w:rsidRPr="4ADFB39F" w:rsidR="4ADFB39F">
        <w:rPr>
          <w:lang w:val="en-US"/>
        </w:rPr>
        <w:t xml:space="preserve">• </w:t>
      </w:r>
      <w:r w:rsidRPr="4ADFB39F" w:rsidR="4ADFB39F">
        <w:rPr>
          <w:lang w:val="en-US"/>
        </w:rPr>
        <w:t>van der Kolk, B. A. (2014). The Body Keeps the Score: Brain, Mind, and Body in the Healing of Trauma. Viking.</w:t>
      </w:r>
      <w:r w:rsidRPr="4ADFB39F" w:rsidR="4ADFB39F">
        <w:rPr>
          <w:lang w:val="en-US"/>
        </w:rPr>
        <w:t xml:space="preserve">  —  </w:t>
      </w:r>
      <w:r w:rsidRPr="4ADFB39F" w:rsidR="4ADFB39F">
        <w:rPr>
          <w:i w:val="1"/>
          <w:iCs w:val="1"/>
          <w:lang w:val="en-US"/>
        </w:rPr>
        <w:t>The field's most widely read synthesis; argues trauma is stored somatically and that regulation strategies engaging the body (rather than narrative or cognition alone) are often the most effective route to recovery — relevant to why a felt, embodied state may work where purely cognitive reframing does not.</w:t>
      </w:r>
    </w:p>
    <w:p xmlns:wp14="http://schemas.microsoft.com/office/word/2010/wordml" w14:paraId="62EBF3C5" wp14:textId="77777777">
      <w:pPr>
        <w:spacing w:after="140"/>
      </w:pPr>
    </w:p>
    <w:p xmlns:wp14="http://schemas.microsoft.com/office/word/2010/wordml" w14:paraId="4ED0836D" wp14:textId="77777777">
      <w:pPr>
        <w:pStyle w:val="Heading3"/>
      </w:pPr>
      <w:r>
        <w:t xml:space="preserve">Judith L. Herman</w:t>
      </w:r>
    </w:p>
    <w:p xmlns:wp14="http://schemas.microsoft.com/office/word/2010/wordml" w14:paraId="5DC54A9B" wp14:textId="77777777">
      <w:pPr>
        <w:spacing w:after="160" w:line="276"/>
        <w:jc w:val="left"/>
      </w:pPr>
      <w:r>
        <w:rPr>
          <w:i/>
          <w:iCs/>
          <w:color w:val="5B6670"/>
        </w:rPr>
        <w:t xml:space="preserve">Professor of Psychiatry, Harvard Medical School; author of Trauma and Recovery (1992)</w:t>
      </w:r>
    </w:p>
    <w:p xmlns:wp14="http://schemas.microsoft.com/office/word/2010/wordml" w14:paraId="4E096C6C" wp14:textId="77777777">
      <w:pPr>
        <w:spacing w:after="160" w:line="276"/>
        <w:jc w:val="left"/>
      </w:pPr>
      <w:r>
        <w:t xml:space="preserve">Herman is credited with first articulating Complex PTSD as a distinct diagnostic category, capturing the effects of prolonged, repeated interpersonal trauma (as distinct from single-incident trauma) — including the specific finding that early, chronic trauma exposure predicts more complex, harder-to-treat symptom presentations than later or single-incident trauma. This distinction between simple and complex trauma presentation is directly relevant to understanding why “unresolved knots” from childhood bullying might persist and require a different kind of intervention than a single traumatic event would.</w:t>
      </w:r>
    </w:p>
    <w:p xmlns:wp14="http://schemas.microsoft.com/office/word/2010/wordml" w14:paraId="338259C0" wp14:textId="77777777">
      <w:pPr>
        <w:spacing w:after="60"/>
      </w:pPr>
      <w:r>
        <w:rPr>
          <w:b/>
          <w:bCs/>
          <w:color w:val="2C6E6B"/>
        </w:rPr>
        <w:t xml:space="preserve">Mini-annotated bibliography:</w:t>
      </w:r>
    </w:p>
    <w:p xmlns:wp14="http://schemas.microsoft.com/office/word/2010/wordml" w14:paraId="6898E82F" wp14:textId="77777777">
      <w:pPr>
        <w:spacing w:after="40" w:line="260" w:lineRule="auto"/>
        <w:ind w:left="260"/>
      </w:pPr>
      <w:r w:rsidRPr="4ADFB39F" w:rsidR="4ADFB39F">
        <w:rPr>
          <w:lang w:val="en-US"/>
        </w:rPr>
        <w:t xml:space="preserve">• </w:t>
      </w:r>
      <w:r w:rsidRPr="4ADFB39F" w:rsidR="4ADFB39F">
        <w:rPr>
          <w:lang w:val="en-US"/>
        </w:rPr>
        <w:t>Cloitre, M., Stolbach, B. C., Herman, J. L., van der Kolk, B., Pynoos, R., Wang, J., &amp; Petkova, E. (2009). A Developmental Approach to Complex PTSD: Childhood and Adult Cumulative Trauma as Predictors of Symptom Complexity. Journal of Traumatic Stress, 22(5), 399–408.</w:t>
      </w:r>
      <w:r w:rsidRPr="4ADFB39F" w:rsidR="4ADFB39F">
        <w:rPr>
          <w:lang w:val="en-US"/>
        </w:rPr>
        <w:t xml:space="preserve">  —  </w:t>
      </w:r>
      <w:r w:rsidRPr="4ADFB39F" w:rsidR="4ADFB39F">
        <w:rPr>
          <w:i w:val="1"/>
          <w:iCs w:val="1"/>
          <w:lang w:val="en-US"/>
        </w:rPr>
        <w:t>Found that childhood-onset, cumulative trauma exposure specifically predicts more complex symptom presentations in adulthood than trauma beginning later in life — direct empirical support for treating childhood-onset trauma as its own clinical category.</w:t>
      </w:r>
    </w:p>
    <w:p xmlns:wp14="http://schemas.microsoft.com/office/word/2010/wordml" w14:paraId="6D98A12B" wp14:textId="77777777">
      <w:pPr>
        <w:spacing w:after="140"/>
      </w:pPr>
    </w:p>
    <w:p xmlns:wp14="http://schemas.microsoft.com/office/word/2010/wordml" w14:paraId="42CF3DCF" wp14:textId="77777777">
      <w:pPr>
        <w:pStyle w:val="Heading3"/>
      </w:pPr>
      <w:r w:rsidRPr="4ADFB39F" w:rsidR="4ADFB39F">
        <w:rPr>
          <w:lang w:val="en-US"/>
        </w:rPr>
        <w:t>Marylene Cloitre</w:t>
      </w:r>
    </w:p>
    <w:p xmlns:wp14="http://schemas.microsoft.com/office/word/2010/wordml" w14:paraId="73491957" wp14:textId="77777777">
      <w:pPr>
        <w:spacing w:after="160" w:line="276"/>
        <w:jc w:val="left"/>
      </w:pPr>
      <w:r>
        <w:rPr>
          <w:i/>
          <w:iCs/>
          <w:color w:val="5B6670"/>
        </w:rPr>
        <w:t xml:space="preserve">Clinical Professor of Psychiatry, NYU Langone Health; former Associate Director, National Center for PTSD Dissemination and Training Division</w:t>
      </w:r>
    </w:p>
    <w:p xmlns:wp14="http://schemas.microsoft.com/office/word/2010/wordml" w14:paraId="79CB89DF" wp14:textId="77777777">
      <w:pPr>
        <w:spacing w:after="160" w:line="276" w:lineRule="auto"/>
        <w:jc w:val="left"/>
      </w:pPr>
      <w:r w:rsidRPr="4ADFB39F" w:rsidR="4ADFB39F">
        <w:rPr>
          <w:lang w:val="en-US"/>
        </w:rPr>
        <w:t>Cloitre is the lead author on the developmental Complex PTSD study above and has separately developed one of the most widely used phase-based treatment models for complex trauma (STAIR — Skills Training in Affective and Interpersonal Regulation), which explicitly begins with emotion-regulation skill-building before any trauma-narrative work — structurally similar to the idea of building a stabilizing resource (like felt wonder) before or alongside addressing the specific maladaptive behavioral patterns themselves.</w:t>
      </w:r>
    </w:p>
    <w:p xmlns:wp14="http://schemas.microsoft.com/office/word/2010/wordml" w14:paraId="098AAA21" wp14:textId="77777777">
      <w:pPr>
        <w:spacing w:after="60"/>
      </w:pPr>
      <w:r>
        <w:rPr>
          <w:b/>
          <w:bCs/>
          <w:color w:val="2C6E6B"/>
        </w:rPr>
        <w:t xml:space="preserve">Mini-annotated bibliography:</w:t>
      </w:r>
    </w:p>
    <w:p xmlns:wp14="http://schemas.microsoft.com/office/word/2010/wordml" w14:paraId="155F0302" wp14:textId="77777777">
      <w:pPr>
        <w:spacing w:after="40" w:line="260" w:lineRule="auto"/>
        <w:ind w:left="260"/>
      </w:pPr>
      <w:r w:rsidRPr="4ADFB39F" w:rsidR="4ADFB39F">
        <w:rPr>
          <w:lang w:val="en-US"/>
        </w:rPr>
        <w:t xml:space="preserve">• </w:t>
      </w:r>
      <w:r w:rsidRPr="4ADFB39F" w:rsidR="4ADFB39F">
        <w:rPr>
          <w:lang w:val="en-US"/>
        </w:rPr>
        <w:t>Cloitre, M., Stolbach, B. C., Herman, J. L., van der Kolk, B., Pynoos, R., Wang, J., &amp; Petkova, E. (2009). A Developmental Approach to Complex PTSD. Journal of Traumatic Stress, 22(5), 399–408.</w:t>
      </w:r>
      <w:r w:rsidRPr="4ADFB39F" w:rsidR="4ADFB39F">
        <w:rPr>
          <w:lang w:val="en-US"/>
        </w:rPr>
        <w:t xml:space="preserve">  —  </w:t>
      </w:r>
      <w:r w:rsidRPr="4ADFB39F" w:rsidR="4ADFB39F">
        <w:rPr>
          <w:i w:val="1"/>
          <w:iCs w:val="1"/>
          <w:lang w:val="en-US"/>
        </w:rPr>
        <w:t>(Cross-referenced from the Herman entry above.)</w:t>
      </w:r>
    </w:p>
    <w:p xmlns:wp14="http://schemas.microsoft.com/office/word/2010/wordml" w14:paraId="4EA639AE" wp14:textId="77777777">
      <w:pPr>
        <w:spacing w:after="40" w:line="260" w:lineRule="auto"/>
        <w:ind w:left="260"/>
      </w:pPr>
      <w:r w:rsidRPr="4ADFB39F" w:rsidR="4ADFB39F">
        <w:rPr>
          <w:lang w:val="en-US"/>
        </w:rPr>
        <w:t xml:space="preserve">• </w:t>
      </w:r>
      <w:r w:rsidRPr="4ADFB39F" w:rsidR="4ADFB39F">
        <w:rPr>
          <w:lang w:val="en-US"/>
        </w:rPr>
        <w:t>Cloitre, M., Cohen, L. R., &amp; Koenen, K. C. (2006). Treating Survivors of Childhood Abuse: Psychotherapy for the Interrupted Life. Guilford Press.</w:t>
      </w:r>
      <w:r w:rsidRPr="4ADFB39F" w:rsidR="4ADFB39F">
        <w:rPr>
          <w:lang w:val="en-US"/>
        </w:rPr>
        <w:t xml:space="preserve">  —  </w:t>
      </w:r>
      <w:r w:rsidRPr="4ADFB39F" w:rsidR="4ADFB39F">
        <w:rPr>
          <w:i w:val="1"/>
          <w:iCs w:val="1"/>
          <w:lang w:val="en-US"/>
        </w:rPr>
        <w:t>Introduces the STAIR model's phase-based approach: emotion-regulation and interpersonal-skill building precede trauma-memory processing, on the premise that stabilization must come first for the later work to be safe and effective.</w:t>
      </w:r>
    </w:p>
    <w:p xmlns:wp14="http://schemas.microsoft.com/office/word/2010/wordml" w14:paraId="2946DB82" wp14:textId="77777777">
      <w:pPr>
        <w:spacing w:after="140"/>
      </w:pPr>
    </w:p>
    <w:p xmlns:wp14="http://schemas.microsoft.com/office/word/2010/wordml" w14:paraId="5997CC1D" wp14:textId="77777777">
      <w:r>
        <w:br w:type="page"/>
      </w:r>
    </w:p>
    <w:p xmlns:wp14="http://schemas.microsoft.com/office/word/2010/wordml" w14:paraId="30F6B78E" wp14:textId="77777777">
      <w:pPr>
        <w:pStyle w:val="Heading1"/>
      </w:pPr>
      <w:r>
        <w:t xml:space="preserve">8. How These Seven Domains Connect</w:t>
      </w:r>
    </w:p>
    <w:p xmlns:wp14="http://schemas.microsoft.com/office/word/2010/wordml" w14:paraId="64ED49DD" wp14:textId="77777777">
      <w:pPr>
        <w:spacing w:after="160" w:line="276" w:lineRule="auto"/>
        <w:jc w:val="left"/>
      </w:pPr>
      <w:r w:rsidRPr="4ADFB39F" w:rsidR="4ADFB39F">
        <w:rPr>
          <w:lang w:val="en-US"/>
        </w:rPr>
        <w:t>Read as a whole rather than as seven separate lists, this search converges on a specific, defensible design: Part I and Part II establish that awe/wonder is not merely pleasant but a documented, physiologically real stress-reduction and trauma-symptom-reduction mechanism. Part III gives that mechanism a cognitive-science account of how a felt state can function as the hinge between automatic reaction and deliberate choice. Part IV supplies an already-mature clinical toolkit (urge surfing, distress tolerance, the ACT choice point) for the exact moment of ‘riding out’ an emotional wave without being ruled by it — into which a felt-wonder resource could be inserted as the specific stabilizing agent, rather than the generic mindfulness or breathing techniques these models typically default to. Parts V through VII supply the deeper clinical and philosophical grounding for why this matters at all: ontological security is threatened not by an inherent trait but by disrupted self-narrative and others' imposed perception (Part V), childhood peer-victimization trauma is a real, generally-studied phenomenon independent of any characteristic of the child (Part VI), and complex/developmental trauma names the broader pattern within which the specific behaviors you want to change would sit (Part VII).</w:t>
      </w:r>
    </w:p>
    <w:p xmlns:wp14="http://schemas.microsoft.com/office/word/2010/wordml" w14:paraId="00E12A32" wp14:textId="77777777">
      <w:pPr>
        <w:pStyle w:val="Heading1"/>
      </w:pPr>
      <w:r>
        <w:t>9. Notes on Research Proximity</w:t>
      </w:r>
    </w:p>
    <w:p xmlns:wp14="http://schemas.microsoft.com/office/word/2010/wordml" w14:paraId="3695EB5B" wp14:textId="77777777">
      <w:pPr>
        <w:pStyle w:val="ListParagraph"/>
        <w:numPr>
          <w:ilvl w:val="0"/>
          <w:numId w:val="2"/>
        </w:numPr>
        <w:spacing w:after="100" w:line="270"/>
      </w:pPr>
      <w:r>
        <w:t>Jennifer Stellar (Part I) and Maria Monroy (Part II) both work in Keltner's intellectual orbit and would likely be able to speak to both the mechanism and the applied-intervention questions; the Anderson/Monroy/Keltner rafting study serves as the single pivotal reference connecting several parts of this bibliography at once.</w:t>
      </w:r>
    </w:p>
    <w:p xmlns:wp14="http://schemas.microsoft.com/office/word/2010/wordml" w14:paraId="05A9AA29" wp14:textId="77777777">
      <w:pPr>
        <w:pStyle w:val="ListParagraph"/>
        <w:numPr>
          <w:ilvl w:val="0"/>
          <w:numId w:val="2"/>
        </w:numPr>
        <w:spacing w:after="100" w:line="270" w:lineRule="auto"/>
        <w:rPr/>
      </w:pPr>
      <w:r w:rsidRPr="4ADFB39F" w:rsidR="4ADFB39F">
        <w:rPr>
          <w:lang w:val="en-US"/>
        </w:rPr>
        <w:t>Janet Metcalfe (Part III) is the central academic figure specifically for the ‘hot/cool system’ framing of willpower under emotional load — arguably the single most directly transferable formal model in this entire search for the target mechanism.</w:t>
      </w:r>
    </w:p>
    <w:p xmlns:wp14="http://schemas.microsoft.com/office/word/2010/wordml" w14:paraId="033B51AA" wp14:textId="77777777">
      <w:pPr>
        <w:pStyle w:val="ListParagraph"/>
        <w:numPr>
          <w:ilvl w:val="0"/>
          <w:numId w:val="2"/>
        </w:numPr>
        <w:spacing w:after="100" w:line="270"/>
      </w:pPr>
      <w:r>
        <w:t>Steven C. Hayes (Part IV) holds the most senior academic position in the return-to-choice domain; Russ Harris, while extremely widely used clinically, is not a university-affiliated academic and occupies a different role (clinical-training rather than research-oriented).</w:t>
      </w:r>
    </w:p>
    <w:p xmlns:wp14="http://schemas.microsoft.com/office/word/2010/wordml" w14:paraId="6612FF1B" wp14:textId="77777777">
      <w:pPr>
        <w:pStyle w:val="ListParagraph"/>
        <w:numPr>
          <w:ilvl w:val="0"/>
          <w:numId w:val="2"/>
        </w:numPr>
        <w:spacing w:after="100" w:line="270" w:lineRule="auto"/>
        <w:rPr/>
      </w:pPr>
      <w:r w:rsidRPr="4ADFB39F" w:rsidR="4ADFB39F">
        <w:rPr>
          <w:lang w:val="en-US"/>
        </w:rPr>
        <w:t>John L. Cooley (Part VI) has an active, well-funded, current research program specifically on bullying-as-trauma and maintains an active research program directly on this topic.</w:t>
      </w:r>
    </w:p>
    <w:p xmlns:wp14="http://schemas.microsoft.com/office/word/2010/wordml" w14:paraId="63C0C963" wp14:textId="77777777">
      <w:pPr>
        <w:pStyle w:val="ListParagraph"/>
        <w:numPr>
          <w:ilvl w:val="0"/>
          <w:numId w:val="2"/>
        </w:numPr>
        <w:spacing w:after="100" w:line="270" w:lineRule="auto"/>
        <w:rPr/>
      </w:pPr>
      <w:r w:rsidRPr="4ADFB39F" w:rsidR="4ADFB39F">
        <w:rPr>
          <w:lang w:val="en-US"/>
        </w:rPr>
        <w:t>Bessel van der Kolk (Part VII) is extremely well-known and the most publicly prominent figure in this domain; Marylene Cloitre's STAIR model represents the more clinically operational strand of the same tradition.</w:t>
      </w:r>
    </w:p>
    <w:p xmlns:wp14="http://schemas.microsoft.com/office/word/2010/wordml" w14:paraId="5F3AD222" wp14:textId="77777777">
      <w:pPr>
        <w:pStyle w:val="ListParagraph"/>
        <w:numPr>
          <w:ilvl w:val="0"/>
          <w:numId w:val="2"/>
        </w:numPr>
        <w:spacing w:after="100" w:line="270"/>
      </w:pPr>
      <w:r>
        <w:t>This bibliography is a literature-context resource; it implies no contact or collaboration with any listed researcher.</w:t>
      </w:r>
    </w:p>
    <w:p xmlns:wp14="http://schemas.microsoft.com/office/word/2010/wordml" w14:paraId="1C9317DD" wp14:textId="77777777">
      <w:pPr>
        <w:pStyle w:val="Heading1"/>
      </w:pPr>
      <w:r>
        <w:t xml:space="preserve">10. Limitations of This Search</w:t>
      </w:r>
    </w:p>
    <w:p xmlns:wp14="http://schemas.microsoft.com/office/word/2010/wordml" w14:paraId="325184CF" wp14:textId="77777777">
      <w:pPr>
        <w:pStyle w:val="ListParagraph"/>
        <w:numPr>
          <w:ilvl w:val="0"/>
          <w:numId w:val="2"/>
        </w:numPr>
        <w:spacing w:after="100" w:line="270"/>
      </w:pPr>
      <w:r>
        <w:t xml:space="preserve">Web search snippets, not full-text reads of every paper, were the basis for relevance judgments; a closer read is recommended before relying on any specific finding, especially the awe/PTSD rafting study's effect sizes.</w:t>
      </w:r>
    </w:p>
    <w:p xmlns:wp14="http://schemas.microsoft.com/office/word/2010/wordml" w14:paraId="497D9793" wp14:textId="77777777">
      <w:pPr>
        <w:pStyle w:val="ListParagraph"/>
        <w:numPr>
          <w:ilvl w:val="0"/>
          <w:numId w:val="2"/>
        </w:numPr>
        <w:spacing w:after="100" w:line="270" w:lineRule="auto"/>
        <w:rPr/>
      </w:pPr>
      <w:r w:rsidRPr="4ADFB39F" w:rsidR="4ADFB39F">
        <w:rPr>
          <w:lang w:val="en-US"/>
        </w:rPr>
        <w:t>This search did not cover the autism-specific literature; if a future need arises to understand how any of these mechanisms have specifically been studied in autistic populations, that would be a separate, explicitly-scoped search rather than an assumption carried over from here.</w:t>
      </w:r>
    </w:p>
    <w:p xmlns:wp14="http://schemas.microsoft.com/office/word/2010/wordml" w14:paraId="321A276F" wp14:textId="77777777">
      <w:pPr>
        <w:pStyle w:val="ListParagraph"/>
        <w:numPr>
          <w:ilvl w:val="0"/>
          <w:numId w:val="2"/>
        </w:numPr>
        <w:spacing w:after="100" w:line="270"/>
      </w:pPr>
      <w:r>
        <w:t>Two figures (Marlatt, Laing) are deceased; they appear for intellectual lineage, with living continuations in Linehan's DBT lineage and later ontological-security scholarship.</w:t>
      </w:r>
    </w:p>
    <w:p xmlns:wp14="http://schemas.microsoft.com/office/word/2010/wordml" w14:paraId="75D2C071" wp14:textId="77777777">
      <w:pPr>
        <w:pStyle w:val="ListParagraph"/>
        <w:numPr>
          <w:ilvl w:val="0"/>
          <w:numId w:val="2"/>
        </w:numPr>
        <w:spacing w:after="100" w:line="270"/>
      </w:pPr>
      <w:r>
        <w:t xml:space="preserve">Recency bias: several very current (2025–2026) papers, especially in Part VI, surfaced prominently by virtue of being new; older, highly foundational work in each field may be under-represented relative to its actual importance.</w:t>
      </w:r>
    </w:p>
    <w:p xmlns:wp14="http://schemas.microsoft.com/office/word/2010/wordml" w14:paraId="11115036" wp14:textId="77777777">
      <w:pPr>
        <w:pStyle w:val="ListParagraph"/>
        <w:numPr>
          <w:ilvl w:val="0"/>
          <w:numId w:val="2"/>
        </w:numPr>
        <w:spacing w:after="100" w:line="270"/>
      </w:pPr>
      <w:r>
        <w:t>This document does not evaluate clinical appropriateness or safety of any specific technique for any particular situation — that is a matter a matter for the individual and any treating clinician, not something a research search can determine.</w:t>
      </w:r>
    </w:p>
    <w:p xmlns:wp14="http://schemas.microsoft.com/office/word/2010/wordml" w14:paraId="330F0562" wp14:textId="77777777">
      <w:pPr>
        <w:pStyle w:val="Heading1"/>
      </w:pPr>
      <w:r>
        <w:t xml:space="preserve">11. What Would Improve This Search Further</w:t>
      </w:r>
    </w:p>
    <w:p xmlns:wp14="http://schemas.microsoft.com/office/word/2010/wordml" w14:paraId="2E91E17A" wp14:textId="77777777">
      <w:pPr>
        <w:pStyle w:val="ListParagraph"/>
        <w:numPr>
          <w:ilvl w:val="0"/>
          <w:numId w:val="2"/>
        </w:numPr>
        <w:spacing w:after="100" w:line="270"/>
      </w:pPr>
      <w:r>
        <w:t>A dedicated design memo translating these seven domains into a concrete addition to the HOMES Blueprint set — remains open: e.g., a stabilization-specific practice invitation (distinct from the existing general wonder-invitation Blueprints), explicitly gated to moments of detected high arousal or distress, drawing on the Part IV toolkit.</w:t>
      </w:r>
    </w:p>
    <w:p xmlns:wp14="http://schemas.microsoft.com/office/word/2010/wordml" w14:paraId="6384C762" wp14:textId="77777777">
      <w:pPr>
        <w:pStyle w:val="ListParagraph"/>
        <w:numPr>
          <w:ilvl w:val="0"/>
          <w:numId w:val="2"/>
        </w:numPr>
        <w:spacing w:after="100" w:line="270"/>
      </w:pPr>
      <w:r>
        <w:t>A further, more clinically specific search on somatic/body-based grounding techniques for dissociation or emotional flooding specifically (e.g., polyvagal-informed approaches) remains adjacent to but outside the central coverage of this bibliography.</w:t>
      </w:r>
    </w:p>
    <w:p xmlns:wp14="http://schemas.microsoft.com/office/word/2010/wordml" w14:paraId="130598F0" wp14:textId="77777777">
      <w:pPr>
        <w:pStyle w:val="ListParagraph"/>
        <w:numPr>
          <w:ilvl w:val="0"/>
          <w:numId w:val="2"/>
        </w:numPr>
        <w:spacing w:after="100" w:line="270"/>
      </w:pPr>
      <w:r>
        <w:t>Cross-referencing these seven domains against the existing HOMES Measurement Logbook instruments remains open (e.g., whether the Daily_Awe_Log or a new instrument captures the stabilizing use case, distinct from awe experienced for its own sake).</w:t>
      </w:r>
    </w:p>
    <w:p xmlns:wp14="http://schemas.microsoft.com/office/word/2010/wordml" w14:paraId="04A2EF3A" wp14:textId="77777777">
      <w:pPr>
        <w:pStyle w:val="Heading1"/>
      </w:pPr>
      <w:r>
        <w:t xml:space="preserve">12. References (Full Citation List)</w:t>
      </w:r>
    </w:p>
    <w:p xmlns:wp14="http://schemas.microsoft.com/office/word/2010/wordml" w14:paraId="2B5ED920" wp14:textId="77777777">
      <w:pPr>
        <w:pStyle w:val="ListParagraph"/>
        <w:numPr>
          <w:ilvl w:val="0"/>
          <w:numId w:val="2"/>
        </w:numPr>
        <w:spacing w:after="100" w:line="270"/>
      </w:pPr>
      <w:r>
        <w:t xml:space="preserve">Monroy, M., &amp; Keltner, D. (2023). Awe as a Pathway to Mental and Physical Health. Perspectives on Psychological Science, 18(2), 309–320.</w:t>
      </w:r>
    </w:p>
    <w:p xmlns:wp14="http://schemas.microsoft.com/office/word/2010/wordml" w14:paraId="67AD9723" wp14:textId="77777777">
      <w:pPr>
        <w:pStyle w:val="ListParagraph"/>
        <w:numPr>
          <w:ilvl w:val="0"/>
          <w:numId w:val="2"/>
        </w:numPr>
        <w:spacing w:after="100" w:line="270"/>
      </w:pPr>
      <w:r>
        <w:t xml:space="preserve">Piff, P. K., Dietze, P., Feinberg, M., Stancato, D. M., &amp; Keltner, D. (2015). Awe, the Small Self, and Prosocial Behavior. Journal of Personality and Social Psychology, 108(6), 883–899.</w:t>
      </w:r>
    </w:p>
    <w:p xmlns:wp14="http://schemas.microsoft.com/office/word/2010/wordml" w14:paraId="67F2CF94" wp14:textId="77777777">
      <w:pPr>
        <w:pStyle w:val="ListParagraph"/>
        <w:numPr>
          <w:ilvl w:val="0"/>
          <w:numId w:val="2"/>
        </w:numPr>
        <w:spacing w:after="100" w:line="270"/>
      </w:pPr>
      <w:r>
        <w:t xml:space="preserve">Stellar, J. E., John-Henderson, N., Anderson, C. L., Gordon, A. M., McNeil, G. D., &amp; Keltner, D. (2015). Positive Affect and Markers of Inflammation. Emotion, 15(2), 129–133.</w:t>
      </w:r>
    </w:p>
    <w:p xmlns:wp14="http://schemas.microsoft.com/office/word/2010/wordml" w14:paraId="5378E45B" wp14:textId="77777777">
      <w:pPr>
        <w:pStyle w:val="ListParagraph"/>
        <w:numPr>
          <w:ilvl w:val="0"/>
          <w:numId w:val="2"/>
        </w:numPr>
        <w:spacing w:after="100" w:line="270"/>
      </w:pPr>
      <w:r>
        <w:t xml:space="preserve">Stellar, J. E. (2021). Awe Helps Us Remember Why It Is Important to Forget the Self. Annals of the New York Academy of Sciences, 1501(1), 81–84.</w:t>
      </w:r>
    </w:p>
    <w:p xmlns:wp14="http://schemas.microsoft.com/office/word/2010/wordml" w14:paraId="4AD5A8DE" wp14:textId="77777777">
      <w:pPr>
        <w:pStyle w:val="ListParagraph"/>
        <w:numPr>
          <w:ilvl w:val="0"/>
          <w:numId w:val="2"/>
        </w:numPr>
        <w:spacing w:after="100" w:line="270" w:lineRule="auto"/>
        <w:rPr/>
      </w:pPr>
      <w:r w:rsidRPr="4ADFB39F" w:rsidR="4ADFB39F">
        <w:rPr>
          <w:lang w:val="en-US"/>
        </w:rPr>
        <w:t>Anderson, C. L., Monroy, M., &amp; Keltner, D. (2018). Awe in Nature Heals: Evidence From Military Veterans, At-Risk Youth, and College Students. Emotion, 18(8), 1195–1202.</w:t>
      </w:r>
    </w:p>
    <w:p xmlns:wp14="http://schemas.microsoft.com/office/word/2010/wordml" w14:paraId="73E442CA" wp14:textId="77777777">
      <w:pPr>
        <w:pStyle w:val="ListParagraph"/>
        <w:numPr>
          <w:ilvl w:val="0"/>
          <w:numId w:val="2"/>
        </w:numPr>
        <w:spacing w:after="100" w:line="270" w:lineRule="auto"/>
        <w:rPr/>
      </w:pPr>
      <w:r w:rsidRPr="4ADFB39F" w:rsidR="4ADFB39F">
        <w:rPr>
          <w:lang w:val="en-US"/>
        </w:rPr>
        <w:t>Koriat, A. (2000). The Feeling of Knowing: Some Metatheoretical Implications for Consciousness and Control. Consciousness and Cognition, 9(2), 149–171.</w:t>
      </w:r>
    </w:p>
    <w:p xmlns:wp14="http://schemas.microsoft.com/office/word/2010/wordml" w14:paraId="6FF3DC35" wp14:textId="77777777">
      <w:pPr>
        <w:pStyle w:val="ListParagraph"/>
        <w:numPr>
          <w:ilvl w:val="0"/>
          <w:numId w:val="2"/>
        </w:numPr>
        <w:spacing w:after="100" w:line="270" w:lineRule="auto"/>
        <w:rPr/>
      </w:pPr>
      <w:r w:rsidRPr="4ADFB39F" w:rsidR="4ADFB39F">
        <w:rPr>
          <w:lang w:val="en-US"/>
        </w:rPr>
        <w:t>Koriat, A. (2005). Knowing and the Feeling of Knowing. CAS Fellow lecture text, University of Haifa.</w:t>
      </w:r>
    </w:p>
    <w:p xmlns:wp14="http://schemas.microsoft.com/office/word/2010/wordml" w14:paraId="4DE03295" wp14:textId="77777777">
      <w:pPr>
        <w:pStyle w:val="ListParagraph"/>
        <w:numPr>
          <w:ilvl w:val="0"/>
          <w:numId w:val="2"/>
        </w:numPr>
        <w:spacing w:after="100" w:line="270" w:lineRule="auto"/>
        <w:rPr/>
      </w:pPr>
      <w:r w:rsidRPr="4ADFB39F" w:rsidR="4ADFB39F">
        <w:rPr>
          <w:lang w:val="en-US"/>
        </w:rPr>
        <w:t>Metcalfe, J., &amp; Mischel, W. (1999). A Hot/Cool-System Analysis of Delay of Gratification: Dynamics of Willpower. Psychological Review, 106(1), 3–19.</w:t>
      </w:r>
    </w:p>
    <w:p xmlns:wp14="http://schemas.microsoft.com/office/word/2010/wordml" w14:paraId="21B1B9EE" wp14:textId="77777777">
      <w:pPr>
        <w:pStyle w:val="ListParagraph"/>
        <w:numPr>
          <w:ilvl w:val="0"/>
          <w:numId w:val="2"/>
        </w:numPr>
        <w:spacing w:after="100" w:line="270"/>
      </w:pPr>
      <w:r>
        <w:t xml:space="preserve">Metcalfe, J., &amp; Shimamura, A. P. (Eds.) (1994). Metacognition: Knowing About Knowing. MIT Press.</w:t>
      </w:r>
    </w:p>
    <w:p xmlns:wp14="http://schemas.microsoft.com/office/word/2010/wordml" w14:paraId="73ECB537" wp14:textId="77777777">
      <w:pPr>
        <w:pStyle w:val="ListParagraph"/>
        <w:numPr>
          <w:ilvl w:val="0"/>
          <w:numId w:val="2"/>
        </w:numPr>
        <w:spacing w:after="100" w:line="270"/>
      </w:pPr>
      <w:r>
        <w:t xml:space="preserve">Marlatt, G. A., &amp; Gordon, J. R. (Eds.) (1985). Relapse Prevention. Guilford Press.</w:t>
      </w:r>
    </w:p>
    <w:p xmlns:wp14="http://schemas.microsoft.com/office/word/2010/wordml" w14:paraId="78CF68F2" wp14:textId="77777777">
      <w:pPr>
        <w:pStyle w:val="ListParagraph"/>
        <w:numPr>
          <w:ilvl w:val="0"/>
          <w:numId w:val="2"/>
        </w:numPr>
        <w:spacing w:after="100" w:line="270" w:lineRule="auto"/>
        <w:rPr/>
      </w:pPr>
      <w:r w:rsidRPr="4ADFB39F" w:rsidR="4ADFB39F">
        <w:rPr>
          <w:lang w:val="en-US"/>
        </w:rPr>
        <w:t>Witkiewitz, K., &amp; Marlatt, G. A. (Eds.) (2007). Therapist's Guide to Evidence-Based Relapse Prevention. Academic Press.</w:t>
      </w:r>
    </w:p>
    <w:p xmlns:wp14="http://schemas.microsoft.com/office/word/2010/wordml" w14:paraId="12315C10" wp14:textId="77777777">
      <w:pPr>
        <w:pStyle w:val="ListParagraph"/>
        <w:numPr>
          <w:ilvl w:val="0"/>
          <w:numId w:val="2"/>
        </w:numPr>
        <w:spacing w:after="100" w:line="270" w:lineRule="auto"/>
        <w:rPr/>
      </w:pPr>
      <w:r w:rsidRPr="4ADFB39F" w:rsidR="4ADFB39F">
        <w:rPr>
          <w:lang w:val="en-US"/>
        </w:rPr>
        <w:t>Linehan, M. M. (1993). Cognitive-Behavioral Treatment of Borderline Personality Disorder. Guilford Press.</w:t>
      </w:r>
    </w:p>
    <w:p xmlns:wp14="http://schemas.microsoft.com/office/word/2010/wordml" w14:paraId="6A2308EE" wp14:textId="77777777">
      <w:pPr>
        <w:pStyle w:val="ListParagraph"/>
        <w:numPr>
          <w:ilvl w:val="0"/>
          <w:numId w:val="2"/>
        </w:numPr>
        <w:spacing w:after="100" w:line="270"/>
      </w:pPr>
      <w:r>
        <w:t xml:space="preserve">Linehan, M. M. (2014). DBT Skills Training Manual (2nd ed.). Guilford Press.</w:t>
      </w:r>
    </w:p>
    <w:p xmlns:wp14="http://schemas.microsoft.com/office/word/2010/wordml" w14:paraId="35E694B0" wp14:textId="77777777">
      <w:pPr>
        <w:pStyle w:val="ListParagraph"/>
        <w:numPr>
          <w:ilvl w:val="0"/>
          <w:numId w:val="2"/>
        </w:numPr>
        <w:spacing w:after="100" w:line="270"/>
      </w:pPr>
      <w:r>
        <w:t xml:space="preserve">Hayes, S. C., Strosahl, K. D., &amp; Wilson, K. G. (2011). Acceptance and Commitment Therapy (2nd ed.). Guilford Press.</w:t>
      </w:r>
    </w:p>
    <w:p xmlns:wp14="http://schemas.microsoft.com/office/word/2010/wordml" w14:paraId="0ECE3278" wp14:textId="77777777">
      <w:pPr>
        <w:pStyle w:val="ListParagraph"/>
        <w:numPr>
          <w:ilvl w:val="0"/>
          <w:numId w:val="2"/>
        </w:numPr>
        <w:spacing w:after="100" w:line="270"/>
      </w:pPr>
      <w:r>
        <w:t xml:space="preserve">Harris, R. (2019). ACT Made Simple (2nd ed.). New Harbinger Publications.</w:t>
      </w:r>
    </w:p>
    <w:p xmlns:wp14="http://schemas.microsoft.com/office/word/2010/wordml" w14:paraId="2D5C7AB0" wp14:textId="77777777">
      <w:pPr>
        <w:pStyle w:val="ListParagraph"/>
        <w:numPr>
          <w:ilvl w:val="0"/>
          <w:numId w:val="2"/>
        </w:numPr>
        <w:spacing w:after="100" w:line="270"/>
      </w:pPr>
      <w:r>
        <w:t xml:space="preserve">Laing, R. D. (1960). The Divided Self. Tavistock.</w:t>
      </w:r>
    </w:p>
    <w:p xmlns:wp14="http://schemas.microsoft.com/office/word/2010/wordml" w14:paraId="2321B845" wp14:textId="77777777">
      <w:pPr>
        <w:pStyle w:val="ListParagraph"/>
        <w:numPr>
          <w:ilvl w:val="0"/>
          <w:numId w:val="2"/>
        </w:numPr>
        <w:spacing w:after="100" w:line="270"/>
      </w:pPr>
      <w:r>
        <w:t xml:space="preserve">Giddens, A. (1991). Modernity and Self-Identity. Stanford University Press.</w:t>
      </w:r>
    </w:p>
    <w:p xmlns:wp14="http://schemas.microsoft.com/office/word/2010/wordml" w14:paraId="4F373282" wp14:textId="77777777">
      <w:pPr>
        <w:pStyle w:val="ListParagraph"/>
        <w:numPr>
          <w:ilvl w:val="0"/>
          <w:numId w:val="2"/>
        </w:numPr>
        <w:spacing w:after="100" w:line="270"/>
      </w:pPr>
      <w:r>
        <w:t xml:space="preserve">Gustafsson, K., &amp; Krickel-Choi, N. C. (2020). Returning to the Roots of Ontological Security. European Journal of International Relations, 26(3), 875–895.</w:t>
      </w:r>
    </w:p>
    <w:p xmlns:wp14="http://schemas.microsoft.com/office/word/2010/wordml" w14:paraId="6B799074" wp14:textId="77777777">
      <w:pPr>
        <w:pStyle w:val="ListParagraph"/>
        <w:numPr>
          <w:ilvl w:val="0"/>
          <w:numId w:val="2"/>
        </w:numPr>
        <w:spacing w:after="100" w:line="270" w:lineRule="auto"/>
        <w:rPr/>
      </w:pPr>
      <w:r w:rsidRPr="4ADFB39F" w:rsidR="4ADFB39F">
        <w:rPr>
          <w:lang w:val="en-US"/>
        </w:rPr>
        <w:t>Cooley, J. L., Sims, J. G., Mitchell, T. B., Sanchez, C. R., Ricker, B. T., &amp; Pollina, M. M. (2026). Peer Victimization and Bullying are Potentially Traumatic Stressors Among Children. Journal of Clinical Child &amp; Adolescent Psychology.</w:t>
      </w:r>
    </w:p>
    <w:p xmlns:wp14="http://schemas.microsoft.com/office/word/2010/wordml" w14:paraId="621DF5B0" wp14:textId="77777777">
      <w:pPr>
        <w:pStyle w:val="ListParagraph"/>
        <w:numPr>
          <w:ilvl w:val="0"/>
          <w:numId w:val="2"/>
        </w:numPr>
        <w:spacing w:after="100" w:line="270"/>
      </w:pPr>
      <w:r>
        <w:t xml:space="preserve">Sims, J. G., &amp; Cooley, J. L. (2025). Understanding What Characteristics of Peer Victimization and Bullying Predict Posttraumatic Stress Symptoms Among Children. Journal of Interpersonal Violence.</w:t>
      </w:r>
    </w:p>
    <w:p xmlns:wp14="http://schemas.microsoft.com/office/word/2010/wordml" w14:paraId="47AC2F7F" wp14:textId="77777777">
      <w:pPr>
        <w:pStyle w:val="ListParagraph"/>
        <w:numPr>
          <w:ilvl w:val="0"/>
          <w:numId w:val="2"/>
        </w:numPr>
        <w:spacing w:after="100" w:line="270" w:lineRule="auto"/>
        <w:rPr/>
      </w:pPr>
      <w:r w:rsidRPr="4ADFB39F" w:rsidR="4ADFB39F">
        <w:rPr>
          <w:lang w:val="en-US"/>
        </w:rPr>
        <w:t>Idsoe, T., Vaillancourt, T., Dyregrov, A., Hagen, K. A., Ogden, T., &amp; Nærde, A. (2021). Bullying Victimization and Trauma. Frontiers in Psychiatry, 11, 480353.</w:t>
      </w:r>
    </w:p>
    <w:p xmlns:wp14="http://schemas.microsoft.com/office/word/2010/wordml" w14:paraId="1852520B" wp14:textId="77777777">
      <w:pPr>
        <w:pStyle w:val="ListParagraph"/>
        <w:numPr>
          <w:ilvl w:val="0"/>
          <w:numId w:val="2"/>
        </w:numPr>
        <w:spacing w:after="100" w:line="270"/>
      </w:pPr>
      <w:r>
        <w:t xml:space="preserve">van der Kolk, B. A. (2005). Developmental Trauma Disorder. Psychiatric Annals, 35(5), 401–408.</w:t>
      </w:r>
    </w:p>
    <w:p xmlns:wp14="http://schemas.microsoft.com/office/word/2010/wordml" w14:paraId="6C9D64B9" wp14:textId="77777777">
      <w:pPr>
        <w:pStyle w:val="ListParagraph"/>
        <w:numPr>
          <w:ilvl w:val="0"/>
          <w:numId w:val="2"/>
        </w:numPr>
        <w:spacing w:after="100" w:line="270"/>
      </w:pPr>
      <w:r>
        <w:t xml:space="preserve">van der Kolk, B. A. (2014). The Body Keeps the Score. Viking.</w:t>
      </w:r>
    </w:p>
    <w:p xmlns:wp14="http://schemas.microsoft.com/office/word/2010/wordml" w14:paraId="02017863" wp14:textId="77777777">
      <w:pPr>
        <w:pStyle w:val="ListParagraph"/>
        <w:numPr>
          <w:ilvl w:val="0"/>
          <w:numId w:val="2"/>
        </w:numPr>
        <w:spacing w:after="100" w:line="270" w:lineRule="auto"/>
        <w:rPr/>
      </w:pPr>
      <w:r w:rsidRPr="4ADFB39F" w:rsidR="4ADFB39F">
        <w:rPr>
          <w:lang w:val="en-US"/>
        </w:rPr>
        <w:t>Cloitre, M., Stolbach, B. C., Herman, J. L., van der Kolk, B., Pynoos, R., Wang, J., &amp; Petkova, E. (2009). A Developmental Approach to Complex PTSD. Journal of Traumatic Stress, 22(5), 399–408.</w:t>
      </w:r>
    </w:p>
    <w:p xmlns:wp14="http://schemas.microsoft.com/office/word/2010/wordml" w14:paraId="722C8E28" wp14:textId="77777777">
      <w:pPr>
        <w:pStyle w:val="ListParagraph"/>
        <w:numPr>
          <w:ilvl w:val="0"/>
          <w:numId w:val="2"/>
        </w:numPr>
        <w:spacing w:after="100" w:line="270" w:lineRule="auto"/>
        <w:rPr/>
      </w:pPr>
      <w:r w:rsidRPr="4ADFB39F" w:rsidR="4ADFB39F">
        <w:rPr>
          <w:lang w:val="en-US"/>
        </w:rPr>
        <w:t>Cloitre, M., Cohen, L. R., &amp; Koenen, K. C. (2006). Treating Survivors of Childhood Abuse. Guilford Press.</w:t>
      </w:r>
    </w:p>
    <w:p xmlns:wp14="http://schemas.microsoft.com/office/word/2010/wordml" w14:paraId="110FFD37" wp14:textId="77777777">
      <w:pPr>
        <w:spacing w:after="200"/>
      </w:pPr>
    </w:p>
    <w:p xmlns:wp14="http://schemas.microsoft.com/office/word/2010/wordml" w14:paraId="7C5BB8F2" wp14:textId="77777777">
      <w:pPr>
        <w:spacing w:after="0"/>
      </w:pPr>
      <w:r>
        <w:rPr>
          <w:i/>
          <w:iCs/>
          <w:color w:val="5B6670"/>
          <w:sz w:val="16"/>
          <w:szCs w:val="16"/>
        </w:rPr>
        <w:t>Annotated Bibliography — Cultivating Wonder as a Stabilizing and Choice-Restoring Resource · 20 August 2026 · Research synthesis: Pip · Source verification: Locus · Compiled 20 August 2026 Knapp</w:t>
      </w:r>
    </w:p>
    <w:sectPr>
      <w:headerReference w:type="default" r:id="rId7"/>
      <w:footerReference w:type="default" r:id="rId8"/>
      <w:pgSz w:w="12240" w:h="15840" w:orient="portrait"/>
      <w:pgMar w:top="1350" w:right="1440" w:bottom="135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5B6670"/>
        <w:sz w:val="15"/>
        <w:szCs w:val="15"/>
      </w:rPr>
      <w:t xml:space="preserve">Page </w:t>
    </w:r>
    <w:r>
      <w:rPr>
        <w:color w:val="5B6670"/>
        <w:sz w:val="15"/>
        <w:szCs w:val="15"/>
      </w:rPr>
      <w:fldChar w:fldCharType="begin"/>
    </w:r>
    <w:r>
      <w:rPr>
        <w:color w:val="5B6670"/>
        <w:sz w:val="15"/>
        <w:szCs w:val="15"/>
      </w:rPr>
      <w:instrText xml:space="preserve">PAGE</w:instrText>
    </w:r>
    <w:r>
      <w:rPr>
        <w:color w:val="5B6670"/>
        <w:sz w:val="15"/>
        <w:szCs w:val="15"/>
      </w:rPr>
      <w:fldChar w:fldCharType="separate"/>
    </w:r>
    <w:r>
      <w:rPr>
        <w:color w:val="5B6670"/>
        <w:sz w:val="15"/>
        <w:szCs w:val="15"/>
      </w:rPr>
      <w:fldChar w:fldCharType="end"/>
    </w:r>
    <w:r>
      <w:rPr>
        <w:color w:val="5B6670"/>
        <w:sz w:val="15"/>
        <w:szCs w:val="15"/>
      </w:rPr>
      <w:t xml:space="preserve"> of </w:t>
    </w:r>
    <w:r>
      <w:rPr>
        <w:color w:val="5B6670"/>
        <w:sz w:val="15"/>
        <w:szCs w:val="15"/>
      </w:rPr>
      <w:fldChar w:fldCharType="begin"/>
    </w:r>
    <w:r>
      <w:rPr>
        <w:color w:val="5B6670"/>
        <w:sz w:val="15"/>
        <w:szCs w:val="15"/>
      </w:rPr>
      <w:instrText xml:space="preserve">NUMPAGES</w:instrText>
    </w:r>
    <w:r>
      <w:rPr>
        <w:color w:val="5B6670"/>
        <w:sz w:val="15"/>
        <w:szCs w:val="15"/>
      </w:rPr>
      <w:fldChar w:fldCharType="separate"/>
    </w:r>
    <w:r>
      <w:rPr>
        <w:color w:val="5B667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CF18D41" wp14:textId="77777777">
    <w:pPr>
      <w:jc w:val="right"/>
    </w:pPr>
    <w:r>
      <w:rPr>
        <w:i/>
        <w:iCs/>
        <w:color w:val="5B6670"/>
        <w:sz w:val="15"/>
        <w:szCs w:val="15"/>
      </w:rPr>
      <w:t xml:space="preserve">Cultivating Wonder as a Stabilizing Resource — Candidate Researchers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d5f786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0a95d0c"/>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F371C39"/>
  <w15:docId w15:val="{05D2C806-92E8-4A16-893A-919FA8A9DAB8}"/>
  <w:rsids>
    <w:rsidRoot w:val="4ADFB39F"/>
    <w:rsid w:val="4ADFB39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1F3352" w:sz="6" w:space="4"/>
      </w:pBdr>
      <w:spacing w:before="320" w:after="200"/>
      <w:outlineLvl w:val="0"/>
    </w:pPr>
    <w:rPr>
      <w:rFonts w:ascii="Arial" w:hAnsi="Arial" w:eastAsia="Arial" w:cs="Arial"/>
      <w:b/>
      <w:bCs/>
      <w:color w:val="1F3352"/>
      <w:sz w:val="30"/>
      <w:szCs w:val="30"/>
    </w:rPr>
  </w:style>
  <w:style w:type="paragraph" w:styleId="Heading2">
    <w:name w:val="heading 20"/>
    <w:basedOn w:val="Normal"/>
    <w:next w:val="Normal"/>
    <w:qFormat/>
    <w:pPr>
      <w:spacing w:before="220" w:after="140"/>
      <w:outlineLvl w:val="1"/>
    </w:pPr>
    <w:rPr>
      <w:rFonts w:ascii="Arial" w:hAnsi="Arial" w:eastAsia="Arial" w:cs="Arial"/>
      <w:b/>
      <w:bCs/>
      <w:color w:val="5A4A72"/>
      <w:sz w:val="25"/>
      <w:szCs w:val="25"/>
    </w:rPr>
  </w:style>
  <w:style w:type="paragraph" w:styleId="Heading3">
    <w:name w:val="heading 30"/>
    <w:basedOn w:val="Normal"/>
    <w:next w:val="Normal"/>
    <w:qFormat/>
    <w:pPr>
      <w:spacing w:before="200" w:after="80"/>
      <w:outlineLvl w:val="2"/>
    </w:pPr>
    <w:rPr>
      <w:rFonts w:ascii="Arial" w:hAnsi="Arial" w:eastAsia="Arial" w:cs="Arial"/>
      <w:b/>
      <w:bCs/>
      <w:color w:val="2C6E6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Cultivating Wonder as a Stabilizing and Choice-Restoring Resource — Candidate Researchers</dc:title>
  <dc:creator>Knapp, Dallas</dc:creator>
  <lastModifiedBy>Knapp, Dallas</lastModifiedBy>
  <revision>2</revision>
  <dcterms:created xsi:type="dcterms:W3CDTF">2026-08-20T19:08:40.5470193Z</dcterms:created>
  <dcterms:modified xsi:type="dcterms:W3CDTF">2026-08-20T19:09:20.5926967Z</dcterms:modified>
</coreProperties>
</file>

<file path=docProps/custom.xml><?xml version="1.0" encoding="utf-8"?>
<Properties xmlns="http://schemas.openxmlformats.org/officeDocument/2006/custom-properties" xmlns:vt="http://schemas.openxmlformats.org/officeDocument/2006/docPropsVTypes"/>
</file>