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80" w:hRule="exact"/>
        </w:trPr>
        <w:tc>
          <w:tcPr>
            <w:tcW w:type="dxa" w:w="10466"/>
            <w:tcBorders>
              <w:top w:val="single" w:color="e63946" w:sz="4"/>
              <w:left w:val="single" w:color="e63946" w:sz="4"/>
              <w:bottom w:val="single" w:color="e63946" w:sz="4"/>
              <w:right w:val="single" w:color="e63946" w:sz="4"/>
            </w:tcBorders>
            <w:shd w:fill="e63946" w:val="clear"/>
          </w:tcPr>
          <w:p>
            <w:pPr>
              <w:spacing w:after="0" w:before="0"/>
            </w:pPr>
          </w:p>
        </w:tc>
      </w:tr>
      <w:tr>
        <w:tc>
          <w:tcPr>
            <w:tcW w:type="dxa" w:w="10466"/>
            <w:tcBorders>
              <w:top w:val="single" w:color="1d3557" w:sz="4"/>
              <w:left w:val="single" w:color="1d3557" w:sz="4"/>
              <w:bottom w:val="single" w:color="1d3557" w:sz="4"/>
              <w:right w:val="single" w:color="1d3557" w:sz="4"/>
            </w:tcBorders>
            <w:shd w:fill="1d3557" w:val="clear"/>
            <w:tcMar>
              <w:top w:type="dxa" w:w="160"/>
              <w:left w:type="dxa" w:w="200"/>
              <w:bottom w:type="dxa" w:w="140"/>
              <w:right w:type="dxa" w:w="200"/>
            </w:tcMar>
          </w:tcPr>
          <w:p>
            <w:pPr>
              <w:spacing w:after="60" w:before="0"/>
            </w:pPr>
            <w:r>
              <w:rPr>
                <w:rFonts w:ascii="Courier New" w:cs="Courier New" w:eastAsia="Courier New" w:hAnsi="Courier New"/>
                <w:color w:val="457b9d"/>
                <w:sz w:val="15"/>
                <w:szCs w:val="15"/>
              </w:rPr>
              <w:t xml:space="preserve">AXIOM CYBERSECURITY  ·  BEE PIES &amp; PASTIES ENGAGEMENT  ·  COM5406 CYBER SECURITY</w:t>
            </w:r>
          </w:p>
          <w:p>
            <w:pPr>
              <w:spacing w:after="40" w:before="0"/>
            </w:pPr>
            <w:r>
              <w:rPr>
                <w:rFonts w:ascii="Arial" w:cs="Arial" w:eastAsia="Arial" w:hAnsi="Arial"/>
                <w:b/>
                <w:bCs/>
                <w:color w:val="f1faee"/>
                <w:sz w:val="40"/>
                <w:szCs w:val="40"/>
              </w:rPr>
              <w:t xml:space="preserve">Session 5A Worksheet</w:t>
            </w:r>
          </w:p>
          <w:p>
            <w:pPr>
              <w:spacing w:after="100" w:before="0"/>
            </w:pPr>
            <w:r>
              <w:rPr>
                <w:rFonts w:ascii="Arial" w:cs="Arial" w:eastAsia="Arial" w:hAnsi="Arial"/>
                <w:i/>
                <w:iCs/>
                <w:color w:val="457b9d"/>
                <w:sz w:val="18"/>
                <w:szCs w:val="18"/>
              </w:rPr>
              <w:t xml:space="preserve">Synthesis and Defence  ·  Week 5  ·  HE Level 5</w:t>
            </w:r>
          </w:p>
          <w:p>
            <w:pPr>
              <w:pBdr>
                <w:top w:val="single" w:color="457b9d" w:sz="4"/>
              </w:pBdr>
              <w:spacing w:after="0" w:before="0"/>
            </w:pPr>
            <w:r>
              <w:rPr>
                <w:rFonts w:ascii="Courier New" w:cs="Courier New" w:eastAsia="Courier New" w:hAnsi="Courier New"/>
                <w:color w:val="457b9d"/>
                <w:sz w:val="15"/>
                <w:szCs w:val="15"/>
              </w:rPr>
              <w:t xml:space="preserve">Module  </w:t>
            </w:r>
            <w:r>
              <w:rPr>
                <w:rFonts w:ascii="Courier New" w:cs="Courier New" w:eastAsia="Courier New" w:hAnsi="Courier New"/>
                <w:b/>
                <w:bCs/>
                <w:color w:val="f1faee"/>
                <w:sz w:val="15"/>
                <w:szCs w:val="15"/>
              </w:rPr>
              <w:t xml:space="preserve">COM5406  </w:t>
            </w:r>
            <w:r>
              <w:rPr>
                <w:rFonts w:ascii="Courier New" w:cs="Courier New" w:eastAsia="Courier New" w:hAnsi="Courier New"/>
                <w:color w:val="457b9d"/>
                <w:sz w:val="15"/>
                <w:szCs w:val="15"/>
              </w:rPr>
              <w:t xml:space="preserve">  ·  Case ref  </w:t>
            </w:r>
            <w:r>
              <w:rPr>
                <w:rFonts w:ascii="Courier New" w:cs="Courier New" w:eastAsia="Courier New" w:hAnsi="Courier New"/>
                <w:b/>
                <w:bCs/>
                <w:color w:val="f1faee"/>
                <w:sz w:val="15"/>
                <w:szCs w:val="15"/>
              </w:rPr>
              <w:t xml:space="preserve">COM5406/AY2025–26  </w:t>
            </w:r>
            <w:r>
              <w:rPr>
                <w:rFonts w:ascii="Courier New" w:cs="Courier New" w:eastAsia="Courier New" w:hAnsi="Courier New"/>
                <w:color w:val="457b9d"/>
                <w:sz w:val="15"/>
                <w:szCs w:val="15"/>
              </w:rPr>
              <w:t xml:space="preserve">  ·  Session  </w:t>
            </w:r>
            <w:r>
              <w:rPr>
                <w:rFonts w:ascii="Courier New" w:cs="Courier New" w:eastAsia="Courier New" w:hAnsi="Courier New"/>
                <w:b/>
                <w:bCs/>
                <w:color w:val="f1faee"/>
                <w:sz w:val="15"/>
                <w:szCs w:val="15"/>
              </w:rPr>
              <w:t xml:space="preserve">5A of 10  </w:t>
            </w:r>
            <w:r>
              <w:rPr>
                <w:rFonts w:ascii="Courier New" w:cs="Courier New" w:eastAsia="Courier New" w:hAnsi="Courier New"/>
                <w:color w:val="457b9d"/>
                <w:sz w:val="15"/>
                <w:szCs w:val="15"/>
              </w:rPr>
              <w:t xml:space="preserve">  ·  Classification  </w:t>
            </w:r>
            <w:r>
              <w:rPr>
                <w:rFonts w:ascii="Courier New" w:cs="Courier New" w:eastAsia="Courier New" w:hAnsi="Courier New"/>
                <w:b/>
                <w:bCs/>
                <w:color w:val="f1faee"/>
                <w:sz w:val="15"/>
                <w:szCs w:val="15"/>
              </w:rPr>
              <w:t xml:space="preserve">RESTRICTED — CLIENT CONFIDENTIAL</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500"/>
        <w:gridCol w:w="2983"/>
        <w:gridCol w:w="2983"/>
      </w:tblGrid>
      <w:tr>
        <w:tc>
          <w:tcPr>
            <w:tcW w:type="dxa" w:w="4500"/>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40" w:before="0"/>
            </w:pPr>
            <w:r>
              <w:rPr>
                <w:rFonts w:ascii="Courier New" w:cs="Courier New" w:eastAsia="Courier New" w:hAnsi="Courier New"/>
                <w:color w:val="7a92a8"/>
                <w:sz w:val="13"/>
                <w:szCs w:val="13"/>
              </w:rPr>
              <w:t xml:space="preserve">CONSULTANT NAME</w:t>
            </w:r>
          </w:p>
          <w:p>
            <w:pPr>
              <w:pBdr>
                <w:bottom w:val="single" w:color="0f1923" w:sz="6"/>
              </w:pBdr>
              <w:spacing w:after="80" w:before="0"/>
            </w:pPr>
            <w:r>
              <w:rPr>
                <w:rFonts w:ascii="Arial" w:cs="Arial" w:eastAsia="Arial" w:hAnsi="Arial"/>
                <w:color w:val="0f1923"/>
                <w:sz w:val="18"/>
                <w:szCs w:val="18"/>
              </w:rPr>
              <w:t xml:space="preserve"/>
            </w:r>
          </w:p>
        </w:tc>
        <w:tc>
          <w:tcPr>
            <w:tcW w:type="dxa" w:w="2983"/>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40" w:before="0"/>
            </w:pPr>
            <w:r>
              <w:rPr>
                <w:rFonts w:ascii="Courier New" w:cs="Courier New" w:eastAsia="Courier New" w:hAnsi="Courier New"/>
                <w:color w:val="7a92a8"/>
                <w:sz w:val="13"/>
                <w:szCs w:val="13"/>
              </w:rPr>
              <w:t xml:space="preserve">GROUP NUMBER</w:t>
            </w:r>
          </w:p>
          <w:p>
            <w:pPr>
              <w:pBdr>
                <w:bottom w:val="single" w:color="0f1923" w:sz="6"/>
              </w:pBdr>
              <w:spacing w:after="80" w:before="0"/>
            </w:pPr>
            <w:r>
              <w:rPr>
                <w:rFonts w:ascii="Arial" w:cs="Arial" w:eastAsia="Arial" w:hAnsi="Arial"/>
                <w:color w:val="0f1923"/>
                <w:sz w:val="18"/>
                <w:szCs w:val="18"/>
              </w:rPr>
              <w:t xml:space="preserve"/>
            </w:r>
          </w:p>
        </w:tc>
        <w:tc>
          <w:tcPr>
            <w:tcW w:type="dxa" w:w="2983"/>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40" w:before="0"/>
            </w:pPr>
            <w:r>
              <w:rPr>
                <w:rFonts w:ascii="Courier New" w:cs="Courier New" w:eastAsia="Courier New" w:hAnsi="Courier New"/>
                <w:color w:val="7a92a8"/>
                <w:sz w:val="13"/>
                <w:szCs w:val="13"/>
              </w:rPr>
              <w:t xml:space="preserve">ROLE</w:t>
            </w:r>
          </w:p>
          <w:p>
            <w:pPr>
              <w:pBdr>
                <w:bottom w:val="single" w:color="0f1923" w:sz="6"/>
              </w:pBdr>
              <w:spacing w:after="80" w:before="0"/>
            </w:pPr>
            <w:r>
              <w:rPr>
                <w:rFonts w:ascii="Arial" w:cs="Arial" w:eastAsia="Arial" w:hAnsi="Arial"/>
                <w:color w:val="0f1923"/>
                <w:sz w:val="18"/>
                <w:szCs w:val="18"/>
              </w:rPr>
              <w:t xml:space="preserve"/>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
        <w:gridCol w:w="10406"/>
      </w:tblGrid>
      <w:tr>
        <w:tc>
          <w:tcPr>
            <w:tcW w:type="dxa" w:w="60"/>
            <w:tcBorders>
              <w:top w:val="single" w:color="457b9d" w:sz="4"/>
              <w:left w:val="single" w:color="457b9d" w:sz="4"/>
              <w:bottom w:val="single" w:color="457b9d" w:sz="4"/>
              <w:right w:val="single" w:color="457b9d" w:sz="4"/>
            </w:tcBorders>
            <w:shd w:fill="457b9d" w:val="clear"/>
          </w:tcPr>
          <w:p>
            <w:pPr>
              <w:spacing w:after="60" w:before="60"/>
            </w:pPr>
            <w:r>
              <w:rPr>
                <w:rFonts w:ascii="Arial" w:cs="Arial" w:eastAsia="Arial" w:hAnsi="Arial"/>
                <w:color w:val="0f1923"/>
                <w:sz w:val="18"/>
                <w:szCs w:val="18"/>
              </w:rPr>
              <w:t xml:space="preserve"/>
            </w:r>
          </w:p>
        </w:tc>
        <w:tc>
          <w:tcPr>
            <w:tcW w:type="dxa" w:w="10406"/>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0" w:before="0"/>
            </w:pPr>
            <w:r>
              <w:rPr>
                <w:rFonts w:ascii="Arial" w:cs="Arial" w:eastAsia="Arial" w:hAnsi="Arial"/>
                <w:i/>
                <w:iCs/>
                <w:color w:val="1d3557"/>
                <w:sz w:val="17"/>
                <w:szCs w:val="17"/>
              </w:rPr>
              <w:t xml:space="preserve">This is the final teaching session. By the end of today you will have committed the last substantive updates to your group repository before the submission deadline. This worksheet is your working document for the session — fill it in as you go. The tables and analysis you produce here are the repository artefacts.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1d3557" w:sz="4"/>
              <w:left w:val="single" w:color="1d3557" w:sz="4"/>
              <w:bottom w:val="single" w:color="1d3557" w:sz="4"/>
              <w:right w:val="single" w:color="1d3557" w:sz="4"/>
            </w:tcBorders>
            <w:shd w:fill="1d3557" w:val="clear"/>
            <w:tcMar>
              <w:top w:type="dxa" w:w="100"/>
              <w:left w:type="dxa" w:w="150"/>
              <w:bottom w:type="dxa" w:w="100"/>
              <w:right w:type="dxa" w:w="150"/>
            </w:tcMar>
          </w:tcPr>
          <w:p>
            <w:pPr>
              <w:spacing w:after="0" w:before="0"/>
            </w:pPr>
            <w:r>
              <w:rPr>
                <w:rFonts w:ascii="Courier New" w:cs="Courier New" w:eastAsia="Courier New" w:hAnsi="Courier New"/>
                <w:color w:val="457b9d"/>
                <w:sz w:val="14"/>
                <w:szCs w:val="14"/>
              </w:rPr>
              <w:t xml:space="preserve">PART 1  ·  </w:t>
            </w:r>
            <w:r>
              <w:rPr>
                <w:rFonts w:ascii="Arial" w:cs="Arial" w:eastAsia="Arial" w:hAnsi="Arial"/>
                <w:b/>
                <w:bCs/>
                <w:color w:val="f1faee"/>
                <w:sz w:val="22"/>
                <w:szCs w:val="22"/>
              </w:rPr>
              <w:t xml:space="preserve">Full-Stack STRIDE Synthesis</w:t>
            </w:r>
            <w:r>
              <w:rPr>
                <w:rFonts w:ascii="Courier New" w:cs="Courier New" w:eastAsia="Courier New" w:hAnsi="Courier New"/>
                <w:color w:val="457b9d"/>
                <w:sz w:val="14"/>
                <w:szCs w:val="14"/>
              </w:rPr>
              <w:t xml:space="preserve">  ·  00:00 – 00:50</w:t>
            </w:r>
          </w:p>
        </w:tc>
      </w:tr>
    </w:tbl>
    <w:p>
      <w:pPr>
        <w:pBdr>
          <w:bottom w:val="single" w:color="eef4f9" w:sz="4"/>
        </w:pBdr>
        <w:spacing w:after="60" w:before="160"/>
      </w:pPr>
      <w:r>
        <w:rPr>
          <w:rFonts w:ascii="Courier New" w:cs="Courier New" w:eastAsia="Courier New" w:hAnsi="Courier New"/>
          <w:b/>
          <w:bCs/>
          <w:color w:val="e63946"/>
          <w:sz w:val="15"/>
          <w:szCs w:val="15"/>
        </w:rPr>
        <w:t xml:space="preserve">1.1 — The Hypothesis Board  (20 min, group)</w:t>
      </w:r>
    </w:p>
    <w:p>
      <w:pPr>
        <w:spacing w:after="80" w:before="60"/>
      </w:pPr>
      <w:r>
        <w:rPr>
          <w:rFonts w:ascii="Arial" w:cs="Arial" w:eastAsia="Arial" w:hAnsi="Arial"/>
          <w:color w:val="0f1923"/>
          <w:sz w:val="18"/>
          <w:szCs w:val="18"/>
        </w:rPr>
        <w:t xml:space="preserve">For every significant artefact your group has documented across all five sessions, label it </w:t>
      </w:r>
      <w:r>
        <w:rPr>
          <w:rFonts w:ascii="Arial" w:cs="Arial" w:eastAsia="Arial" w:hAnsi="Arial"/>
          <w:b/>
          <w:bCs/>
          <w:color w:val="e63946"/>
          <w:sz w:val="18"/>
          <w:szCs w:val="18"/>
        </w:rPr>
        <w:t xml:space="preserve">H-EXT</w:t>
      </w:r>
      <w:r>
        <w:rPr>
          <w:rFonts w:ascii="Arial" w:cs="Arial" w:eastAsia="Arial" w:hAnsi="Arial"/>
          <w:color w:val="0f1923"/>
          <w:sz w:val="18"/>
          <w:szCs w:val="18"/>
        </w:rPr>
        <w:t xml:space="preserve"> (consistent with an external attacker), </w:t>
      </w:r>
      <w:r>
        <w:rPr>
          <w:rFonts w:ascii="Arial" w:cs="Arial" w:eastAsia="Arial" w:hAnsi="Arial"/>
          <w:b/>
          <w:bCs/>
          <w:color w:val="457b9d"/>
          <w:sz w:val="18"/>
          <w:szCs w:val="18"/>
        </w:rPr>
        <w:t xml:space="preserve">H-INT</w:t>
      </w:r>
      <w:r>
        <w:rPr>
          <w:rFonts w:ascii="Arial" w:cs="Arial" w:eastAsia="Arial" w:hAnsi="Arial"/>
          <w:color w:val="0f1923"/>
          <w:sz w:val="18"/>
          <w:szCs w:val="18"/>
        </w:rPr>
        <w:t xml:space="preserve"> (consistent with an internal actor), or </w:t>
      </w:r>
      <w:r>
        <w:rPr>
          <w:rFonts w:ascii="Arial" w:cs="Arial" w:eastAsia="Arial" w:hAnsi="Arial"/>
          <w:b/>
          <w:bCs/>
          <w:color w:val="7a92a8"/>
          <w:sz w:val="18"/>
          <w:szCs w:val="18"/>
        </w:rPr>
        <w:t xml:space="preserve">BOTH</w:t>
      </w:r>
      <w:r>
        <w:rPr>
          <w:rFonts w:ascii="Arial" w:cs="Arial" w:eastAsia="Arial" w:hAnsi="Arial"/>
          <w:color w:val="0f1923"/>
          <w:sz w:val="18"/>
          <w:szCs w:val="18"/>
        </w:rPr>
        <w:t xml:space="preserve"> (consistent with either). Justify each label in one sentence. Honest ambiguity is a finding.</w:t>
      </w:r>
    </w:p>
    <w:p>
      <w:pPr>
        <w:spacing w:after="80" w:before="40"/>
      </w:pPr>
      <w:r>
        <w:rPr>
          <w:rFonts w:ascii="Arial" w:cs="Arial" w:eastAsia="Arial" w:hAnsi="Arial"/>
          <w:i/>
          <w:iCs/>
          <w:color w:val="7a92a8"/>
          <w:sz w:val="16"/>
          <w:szCs w:val="16"/>
        </w:rPr>
        <w:t xml:space="preserve">Complete as a group. The output is committed as a repository artefact. Add rows as needed.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2060"/>
        <w:gridCol w:w="580"/>
        <w:gridCol w:w="580"/>
        <w:gridCol w:w="580"/>
        <w:gridCol w:w="4766"/>
      </w:tblGrid>
      <w:tr>
        <w:trPr>
          <w:tblHeader/>
        </w:trPr>
        <w:tc>
          <w:tcPr>
            <w:tcW w:type="dxa" w:w="19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Artefact</w:t>
            </w:r>
          </w:p>
        </w:tc>
        <w:tc>
          <w:tcPr>
            <w:tcW w:type="dxa" w:w="206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Location / command</w:t>
            </w:r>
          </w:p>
        </w:tc>
        <w:tc>
          <w:tcPr>
            <w:tcW w:type="dxa" w:w="58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H-EXT</w:t>
            </w:r>
          </w:p>
        </w:tc>
        <w:tc>
          <w:tcPr>
            <w:tcW w:type="dxa" w:w="58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H-INT</w:t>
            </w:r>
          </w:p>
        </w:tc>
        <w:tc>
          <w:tcPr>
            <w:tcW w:type="dxa" w:w="58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BOTH</w:t>
            </w:r>
          </w:p>
        </w:tc>
        <w:tc>
          <w:tcPr>
            <w:tcW w:type="dxa" w:w="476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Justification (one sentence)</w:t>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nginx access.log — PUT 02:14:11, 405</w:t>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/var/log/nginx/access.log</w:t>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DHCP lease table</w:t>
            </w:r>
          </w:p>
        </w:tc>
        <w:tc>
          <w:tcPr>
            <w:tcW w:type="dxa" w:w="206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/etc/dhcp/leases/bakery-lan.txt</w:t>
            </w:r>
          </w:p>
        </w:tc>
        <w:tc>
          <w:tcPr>
            <w:tcW w:type="dxa" w:w="580"/>
            <w:tcBorders>
              <w:top w:val="single" w:color="c8d8e8" w:sz="4"/>
              <w:left w:val="single" w:color="c8d8e8" w:sz="4"/>
              <w:bottom w:val="single" w:color="c8d8e8" w:sz="4"/>
              <w:right w:val="single" w:color="c8d8e8" w:sz="4"/>
            </w:tcBorders>
            <w:shd w:fill="fdeaea"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6eef5"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eeeeee"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Git commit history (commits #10–13)</w:t>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Gitea: bakery-app → commits</w:t>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bash_history — maureen account</w:t>
            </w:r>
          </w:p>
        </w:tc>
        <w:tc>
          <w:tcPr>
            <w:tcW w:type="dxa" w:w="206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/home/maureen/.bash_history</w:t>
            </w:r>
          </w:p>
        </w:tc>
        <w:tc>
          <w:tcPr>
            <w:tcW w:type="dxa" w:w="580"/>
            <w:tcBorders>
              <w:top w:val="single" w:color="c8d8e8" w:sz="4"/>
              <w:left w:val="single" w:color="c8d8e8" w:sz="4"/>
              <w:bottom w:val="single" w:color="c8d8e8" w:sz="4"/>
              <w:right w:val="single" w:color="c8d8e8" w:sz="4"/>
            </w:tcBorders>
            <w:shd w:fill="fdeaea"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6eef5"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eeeeee"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auth.log — sudo entries 01:47</w:t>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/var/log/auth.log</w:t>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Database — retirement_planning table</w:t>
            </w:r>
          </w:p>
        </w:tc>
        <w:tc>
          <w:tcPr>
            <w:tcW w:type="dxa" w:w="206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code-server / SQLite</w:t>
            </w:r>
          </w:p>
        </w:tc>
        <w:tc>
          <w:tcPr>
            <w:tcW w:type="dxa" w:w="580"/>
            <w:tcBorders>
              <w:top w:val="single" w:color="c8d8e8" w:sz="4"/>
              <w:left w:val="single" w:color="c8d8e8" w:sz="4"/>
              <w:bottom w:val="single" w:color="c8d8e8" w:sz="4"/>
              <w:right w:val="single" w:color="c8d8e8" w:sz="4"/>
            </w:tcBorders>
            <w:shd w:fill="fdeaea"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6eef5"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eeeeee"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Downloads directory contents</w:t>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/home/maureen/Downloads/</w:t>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barmbox_capture.pcap — 3 key packets</w:t>
            </w:r>
          </w:p>
        </w:tc>
        <w:tc>
          <w:tcPr>
            <w:tcW w:type="dxa" w:w="206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Guacamole → Wireshark</w:t>
            </w:r>
          </w:p>
        </w:tc>
        <w:tc>
          <w:tcPr>
            <w:tcW w:type="dxa" w:w="580"/>
            <w:tcBorders>
              <w:top w:val="single" w:color="c8d8e8" w:sz="4"/>
              <w:left w:val="single" w:color="c8d8e8" w:sz="4"/>
              <w:bottom w:val="single" w:color="c8d8e8" w:sz="4"/>
              <w:right w:val="single" w:color="c8d8e8" w:sz="4"/>
            </w:tcBorders>
            <w:shd w:fill="fdeaea"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6eef5"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eeeeee"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6"/>
                <w:szCs w:val="16"/>
              </w:rPr>
              <w:t xml:space="preserve">.env — git history only</w:t>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Courier New" w:cs="Courier New" w:eastAsia="Courier New" w:hAnsi="Courier New"/>
                <w:b/>
                <w:bCs/>
                <w:color w:val="1d3557"/>
                <w:sz w:val="15"/>
                <w:szCs w:val="15"/>
              </w:rPr>
              <w:t xml:space="preserve">git log -p --all -- .env</w:t>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c>
          <w:tcPr>
            <w:tcW w:type="dxa" w:w="206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c>
          <w:tcPr>
            <w:tcW w:type="dxa" w:w="580"/>
            <w:tcBorders>
              <w:top w:val="single" w:color="c8d8e8" w:sz="4"/>
              <w:left w:val="single" w:color="c8d8e8" w:sz="4"/>
              <w:bottom w:val="single" w:color="c8d8e8" w:sz="4"/>
              <w:right w:val="single" w:color="c8d8e8" w:sz="4"/>
            </w:tcBorders>
            <w:shd w:fill="fdeaea"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6eef5"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eeeeee"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200" w:before="0"/>
            </w:pPr>
            <w:r>
              <w:rPr>
                <w:rFonts w:ascii="Arial" w:cs="Arial" w:eastAsia="Arial" w:hAnsi="Arial"/>
                <w:color w:val="0f1923"/>
                <w:sz w:val="18"/>
                <w:szCs w:val="18"/>
              </w:rPr>
              <w:t xml:space="preserve"/>
            </w:r>
          </w:p>
        </w:tc>
      </w:tr>
      <w:tr>
        <w:tc>
          <w:tcPr>
            <w:tcW w:type="dxa" w:w="19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c>
          <w:tcPr>
            <w:tcW w:type="dxa" w:w="206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60" w:before="0"/>
            </w:pPr>
            <w:r>
              <w:rPr>
                <w:rFonts w:ascii="Arial" w:cs="Arial" w:eastAsia="Arial" w:hAnsi="Arial"/>
                <w:color w:val="0f1923"/>
                <w:sz w:val="18"/>
                <w:szCs w:val="18"/>
              </w:rPr>
              <w:t xml:space="preserve"/>
            </w:r>
          </w:p>
        </w:tc>
        <w:tc>
          <w:tcPr>
            <w:tcW w:type="dxa" w:w="580"/>
            <w:tcBorders>
              <w:top w:val="single" w:color="c8d8e8" w:sz="4"/>
              <w:left w:val="single" w:color="c8d8e8" w:sz="4"/>
              <w:bottom w:val="single" w:color="c8d8e8" w:sz="4"/>
              <w:right w:val="single" w:color="c8d8e8" w:sz="4"/>
            </w:tcBorders>
            <w:shd w:fill="fef5f5" w:val="clear"/>
            <w:tcMar>
              <w:top w:type="dxa" w:w="70"/>
              <w:left w:type="dxa" w:w="80"/>
              <w:bottom w:type="dxa" w:w="70"/>
              <w:right w:type="dxa" w:w="80"/>
            </w:tcMar>
          </w:tcPr>
          <w:p>
            <w:pPr>
              <w:spacing w:after="0" w:before="0"/>
              <w:jc w:val="center"/>
            </w:pPr>
            <w:r>
              <w:rPr>
                <w:rFonts w:ascii="Arial" w:cs="Arial" w:eastAsia="Arial" w:hAnsi="Arial"/>
                <w:b/>
                <w:bCs/>
                <w:color w:val="e63946"/>
                <w:sz w:val="20"/>
                <w:szCs w:val="20"/>
              </w:rPr>
              <w:t xml:space="preserve">☐</w:t>
            </w:r>
          </w:p>
        </w:tc>
        <w:tc>
          <w:tcPr>
            <w:tcW w:type="dxa" w:w="580"/>
            <w:tcBorders>
              <w:top w:val="single" w:color="c8d8e8" w:sz="4"/>
              <w:left w:val="single" w:color="c8d8e8" w:sz="4"/>
              <w:bottom w:val="single" w:color="c8d8e8" w:sz="4"/>
              <w:right w:val="single" w:color="c8d8e8" w:sz="4"/>
            </w:tcBorders>
            <w:shd w:fill="eef4f9" w:val="clear"/>
            <w:tcMar>
              <w:top w:type="dxa" w:w="70"/>
              <w:left w:type="dxa" w:w="80"/>
              <w:bottom w:type="dxa" w:w="70"/>
              <w:right w:type="dxa" w:w="80"/>
            </w:tcMar>
          </w:tcPr>
          <w:p>
            <w:pPr>
              <w:spacing w:after="0" w:before="0"/>
              <w:jc w:val="center"/>
            </w:pPr>
            <w:r>
              <w:rPr>
                <w:rFonts w:ascii="Arial" w:cs="Arial" w:eastAsia="Arial" w:hAnsi="Arial"/>
                <w:b/>
                <w:bCs/>
                <w:color w:val="457b9d"/>
                <w:sz w:val="20"/>
                <w:szCs w:val="20"/>
              </w:rPr>
              <w:t xml:space="preserve">☐</w:t>
            </w:r>
          </w:p>
        </w:tc>
        <w:tc>
          <w:tcPr>
            <w:tcW w:type="dxa" w:w="580"/>
            <w:tcBorders>
              <w:top w:val="single" w:color="c8d8e8" w:sz="4"/>
              <w:left w:val="single" w:color="c8d8e8" w:sz="4"/>
              <w:bottom w:val="single" w:color="c8d8e8" w:sz="4"/>
              <w:right w:val="single" w:color="c8d8e8" w:sz="4"/>
            </w:tcBorders>
            <w:shd w:fill="f5f5f5" w:val="clear"/>
            <w:tcMar>
              <w:top w:type="dxa" w:w="70"/>
              <w:left w:type="dxa" w:w="80"/>
              <w:bottom w:type="dxa" w:w="70"/>
              <w:right w:type="dxa" w:w="80"/>
            </w:tcMar>
          </w:tcPr>
          <w:p>
            <w:pPr>
              <w:spacing w:after="0" w:before="0"/>
              <w:jc w:val="center"/>
            </w:pPr>
            <w:r>
              <w:rPr>
                <w:rFonts w:ascii="Arial" w:cs="Arial" w:eastAsia="Arial" w:hAnsi="Arial"/>
                <w:b/>
                <w:bCs/>
                <w:color w:val="7a92a8"/>
                <w:sz w:val="20"/>
                <w:szCs w:val="20"/>
              </w:rPr>
              <w:t xml:space="preserve">☐</w:t>
            </w:r>
          </w:p>
        </w:tc>
        <w:tc>
          <w:tcPr>
            <w:tcW w:type="dxa" w:w="476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200" w:before="0"/>
            </w:pPr>
            <w:r>
              <w:rPr>
                <w:rFonts w:ascii="Arial" w:cs="Arial" w:eastAsia="Arial" w:hAnsi="Arial"/>
                <w:color w:val="0f1923"/>
                <w:sz w:val="18"/>
                <w:szCs w:val="18"/>
              </w:rPr>
              <w:t xml:space="preserve"/>
            </w:r>
          </w:p>
        </w:tc>
      </w:tr>
    </w:tbl>
    <w:p>
      <w:pPr>
        <w:spacing w:after="8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120"/>
        <w:gridCol w:w="7946"/>
      </w:tblGrid>
      <w:tr>
        <w:tc>
          <w:tcPr>
            <w:tcW w:type="dxa" w:w="2400"/>
            <w:tcBorders>
              <w:top w:val="none" w:color="FFFFFF" w:sz="0"/>
              <w:left w:val="none" w:color="FFFFFF" w:sz="0"/>
              <w:bottom w:val="none" w:color="FFFFFF" w:sz="0"/>
              <w:right w:val="none" w:color="FFFFFF" w:sz="0"/>
            </w:tcBorders>
          </w:tcPr>
          <w:p>
            <w:pPr>
              <w:spacing w:after="50" w:before="0"/>
            </w:pPr>
            <w:r>
              <w:rPr>
                <w:rFonts w:ascii="Courier New" w:cs="Courier New" w:eastAsia="Courier New" w:hAnsi="Courier New"/>
                <w:b/>
                <w:bCs/>
                <w:color w:val="e63946"/>
                <w:sz w:val="14"/>
                <w:szCs w:val="14"/>
              </w:rPr>
              <w:t xml:space="preserve">DISTRIBUTION COUNT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tblGrid>
            <w:tr>
              <w:trPr>
                <w:tblHeader/>
              </w:trPr>
              <w:tc>
                <w:tcPr>
                  <w:tcW w:type="dxa" w:w="14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Label</w:t>
                  </w:r>
                </w:p>
              </w:tc>
              <w:tc>
                <w:tcPr>
                  <w:tcW w:type="dxa" w:w="10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Count</w:t>
                  </w:r>
                </w:p>
              </w:tc>
            </w:tr>
            <w:tr>
              <w:tc>
                <w:tcPr>
                  <w:tcW w:type="dxa" w:w="14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d3557"/>
                      <w:sz w:val="17"/>
                      <w:szCs w:val="17"/>
                    </w:rPr>
                    <w:t xml:space="preserve">H-EXT</w:t>
                  </w:r>
                </w:p>
              </w:tc>
              <w:tc>
                <w:tcPr>
                  <w:tcW w:type="dxa" w:w="10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tc>
            </w:tr>
            <w:tr>
              <w:tc>
                <w:tcPr>
                  <w:tcW w:type="dxa" w:w="14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vAlign w:val="center"/>
                </w:tcPr>
                <w:p>
                  <w:pPr>
                    <w:spacing w:after="0" w:before="0"/>
                  </w:pPr>
                  <w:r>
                    <w:rPr>
                      <w:rFonts w:ascii="Arial" w:cs="Arial" w:eastAsia="Arial" w:hAnsi="Arial"/>
                      <w:b/>
                      <w:bCs/>
                      <w:color w:val="1d3557"/>
                      <w:sz w:val="17"/>
                      <w:szCs w:val="17"/>
                    </w:rPr>
                    <w:t xml:space="preserve">H-INT</w:t>
                  </w:r>
                </w:p>
              </w:tc>
              <w:tc>
                <w:tcPr>
                  <w:tcW w:type="dxa" w:w="10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tc>
            </w:tr>
            <w:tr>
              <w:tc>
                <w:tcPr>
                  <w:tcW w:type="dxa" w:w="14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d3557"/>
                      <w:sz w:val="17"/>
                      <w:szCs w:val="17"/>
                    </w:rPr>
                    <w:t xml:space="preserve">BOTH</w:t>
                  </w:r>
                </w:p>
              </w:tc>
              <w:tc>
                <w:tcPr>
                  <w:tcW w:type="dxa" w:w="10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tc>
            </w:tr>
          </w:tbl>
          <w:p/>
        </w:tc>
        <w:tc>
          <w:tcPr>
            <w:tcW w:type="dxa" w:w="1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f1923"/>
                <w:sz w:val="18"/>
                <w:szCs w:val="18"/>
              </w:rPr>
              <w:t xml:space="preserve"/>
            </w:r>
          </w:p>
        </w:tc>
        <w:tc>
          <w:tcPr>
            <w:tcW w:type="dxa" w:w="7946"/>
            <w:tcBorders>
              <w:top w:val="none" w:color="FFFFFF" w:sz="0"/>
              <w:left w:val="none" w:color="FFFFFF" w:sz="0"/>
              <w:bottom w:val="none" w:color="FFFFFF" w:sz="0"/>
              <w:right w:val="none" w:color="FFFFFF" w:sz="0"/>
            </w:tcBorders>
          </w:tcPr>
          <w:p>
            <w:pPr>
              <w:spacing w:after="50" w:before="0"/>
            </w:pPr>
            <w:r>
              <w:rPr>
                <w:rFonts w:ascii="Courier New" w:cs="Courier New" w:eastAsia="Courier New" w:hAnsi="Courier New"/>
                <w:b/>
                <w:bCs/>
                <w:color w:val="e63946"/>
                <w:sz w:val="14"/>
                <w:szCs w:val="14"/>
              </w:rPr>
              <w:t xml:space="preserve">MOST CONSTRAINING ARTEFACT</w:t>
            </w:r>
          </w:p>
          <w:p>
            <w:pPr>
              <w:spacing w:after="60" w:before="0"/>
            </w:pPr>
            <w:r>
              <w:rPr>
                <w:rFonts w:ascii="Arial" w:cs="Arial" w:eastAsia="Arial" w:hAnsi="Arial"/>
                <w:i/>
                <w:iCs/>
                <w:color w:val="7a92a8"/>
                <w:sz w:val="16"/>
                <w:szCs w:val="16"/>
              </w:rPr>
              <w:t xml:space="preserve">Identify the single piece of evidence that eliminates more alternative explanations than any other. Name it and explain why.</w:t>
            </w:r>
          </w:p>
          <w:tbl>
            <w:tblPr>
              <w:tblW w:type="dxa" w:w="7946"/>
              <w:tblBorders>
                <w:top w:val="single" w:color="auto" w:sz="4"/>
                <w:left w:val="single" w:color="auto" w:sz="4"/>
                <w:bottom w:val="single" w:color="auto" w:sz="4"/>
                <w:right w:val="single" w:color="auto" w:sz="4"/>
                <w:insideH w:val="single" w:color="auto" w:sz="4"/>
                <w:insideV w:val="single" w:color="auto" w:sz="4"/>
              </w:tblBorders>
            </w:tblPr>
            <w:tblGrid>
              <w:gridCol w:w="7946"/>
            </w:tblGrid>
            <w:tr>
              <w:tc>
                <w:tcPr>
                  <w:tcW w:type="dxa" w:w="7946"/>
                  <w:tcBorders>
                    <w:top w:val="single" w:color="c8d8e8" w:sz="4"/>
                    <w:left w:val="single" w:color="c8d8e8" w:sz="4"/>
                    <w:bottom w:val="single" w:color="c8d8e8" w:sz="4"/>
                    <w:right w:val="single" w:color="c8d8e8" w:sz="4"/>
                  </w:tcBorders>
                  <w:shd w:fill="eef4f9" w:val="clear"/>
                  <w:tcMar>
                    <w:top w:type="dxa" w:w="100"/>
                    <w:left w:type="dxa" w:w="120"/>
                    <w:bottom w:type="dxa" w:w="100"/>
                    <w:right w:type="dxa" w:w="120"/>
                  </w:tcMar>
                </w:tcPr>
                <w:p>
                  <w:pPr>
                    <w:spacing w:after="240" w:before="0"/>
                  </w:pPr>
                  <w:r>
                    <w:rPr>
                      <w:rFonts w:ascii="Arial" w:cs="Arial" w:eastAsia="Arial" w:hAnsi="Arial"/>
                      <w:color w:val="0f1923"/>
                      <w:sz w:val="18"/>
                      <w:szCs w:val="18"/>
                    </w:rPr>
                    <w:t xml:space="preserve"/>
                  </w:r>
                </w:p>
                <w:p>
                  <w:pPr>
                    <w:spacing w:after="240" w:before="0"/>
                  </w:pPr>
                  <w:r>
                    <w:rPr>
                      <w:rFonts w:ascii="Arial" w:cs="Arial" w:eastAsia="Arial" w:hAnsi="Arial"/>
                      <w:color w:val="0f1923"/>
                      <w:sz w:val="18"/>
                      <w:szCs w:val="18"/>
                    </w:rPr>
                    <w:t xml:space="preserve"/>
                  </w:r>
                </w:p>
                <w:p>
                  <w:pPr>
                    <w:spacing w:after="0" w:before="0"/>
                  </w:pPr>
                  <w:r>
                    <w:rPr>
                      <w:rFonts w:ascii="Arial" w:cs="Arial" w:eastAsia="Arial" w:hAnsi="Arial"/>
                      <w:color w:val="0f1923"/>
                      <w:sz w:val="18"/>
                      <w:szCs w:val="18"/>
                    </w:rPr>
                    <w:t xml:space="preserve"/>
                  </w:r>
                </w:p>
              </w:tc>
            </w:tr>
          </w:tbl>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1.2 — STRIDE Completion  (individual)</w:t>
      </w:r>
    </w:p>
    <w:p>
      <w:pPr>
        <w:spacing w:after="80" w:before="40"/>
      </w:pPr>
      <w:r>
        <w:rPr>
          <w:rFonts w:ascii="Arial" w:cs="Arial" w:eastAsia="Arial" w:hAnsi="Arial"/>
          <w:i/>
          <w:iCs/>
          <w:color w:val="7a92a8"/>
          <w:sz w:val="16"/>
          <w:szCs w:val="16"/>
        </w:rPr>
        <w:t xml:space="preserve">Complete your STRIDE table. Each category requires: a specific threat description, a cited artefact, and a confidence level. If a category has no evidence, write 'No evidence found' and note what would be needed to confirm or rule it 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S</w:t>
            </w:r>
            <w:r>
              <w:rPr>
                <w:rFonts w:ascii="Arial" w:cs="Arial" w:eastAsia="Arial" w:hAnsi="Arial"/>
                <w:b/>
                <w:bCs/>
                <w:color w:val="0f1923"/>
                <w:sz w:val="20"/>
                <w:szCs w:val="20"/>
              </w:rPr>
              <w:t xml:space="preserve">  Spoofing</w:t>
            </w:r>
          </w:p>
          <w:p>
            <w:pPr>
              <w:spacing w:after="80" w:before="0"/>
            </w:pPr>
            <w:r>
              <w:rPr>
                <w:rFonts w:ascii="Arial" w:cs="Arial" w:eastAsia="Arial" w:hAnsi="Arial"/>
                <w:i/>
                <w:iCs/>
                <w:color w:val="7a92a8"/>
                <w:sz w:val="16"/>
                <w:szCs w:val="16"/>
              </w:rPr>
              <w:t xml:space="preserve">Is the actor claiming an identity they do not hold?</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T</w:t>
            </w:r>
            <w:r>
              <w:rPr>
                <w:rFonts w:ascii="Arial" w:cs="Arial" w:eastAsia="Arial" w:hAnsi="Arial"/>
                <w:b/>
                <w:bCs/>
                <w:color w:val="0f1923"/>
                <w:sz w:val="20"/>
                <w:szCs w:val="20"/>
              </w:rPr>
              <w:t xml:space="preserve">  Tampering</w:t>
            </w:r>
          </w:p>
          <w:p>
            <w:pPr>
              <w:spacing w:after="80" w:before="0"/>
            </w:pPr>
            <w:r>
              <w:rPr>
                <w:rFonts w:ascii="Arial" w:cs="Arial" w:eastAsia="Arial" w:hAnsi="Arial"/>
                <w:i/>
                <w:iCs/>
                <w:color w:val="7a92a8"/>
                <w:sz w:val="16"/>
                <w:szCs w:val="16"/>
              </w:rPr>
              <w:t xml:space="preserve">Has data, code, or configuration been altered?</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r>
      <w:tr>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R</w:t>
            </w:r>
            <w:r>
              <w:rPr>
                <w:rFonts w:ascii="Arial" w:cs="Arial" w:eastAsia="Arial" w:hAnsi="Arial"/>
                <w:b/>
                <w:bCs/>
                <w:color w:val="0f1923"/>
                <w:sz w:val="20"/>
                <w:szCs w:val="20"/>
              </w:rPr>
              <w:t xml:space="preserve">  Repudiation</w:t>
            </w:r>
          </w:p>
          <w:p>
            <w:pPr>
              <w:spacing w:after="80" w:before="0"/>
            </w:pPr>
            <w:r>
              <w:rPr>
                <w:rFonts w:ascii="Arial" w:cs="Arial" w:eastAsia="Arial" w:hAnsi="Arial"/>
                <w:i/>
                <w:iCs/>
                <w:color w:val="7a92a8"/>
                <w:sz w:val="16"/>
                <w:szCs w:val="16"/>
              </w:rPr>
              <w:t xml:space="preserve">Can the actor plausibly deny the action?</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I</w:t>
            </w:r>
            <w:r>
              <w:rPr>
                <w:rFonts w:ascii="Arial" w:cs="Arial" w:eastAsia="Arial" w:hAnsi="Arial"/>
                <w:b/>
                <w:bCs/>
                <w:color w:val="0f1923"/>
                <w:sz w:val="20"/>
                <w:szCs w:val="20"/>
              </w:rPr>
              <w:t xml:space="preserve">  Information Disclosure</w:t>
            </w:r>
          </w:p>
          <w:p>
            <w:pPr>
              <w:spacing w:after="80" w:before="0"/>
            </w:pPr>
            <w:r>
              <w:rPr>
                <w:rFonts w:ascii="Arial" w:cs="Arial" w:eastAsia="Arial" w:hAnsi="Arial"/>
                <w:i/>
                <w:iCs/>
                <w:color w:val="7a92a8"/>
                <w:sz w:val="16"/>
                <w:szCs w:val="16"/>
              </w:rPr>
              <w:t xml:space="preserve">Has confidential data been exposed to an unauthorised party?</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r>
      <w:tr>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D</w:t>
            </w:r>
            <w:r>
              <w:rPr>
                <w:rFonts w:ascii="Arial" w:cs="Arial" w:eastAsia="Arial" w:hAnsi="Arial"/>
                <w:b/>
                <w:bCs/>
                <w:color w:val="0f1923"/>
                <w:sz w:val="20"/>
                <w:szCs w:val="20"/>
              </w:rPr>
              <w:t xml:space="preserve">  Denial of Service</w:t>
            </w:r>
          </w:p>
          <w:p>
            <w:pPr>
              <w:spacing w:after="80" w:before="0"/>
            </w:pPr>
            <w:r>
              <w:rPr>
                <w:rFonts w:ascii="Arial" w:cs="Arial" w:eastAsia="Arial" w:hAnsi="Arial"/>
                <w:i/>
                <w:iCs/>
                <w:color w:val="7a92a8"/>
                <w:sz w:val="16"/>
                <w:szCs w:val="16"/>
              </w:rPr>
              <w:t xml:space="preserve">Has availability been degraded or destroyed?</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c>
          <w:tcPr>
            <w:tcW w:type="dxa" w:w="5233"/>
            <w:tcBorders>
              <w:top w:val="single" w:color="c8d8e8" w:sz="4"/>
              <w:left w:val="single" w:color="c8d8e8" w:sz="4"/>
              <w:bottom w:val="single" w:color="c8d8e8" w:sz="4"/>
              <w:right w:val="single" w:color="c8d8e8" w:sz="4"/>
            </w:tcBorders>
            <w:shd w:fill="FFFFFF" w:val="clear"/>
            <w:tcMar>
              <w:top w:type="dxa" w:w="100"/>
              <w:left w:type="dxa" w:w="140"/>
              <w:bottom w:type="dxa" w:w="100"/>
              <w:right w:type="dxa" w:w="140"/>
            </w:tcMar>
          </w:tcPr>
          <w:p>
            <w:pPr>
              <w:pBdr>
                <w:top w:val="single" w:color="1d3557" w:sz="10"/>
              </w:pBdr>
              <w:spacing w:after="30" w:before="0"/>
            </w:pPr>
            <w:r>
              <w:rPr>
                <w:rFonts w:ascii="Arial" w:cs="Arial" w:eastAsia="Arial" w:hAnsi="Arial"/>
                <w:b/>
                <w:bCs/>
                <w:color w:val="1d3557"/>
                <w:sz w:val="40"/>
                <w:szCs w:val="40"/>
              </w:rPr>
              <w:t xml:space="preserve">E</w:t>
            </w:r>
            <w:r>
              <w:rPr>
                <w:rFonts w:ascii="Arial" w:cs="Arial" w:eastAsia="Arial" w:hAnsi="Arial"/>
                <w:b/>
                <w:bCs/>
                <w:color w:val="0f1923"/>
                <w:sz w:val="20"/>
                <w:szCs w:val="20"/>
              </w:rPr>
              <w:t xml:space="preserve">  Elevation of Privilege</w:t>
            </w:r>
          </w:p>
          <w:p>
            <w:pPr>
              <w:spacing w:after="80" w:before="0"/>
            </w:pPr>
            <w:r>
              <w:rPr>
                <w:rFonts w:ascii="Arial" w:cs="Arial" w:eastAsia="Arial" w:hAnsi="Arial"/>
                <w:i/>
                <w:iCs/>
                <w:color w:val="7a92a8"/>
                <w:sz w:val="16"/>
                <w:szCs w:val="16"/>
              </w:rPr>
              <w:t xml:space="preserve">Has the actor gained rights beyond their authorisation?</w:t>
            </w:r>
          </w:p>
          <w:p>
            <w:pPr>
              <w:spacing w:after="30" w:before="0"/>
            </w:pPr>
            <w:r>
              <w:rPr>
                <w:rFonts w:ascii="Courier New" w:cs="Courier New" w:eastAsia="Courier New" w:hAnsi="Courier New"/>
                <w:color w:val="7a92a8"/>
                <w:sz w:val="13"/>
                <w:szCs w:val="13"/>
              </w:rPr>
              <w:t xml:space="preserve">THREAT DESCRIPTION</w:t>
            </w:r>
          </w:p>
          <w:p>
            <w:pPr>
              <w:pBdr>
                <w:bottom w:val="single" w:color="c8d8e8" w:sz="4"/>
              </w:pBdr>
              <w:spacing w:after="180" w:before="0"/>
            </w:pPr>
            <w:r>
              <w:rPr>
                <w:rFonts w:ascii="Arial" w:cs="Arial" w:eastAsia="Arial" w:hAnsi="Arial"/>
                <w:color w:val="0f1923"/>
                <w:sz w:val="18"/>
                <w:szCs w:val="18"/>
              </w:rPr>
              <w:t xml:space="preserve"/>
            </w:r>
          </w:p>
          <w:p>
            <w:pPr>
              <w:pBdr>
                <w:bottom w:val="single" w:color="c8d8e8" w:sz="4"/>
              </w:pBdr>
              <w:spacing w:after="180" w:before="60"/>
            </w:pPr>
            <w:r>
              <w:rPr>
                <w:rFonts w:ascii="Arial" w:cs="Arial" w:eastAsia="Arial" w:hAnsi="Arial"/>
                <w:color w:val="0f1923"/>
                <w:sz w:val="18"/>
                <w:szCs w:val="18"/>
              </w:rPr>
              <w:t xml:space="preserve"/>
            </w:r>
          </w:p>
          <w:p>
            <w:pPr>
              <w:spacing w:after="80" w:before="60"/>
            </w:pPr>
            <w:r>
              <w:rPr>
                <w:rFonts w:ascii="Courier New" w:cs="Courier New" w:eastAsia="Courier New" w:hAnsi="Courier New"/>
                <w:color w:val="7a92a8"/>
                <w:sz w:val="13"/>
                <w:szCs w:val="13"/>
              </w:rPr>
              <w:t xml:space="preserve">ARTEFACT CITATION</w:t>
            </w:r>
          </w:p>
          <w:p>
            <w:pPr>
              <w:pBdr>
                <w:bottom w:val="single" w:color="c8d8e8" w:sz="4"/>
              </w:pBdr>
              <w:spacing w:after="100" w:before="0"/>
            </w:pPr>
            <w:r>
              <w:rPr>
                <w:rFonts w:ascii="Arial" w:cs="Arial" w:eastAsia="Arial" w:hAnsi="Arial"/>
                <w:color w:val="0f1923"/>
                <w:sz w:val="18"/>
                <w:szCs w:val="18"/>
              </w:rPr>
              <w:t xml:space="preserve"/>
            </w:r>
          </w:p>
          <w:p>
            <w:pPr>
              <w:spacing w:after="40" w:before="60"/>
            </w:pPr>
            <w:r>
              <w:rPr>
                <w:rFonts w:ascii="Courier New" w:cs="Courier New" w:eastAsia="Courier New" w:hAnsi="Courier New"/>
                <w:color w:val="7a92a8"/>
                <w:sz w:val="13"/>
                <w:szCs w:val="13"/>
              </w:rPr>
              <w:t xml:space="preserve">CONFIDENCE  </w:t>
            </w:r>
            <w:r>
              <w:rPr>
                <w:rFonts w:ascii="Arial" w:cs="Arial" w:eastAsia="Arial" w:hAnsi="Arial"/>
                <w:color w:val="0f1923"/>
                <w:sz w:val="16"/>
                <w:szCs w:val="16"/>
              </w:rPr>
              <w:t xml:space="preserve">☐ High  ☐ Medium  ☐ Low  ☐ No evidence</w:t>
            </w:r>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1.3 — Does Your Model Close?</w:t>
      </w:r>
    </w:p>
    <w:p>
      <w:pPr>
        <w:spacing w:after="80" w:before="40"/>
      </w:pPr>
      <w:r>
        <w:rPr>
          <w:rFonts w:ascii="Arial" w:cs="Arial" w:eastAsia="Arial" w:hAnsi="Arial"/>
          <w:i/>
          <w:iCs/>
          <w:color w:val="7a92a8"/>
          <w:sz w:val="16"/>
          <w:szCs w:val="16"/>
        </w:rPr>
        <w:t xml:space="preserve">A closed model means every threat entry points to a consistent, evidenced attack scenario. If your model does not close, explain the specific contradiction and what additional evidence would resolve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8d8e8" w:sz="4"/>
              <w:left w:val="single" w:color="c8d8e8" w:sz="4"/>
              <w:bottom w:val="single" w:color="c8d8e8" w:sz="4"/>
              <w:right w:val="single" w:color="c8d8e8" w:sz="4"/>
            </w:tcBorders>
            <w:shd w:fill="eef4f9" w:val="clear"/>
            <w:tcMar>
              <w:top w:type="dxa" w:w="100"/>
              <w:left w:type="dxa" w:w="140"/>
              <w:bottom w:type="dxa" w:w="100"/>
              <w:right w:type="dxa" w:w="140"/>
            </w:tcMar>
          </w:tcPr>
          <w:p>
            <w:pPr>
              <w:pBdr>
                <w:bottom w:val="single" w:color="c8d8e8" w:sz="4"/>
              </w:pBdr>
              <w:spacing w:after="240" w:before="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spacing w:after="60" w:before="60"/>
            </w:pPr>
            <w:r>
              <w:rPr>
                <w:rFonts w:ascii="Arial" w:cs="Arial" w:eastAsia="Arial" w:hAnsi="Arial"/>
                <w:color w:val="0f1923"/>
                <w:sz w:val="18"/>
                <w:szCs w:val="18"/>
              </w:rPr>
              <w:t xml:space="preserve"/>
            </w:r>
          </w:p>
        </w:tc>
      </w:tr>
    </w:tbl>
    <w:p>
      <w:pPr>
        <w:pageBreakBefore/>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1d3557" w:sz="4"/>
              <w:left w:val="single" w:color="1d3557" w:sz="4"/>
              <w:bottom w:val="single" w:color="1d3557" w:sz="4"/>
              <w:right w:val="single" w:color="1d3557" w:sz="4"/>
            </w:tcBorders>
            <w:shd w:fill="1d3557" w:val="clear"/>
            <w:tcMar>
              <w:top w:type="dxa" w:w="100"/>
              <w:left w:type="dxa" w:w="150"/>
              <w:bottom w:type="dxa" w:w="100"/>
              <w:right w:type="dxa" w:w="150"/>
            </w:tcMar>
          </w:tcPr>
          <w:p>
            <w:pPr>
              <w:spacing w:after="0" w:before="0"/>
            </w:pPr>
            <w:r>
              <w:rPr>
                <w:rFonts w:ascii="Courier New" w:cs="Courier New" w:eastAsia="Courier New" w:hAnsi="Courier New"/>
                <w:color w:val="457b9d"/>
                <w:sz w:val="14"/>
                <w:szCs w:val="14"/>
              </w:rPr>
              <w:t xml:space="preserve">PART 2  ·  </w:t>
            </w:r>
            <w:r>
              <w:rPr>
                <w:rFonts w:ascii="Arial" w:cs="Arial" w:eastAsia="Arial" w:hAnsi="Arial"/>
                <w:b/>
                <w:bCs/>
                <w:color w:val="f1faee"/>
                <w:sz w:val="22"/>
                <w:szCs w:val="22"/>
              </w:rPr>
              <w:t xml:space="preserve">Attack Surface  ·  Defence in Depth  ·  Zero Trust</w:t>
            </w:r>
            <w:r>
              <w:rPr>
                <w:rFonts w:ascii="Courier New" w:cs="Courier New" w:eastAsia="Courier New" w:hAnsi="Courier New"/>
                <w:color w:val="457b9d"/>
                <w:sz w:val="14"/>
                <w:szCs w:val="14"/>
              </w:rPr>
              <w:t xml:space="preserve">  ·  00:50 – 01:30</w:t>
            </w:r>
          </w:p>
        </w:tc>
      </w:tr>
    </w:tbl>
    <w:p>
      <w:pPr>
        <w:pBdr>
          <w:bottom w:val="single" w:color="eef4f9" w:sz="4"/>
        </w:pBdr>
        <w:spacing w:after="60" w:before="160"/>
      </w:pPr>
      <w:r>
        <w:rPr>
          <w:rFonts w:ascii="Courier New" w:cs="Courier New" w:eastAsia="Courier New" w:hAnsi="Courier New"/>
          <w:b/>
          <w:bCs/>
          <w:color w:val="e63946"/>
          <w:sz w:val="15"/>
          <w:szCs w:val="15"/>
        </w:rPr>
        <w:t xml:space="preserve">2.1 — Attack Surface Map</w:t>
      </w:r>
    </w:p>
    <w:p>
      <w:pPr>
        <w:spacing w:after="80" w:before="40"/>
      </w:pPr>
      <w:r>
        <w:rPr>
          <w:rFonts w:ascii="Arial" w:cs="Arial" w:eastAsia="Arial" w:hAnsi="Arial"/>
          <w:i/>
          <w:iCs/>
          <w:color w:val="7a92a8"/>
          <w:sz w:val="16"/>
          <w:szCs w:val="16"/>
        </w:rPr>
        <w:t xml:space="preserve">List the entry points and trust boundaries for the Bee Pies environment as it existed before any hardening. Add rows as needed.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153"/>
        <w:gridCol w:w="160"/>
        <w:gridCol w:w="5153"/>
      </w:tblGrid>
      <w:tr>
        <w:tc>
          <w:tcPr>
            <w:tcW w:type="dxa" w:w="5153"/>
            <w:tcBorders>
              <w:top w:val="none" w:color="FFFFFF" w:sz="0"/>
              <w:left w:val="none" w:color="FFFFFF" w:sz="0"/>
              <w:bottom w:val="none" w:color="FFFFFF" w:sz="0"/>
              <w:right w:val="none" w:color="FFFFFF" w:sz="0"/>
            </w:tcBorders>
          </w:tcPr>
          <w:p>
            <w:pPr>
              <w:spacing w:after="50" w:before="0"/>
            </w:pPr>
            <w:r>
              <w:rPr>
                <w:rFonts w:ascii="Arial" w:cs="Arial" w:eastAsia="Arial" w:hAnsi="Arial"/>
                <w:b/>
                <w:bCs/>
                <w:color w:val="1d3557"/>
                <w:sz w:val="18"/>
                <w:szCs w:val="18"/>
              </w:rPr>
              <w:t xml:space="preserve">Entry points</w:t>
            </w:r>
          </w:p>
          <w:tbl>
            <w:tblPr>
              <w:tblW w:type="dxa" w:w="5153"/>
              <w:tblBorders>
                <w:top w:val="single" w:color="auto" w:sz="4"/>
                <w:left w:val="single" w:color="auto" w:sz="4"/>
                <w:bottom w:val="single" w:color="auto" w:sz="4"/>
                <w:right w:val="single" w:color="auto" w:sz="4"/>
                <w:insideH w:val="single" w:color="auto" w:sz="4"/>
                <w:insideV w:val="single" w:color="auto" w:sz="4"/>
              </w:tblBorders>
            </w:tblPr>
            <w:tblGrid>
              <w:gridCol w:w="3000"/>
              <w:gridCol w:w="2153"/>
            </w:tblGrid>
            <w:tr>
              <w:trPr>
                <w:tblHeader/>
              </w:trPr>
              <w:tc>
                <w:tcPr>
                  <w:tcW w:type="dxa" w:w="30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Entry point</w:t>
                  </w:r>
                </w:p>
              </w:tc>
              <w:tc>
                <w:tcPr>
                  <w:tcW w:type="dxa" w:w="2153"/>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Exposed to</w:t>
                  </w:r>
                </w:p>
              </w:tc>
            </w:tr>
            <w:tr>
              <w:tc>
                <w:tcPr>
                  <w:tcW w:type="dxa" w:w="30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Web app — HTTP endpoints</w:t>
                  </w:r>
                </w:p>
              </w:tc>
              <w:tc>
                <w:tcPr>
                  <w:tcW w:type="dxa" w:w="2153"/>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Internet</w:t>
                  </w:r>
                </w:p>
              </w:tc>
            </w:tr>
            <w:tr>
              <w:tc>
                <w:tcPr>
                  <w:tcW w:type="dxa" w:w="30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Admin login</w:t>
                  </w:r>
                </w:p>
              </w:tc>
              <w:tc>
                <w:tcPr>
                  <w:tcW w:type="dxa" w:w="2153"/>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30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SSH access</w:t>
                  </w:r>
                </w:p>
              </w:tc>
              <w:tc>
                <w:tcPr>
                  <w:tcW w:type="dxa" w:w="2153"/>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30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153"/>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3000"/>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153"/>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3000"/>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153"/>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bl>
          <w:p/>
        </w:tc>
        <w:tc>
          <w:tcPr>
            <w:tcW w:type="dxa" w:w="16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f1923"/>
                <w:sz w:val="18"/>
                <w:szCs w:val="18"/>
              </w:rPr>
              <w:t xml:space="preserve"/>
            </w:r>
          </w:p>
        </w:tc>
        <w:tc>
          <w:tcPr>
            <w:tcW w:type="dxa" w:w="5153"/>
            <w:tcBorders>
              <w:top w:val="none" w:color="FFFFFF" w:sz="0"/>
              <w:left w:val="none" w:color="FFFFFF" w:sz="0"/>
              <w:bottom w:val="none" w:color="FFFFFF" w:sz="0"/>
              <w:right w:val="none" w:color="FFFFFF" w:sz="0"/>
            </w:tcBorders>
          </w:tcPr>
          <w:p>
            <w:pPr>
              <w:spacing w:after="50" w:before="0"/>
            </w:pPr>
            <w:r>
              <w:rPr>
                <w:rFonts w:ascii="Arial" w:cs="Arial" w:eastAsia="Arial" w:hAnsi="Arial"/>
                <w:b/>
                <w:bCs/>
                <w:color w:val="1d3557"/>
                <w:sz w:val="18"/>
                <w:szCs w:val="18"/>
              </w:rPr>
              <w:t xml:space="preserve">Trust boundaries</w:t>
            </w:r>
          </w:p>
          <w:tbl>
            <w:tblPr>
              <w:tblW w:type="dxa" w:w="5153"/>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tblGrid>
            <w:tr>
              <w:trPr>
                <w:tblHeader/>
              </w:trPr>
              <w:tc>
                <w:tcPr>
                  <w:tcW w:type="dxa" w:w="257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From zone</w:t>
                  </w:r>
                </w:p>
              </w:tc>
              <w:tc>
                <w:tcPr>
                  <w:tcW w:type="dxa" w:w="257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To zone</w:t>
                  </w:r>
                </w:p>
              </w:tc>
            </w:tr>
            <w:tr>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External internet</w:t>
                  </w:r>
                </w:p>
              </w:tc>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Bakery LAN</w:t>
                  </w:r>
                </w:p>
              </w:tc>
            </w:tr>
            <w:tr>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576"/>
                  <w:tcBorders>
                    <w:top w:val="single" w:color="c8d8e8" w:sz="4"/>
                    <w:left w:val="single" w:color="c8d8e8" w:sz="4"/>
                    <w:bottom w:val="single" w:color="c8d8e8" w:sz="4"/>
                    <w:right w:val="single" w:color="c8d8e8" w:sz="4"/>
                  </w:tcBorders>
                  <w:shd w:fill="FFFFFF"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r>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c>
                <w:tcPr>
                  <w:tcW w:type="dxa" w:w="2576"/>
                  <w:tcBorders>
                    <w:top w:val="single" w:color="c8d8e8" w:sz="4"/>
                    <w:left w:val="single" w:color="c8d8e8" w:sz="4"/>
                    <w:bottom w:val="single" w:color="c8d8e8" w:sz="4"/>
                    <w:right w:val="single" w:color="c8d8e8" w:sz="4"/>
                  </w:tcBorders>
                  <w:shd w:fill="f0f5fa" w:val="clear"/>
                  <w:tcMar>
                    <w:top w:type="dxa" w:w="70"/>
                    <w:left w:type="dxa" w:w="100"/>
                    <w:bottom w:type="dxa" w:w="70"/>
                    <w:right w:type="dxa" w:w="100"/>
                  </w:tcMar>
                </w:tcPr>
                <w:p>
                  <w:pPr>
                    <w:spacing w:after="100" w:before="0"/>
                  </w:pPr>
                  <w:r>
                    <w:rPr>
                      <w:rFonts w:ascii="Arial" w:cs="Arial" w:eastAsia="Arial" w:hAnsi="Arial"/>
                      <w:color w:val="0f1923"/>
                      <w:sz w:val="16"/>
                      <w:szCs w:val="16"/>
                    </w:rPr>
                    <w:t xml:space="preserve"/>
                  </w:r>
                </w:p>
              </w:tc>
            </w:tr>
          </w:tbl>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2.2 — Defence in Depth — Categorise Your Remediations</w:t>
      </w:r>
    </w:p>
    <w:p>
      <w:pPr>
        <w:spacing w:after="80" w:before="40"/>
      </w:pPr>
      <w:r>
        <w:rPr>
          <w:rFonts w:ascii="Arial" w:cs="Arial" w:eastAsia="Arial" w:hAnsi="Arial"/>
          <w:i/>
          <w:iCs/>
          <w:color w:val="7a92a8"/>
          <w:sz w:val="16"/>
          <w:szCs w:val="16"/>
        </w:rPr>
        <w:t xml:space="preserve">For each remediation your group has implemented, assign it to a layer. Layers: Network perimeter  /  Host  /  Application  /  Data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4666"/>
      </w:tblGrid>
      <w:tr>
        <w:trPr>
          <w:tblHeader/>
        </w:trPr>
        <w:tc>
          <w:tcPr>
            <w:tcW w:type="dxa" w:w="28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Remediation</w:t>
            </w:r>
          </w:p>
        </w:tc>
        <w:tc>
          <w:tcPr>
            <w:tcW w:type="dxa" w:w="12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Layer</w:t>
            </w:r>
          </w:p>
        </w:tc>
        <w:tc>
          <w:tcPr>
            <w:tcW w:type="dxa" w:w="18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Role responsible</w:t>
            </w:r>
          </w:p>
        </w:tc>
        <w:tc>
          <w:tcPr>
            <w:tcW w:type="dxa" w:w="466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What attack does it prevent or constrain?</w:t>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18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6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2.3 — Zero Trust Applied to Bee Pies  (NIST SP 800-207)</w:t>
      </w:r>
    </w:p>
    <w:p>
      <w:pPr>
        <w:spacing w:after="80" w:before="40"/>
      </w:pPr>
      <w:r>
        <w:rPr>
          <w:rFonts w:ascii="Arial" w:cs="Arial" w:eastAsia="Arial" w:hAnsi="Arial"/>
          <w:i/>
          <w:iCs/>
          <w:color w:val="7a92a8"/>
          <w:sz w:val="16"/>
          <w:szCs w:val="16"/>
        </w:rPr>
        <w:t xml:space="preserve">Map each principle to a specific failure in this environment, and identify the control that addresses it — or note the gap if unmitigated.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4133"/>
        <w:gridCol w:w="4133"/>
      </w:tblGrid>
      <w:tr>
        <w:trPr>
          <w:tblHeader/>
        </w:trPr>
        <w:tc>
          <w:tcPr>
            <w:tcW w:type="dxa" w:w="22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Principle</w:t>
            </w:r>
          </w:p>
        </w:tc>
        <w:tc>
          <w:tcPr>
            <w:tcW w:type="dxa" w:w="4133"/>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Specific failure in this environment</w:t>
            </w:r>
          </w:p>
        </w:tc>
        <w:tc>
          <w:tcPr>
            <w:tcW w:type="dxa" w:w="4133"/>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Control that addresses it — or gap if unmitigated</w:t>
            </w:r>
          </w:p>
        </w:tc>
      </w:tr>
      <w:tr>
        <w:tc>
          <w:tcPr>
            <w:tcW w:type="dxa" w:w="2200"/>
            <w:tcBorders>
              <w:top w:val="single" w:color="c8d8e8" w:sz="4"/>
              <w:left w:val="single" w:color="c8d8e8" w:sz="4"/>
              <w:bottom w:val="single" w:color="c8d8e8" w:sz="4"/>
              <w:right w:val="single" w:color="c8d8e8" w:sz="4"/>
            </w:tcBorders>
            <w:shd w:fill="FFFFFF" w:val="clear"/>
            <w:tcMar>
              <w:top w:type="dxa" w:w="80"/>
              <w:left w:type="dxa" w:w="100"/>
              <w:bottom w:type="dxa" w:w="80"/>
              <w:right w:type="dxa" w:w="100"/>
            </w:tcMar>
          </w:tcPr>
          <w:p>
            <w:pPr>
              <w:spacing w:after="0" w:before="0"/>
            </w:pPr>
            <w:r>
              <w:rPr>
                <w:rFonts w:ascii="Arial" w:cs="Arial" w:eastAsia="Arial" w:hAnsi="Arial"/>
                <w:b/>
                <w:bCs/>
                <w:color w:val="1d3557"/>
                <w:sz w:val="17"/>
                <w:szCs w:val="17"/>
              </w:rPr>
              <w:t xml:space="preserve">Verify explicitly</w:t>
            </w:r>
          </w:p>
        </w:tc>
        <w:tc>
          <w:tcPr>
            <w:tcW w:type="dxa" w:w="413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13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0f5fa" w:val="clear"/>
            <w:tcMar>
              <w:top w:type="dxa" w:w="80"/>
              <w:left w:type="dxa" w:w="100"/>
              <w:bottom w:type="dxa" w:w="80"/>
              <w:right w:type="dxa" w:w="100"/>
            </w:tcMar>
          </w:tcPr>
          <w:p>
            <w:pPr>
              <w:spacing w:after="0" w:before="0"/>
            </w:pPr>
            <w:r>
              <w:rPr>
                <w:rFonts w:ascii="Arial" w:cs="Arial" w:eastAsia="Arial" w:hAnsi="Arial"/>
                <w:b/>
                <w:bCs/>
                <w:color w:val="1d3557"/>
                <w:sz w:val="17"/>
                <w:szCs w:val="17"/>
              </w:rPr>
              <w:t xml:space="preserve">Least privilege access</w:t>
            </w:r>
          </w:p>
        </w:tc>
        <w:tc>
          <w:tcPr>
            <w:tcW w:type="dxa" w:w="4133"/>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133"/>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FFFFF" w:val="clear"/>
            <w:tcMar>
              <w:top w:type="dxa" w:w="80"/>
              <w:left w:type="dxa" w:w="100"/>
              <w:bottom w:type="dxa" w:w="80"/>
              <w:right w:type="dxa" w:w="100"/>
            </w:tcMar>
          </w:tcPr>
          <w:p>
            <w:pPr>
              <w:spacing w:after="0" w:before="0"/>
            </w:pPr>
            <w:r>
              <w:rPr>
                <w:rFonts w:ascii="Arial" w:cs="Arial" w:eastAsia="Arial" w:hAnsi="Arial"/>
                <w:b/>
                <w:bCs/>
                <w:color w:val="1d3557"/>
                <w:sz w:val="17"/>
                <w:szCs w:val="17"/>
              </w:rPr>
              <w:t xml:space="preserve">Assume breach</w:t>
            </w:r>
          </w:p>
        </w:tc>
        <w:tc>
          <w:tcPr>
            <w:tcW w:type="dxa" w:w="413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13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bl>
    <w:p>
      <w:pPr>
        <w:pageBreakBefore/>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1d3557" w:sz="4"/>
              <w:left w:val="single" w:color="1d3557" w:sz="4"/>
              <w:bottom w:val="single" w:color="1d3557" w:sz="4"/>
              <w:right w:val="single" w:color="1d3557" w:sz="4"/>
            </w:tcBorders>
            <w:shd w:fill="1d3557" w:val="clear"/>
            <w:tcMar>
              <w:top w:type="dxa" w:w="100"/>
              <w:left w:type="dxa" w:w="150"/>
              <w:bottom w:type="dxa" w:w="100"/>
              <w:right w:type="dxa" w:w="150"/>
            </w:tcMar>
          </w:tcPr>
          <w:p>
            <w:pPr>
              <w:spacing w:after="0" w:before="0"/>
            </w:pPr>
            <w:r>
              <w:rPr>
                <w:rFonts w:ascii="Courier New" w:cs="Courier New" w:eastAsia="Courier New" w:hAnsi="Courier New"/>
                <w:color w:val="457b9d"/>
                <w:sz w:val="14"/>
                <w:szCs w:val="14"/>
              </w:rPr>
              <w:t xml:space="preserve">PART 3  ·  </w:t>
            </w:r>
            <w:r>
              <w:rPr>
                <w:rFonts w:ascii="Arial" w:cs="Arial" w:eastAsia="Arial" w:hAnsi="Arial"/>
                <w:b/>
                <w:bCs/>
                <w:color w:val="f1faee"/>
                <w:sz w:val="22"/>
                <w:szCs w:val="22"/>
              </w:rPr>
              <w:t xml:space="preserve">Supply Chain Attacks</w:t>
            </w:r>
            <w:r>
              <w:rPr>
                <w:rFonts w:ascii="Courier New" w:cs="Courier New" w:eastAsia="Courier New" w:hAnsi="Courier New"/>
                <w:color w:val="457b9d"/>
                <w:sz w:val="14"/>
                <w:szCs w:val="14"/>
              </w:rPr>
              <w:t xml:space="preserve">  ·  01:50 – 02:30</w:t>
            </w:r>
          </w:p>
        </w:tc>
      </w:tr>
    </w:tbl>
    <w:p>
      <w:pPr>
        <w:spacing w:after="6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
        <w:gridCol w:w="10406"/>
      </w:tblGrid>
      <w:tr>
        <w:tc>
          <w:tcPr>
            <w:tcW w:type="dxa" w:w="60"/>
            <w:tcBorders>
              <w:top w:val="single" w:color="457b9d" w:sz="4"/>
              <w:left w:val="single" w:color="457b9d" w:sz="4"/>
              <w:bottom w:val="single" w:color="457b9d" w:sz="4"/>
              <w:right w:val="single" w:color="457b9d" w:sz="4"/>
            </w:tcBorders>
            <w:shd w:fill="457b9d" w:val="clear"/>
          </w:tcPr>
          <w:p>
            <w:pPr>
              <w:spacing w:after="60" w:before="60"/>
            </w:pPr>
            <w:r>
              <w:rPr>
                <w:rFonts w:ascii="Arial" w:cs="Arial" w:eastAsia="Arial" w:hAnsi="Arial"/>
                <w:color w:val="0f1923"/>
                <w:sz w:val="18"/>
                <w:szCs w:val="18"/>
              </w:rPr>
              <w:t xml:space="preserve"/>
            </w:r>
          </w:p>
        </w:tc>
        <w:tc>
          <w:tcPr>
            <w:tcW w:type="dxa" w:w="10406"/>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0" w:before="0"/>
            </w:pPr>
            <w:r>
              <w:rPr>
                <w:rFonts w:ascii="Arial" w:cs="Arial" w:eastAsia="Arial" w:hAnsi="Arial"/>
                <w:i/>
                <w:iCs/>
                <w:color w:val="1d3557"/>
                <w:sz w:val="17"/>
                <w:szCs w:val="17"/>
              </w:rPr>
              <w:t xml:space="preserve">For each case, write a two-sentence summary and complete the right-hand column. Take notes during the presentation — not afterwards.</w:t>
            </w:r>
          </w:p>
        </w:tc>
      </w:tr>
    </w:tbl>
    <w:p>
      <w:pPr>
        <w:pBdr>
          <w:bottom w:val="single" w:color="eef4f9" w:sz="4"/>
        </w:pBdr>
        <w:spacing w:after="60" w:before="160"/>
      </w:pPr>
      <w:r>
        <w:rPr>
          <w:rFonts w:ascii="Courier New" w:cs="Courier New" w:eastAsia="Courier New" w:hAnsi="Courier New"/>
          <w:b/>
          <w:bCs/>
          <w:color w:val="e63946"/>
          <w:sz w:val="15"/>
          <w:szCs w:val="15"/>
        </w:rPr>
        <w:t xml:space="preserve">3.1 — SolarWinds / SUNBURST (December 2020)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0"/>
        <w:gridCol w:w="120"/>
        <w:gridCol w:w="5546"/>
      </w:tblGrid>
      <w:tr>
        <w:tc>
          <w:tcPr>
            <w:tcW w:type="dxa" w:w="4800"/>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Case summary (2 sentences)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Technical vector</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Why detection was delayed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c>
          <w:tcPr>
            <w:tcW w:type="dxa" w:w="1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f1923"/>
                <w:sz w:val="18"/>
                <w:szCs w:val="18"/>
              </w:rPr>
              <w:t xml:space="preserve"/>
            </w:r>
          </w:p>
        </w:tc>
        <w:tc>
          <w:tcPr>
            <w:tcW w:type="dxa" w:w="5546"/>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Applied to Bee Pies</w:t>
            </w:r>
          </w:p>
          <w:p>
            <w:pPr>
              <w:spacing w:after="60" w:before="0"/>
            </w:pPr>
            <w:r>
              <w:rPr>
                <w:rFonts w:ascii="Arial" w:cs="Arial" w:eastAsia="Arial" w:hAnsi="Arial"/>
                <w:i/>
                <w:iCs/>
                <w:color w:val="7a92a8"/>
                <w:sz w:val="15"/>
                <w:szCs w:val="15"/>
              </w:rPr>
              <w:t xml:space="preserve">What structural condition from this case is present in the Bee Pies engagement? Cite the specific artefact.</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What your SBOM / dependency audit catches</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What it does not catch</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3.2 — Colonial Pipeline (May 2021)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0"/>
        <w:gridCol w:w="120"/>
        <w:gridCol w:w="5546"/>
      </w:tblGrid>
      <w:tr>
        <w:tc>
          <w:tcPr>
            <w:tcW w:type="dxa" w:w="4800"/>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Case summary (2 sentences)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Root cause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Why the operational impact was so severe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c>
          <w:tcPr>
            <w:tcW w:type="dxa" w:w="1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f1923"/>
                <w:sz w:val="18"/>
                <w:szCs w:val="18"/>
              </w:rPr>
              <w:t xml:space="preserve"/>
            </w:r>
          </w:p>
        </w:tc>
        <w:tc>
          <w:tcPr>
            <w:tcW w:type="dxa" w:w="5546"/>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Applied to Bee Pies</w:t>
            </w:r>
          </w:p>
          <w:p>
            <w:pPr>
              <w:spacing w:after="60" w:before="0"/>
            </w:pPr>
            <w:r>
              <w:rPr>
                <w:rFonts w:ascii="Arial" w:cs="Arial" w:eastAsia="Arial" w:hAnsi="Arial"/>
                <w:i/>
                <w:iCs/>
                <w:color w:val="7a92a8"/>
                <w:sz w:val="15"/>
                <w:szCs w:val="15"/>
              </w:rPr>
              <w:t xml:space="preserve">Which zero trust failure in Colonial maps most directly to a failure in the Bee Pies environment? Be specific.</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NIST CSF 2.0 control that addresses it</w:t>
            </w:r>
          </w:p>
          <w:p>
            <w:pPr>
              <w:spacing w:after="60" w:before="0"/>
            </w:pPr>
            <w:r>
              <w:rPr>
                <w:rFonts w:ascii="Arial" w:cs="Arial" w:eastAsia="Arial" w:hAnsi="Arial"/>
                <w:i/>
                <w:iCs/>
                <w:color w:val="7a92a8"/>
                <w:sz w:val="15"/>
                <w:szCs w:val="15"/>
              </w:rPr>
              <w:t xml:space="preserve">Name the function, category, and subcategory (e.g. PR.AC-1). Governance Lead: take this.</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3.3 — Synnovis / Qilin (June 2024)</w:t>
      </w:r>
    </w:p>
    <w:p>
      <w:pPr>
        <w:spacing w:after="4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
        <w:gridCol w:w="10406"/>
      </w:tblGrid>
      <w:tr>
        <w:tc>
          <w:tcPr>
            <w:tcW w:type="dxa" w:w="60"/>
            <w:tcBorders>
              <w:top w:val="single" w:color="e63946" w:sz="4"/>
              <w:left w:val="single" w:color="e63946" w:sz="4"/>
              <w:bottom w:val="single" w:color="e63946" w:sz="4"/>
              <w:right w:val="single" w:color="e63946" w:sz="4"/>
            </w:tcBorders>
            <w:shd w:fill="e63946" w:val="clear"/>
          </w:tcPr>
          <w:p>
            <w:pPr>
              <w:spacing w:after="60" w:before="60"/>
            </w:pPr>
            <w:r>
              <w:rPr>
                <w:rFonts w:ascii="Arial" w:cs="Arial" w:eastAsia="Arial" w:hAnsi="Arial"/>
                <w:color w:val="0f1923"/>
                <w:sz w:val="18"/>
                <w:szCs w:val="18"/>
              </w:rPr>
              <w:t xml:space="preserve"/>
            </w:r>
          </w:p>
        </w:tc>
        <w:tc>
          <w:tcPr>
            <w:tcW w:type="dxa" w:w="10406"/>
            <w:tcBorders>
              <w:top w:val="single" w:color="c8d8e8" w:sz="4"/>
              <w:left w:val="single" w:color="c8d8e8" w:sz="4"/>
              <w:bottom w:val="single" w:color="c8d8e8" w:sz="4"/>
              <w:right w:val="single" w:color="c8d8e8" w:sz="4"/>
            </w:tcBorders>
            <w:shd w:fill="fdf0f1" w:val="clear"/>
            <w:tcMar>
              <w:top w:type="dxa" w:w="80"/>
              <w:left w:type="dxa" w:w="120"/>
              <w:bottom w:type="dxa" w:w="80"/>
              <w:right w:type="dxa" w:w="120"/>
            </w:tcMar>
          </w:tcPr>
          <w:p>
            <w:pPr>
              <w:spacing w:after="0" w:before="0"/>
            </w:pPr>
            <w:r>
              <w:rPr>
                <w:rFonts w:ascii="Arial" w:cs="Arial" w:eastAsia="Arial" w:hAnsi="Arial"/>
                <w:color w:val="0f1923"/>
                <w:sz w:val="17"/>
                <w:szCs w:val="17"/>
              </w:rPr>
              <w:t xml:space="preserve">This case caused confirmed patient harm and a death. Notes should reflect the gravity of the outcome.</w:t>
            </w:r>
          </w:p>
        </w:tc>
      </w:tr>
    </w:tbl>
    <w:p>
      <w:pPr>
        <w:spacing w:after="6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0"/>
        <w:gridCol w:w="120"/>
        <w:gridCol w:w="5546"/>
      </w:tblGrid>
      <w:tr>
        <w:tc>
          <w:tcPr>
            <w:tcW w:type="dxa" w:w="4800"/>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Case summary (2 sentences)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Supply chain dimension</w:t>
            </w:r>
          </w:p>
          <w:p>
            <w:pPr>
              <w:spacing w:after="60" w:before="0"/>
            </w:pPr>
            <w:r>
              <w:rPr>
                <w:rFonts w:ascii="Arial" w:cs="Arial" w:eastAsia="Arial" w:hAnsi="Arial"/>
                <w:i/>
                <w:iCs/>
                <w:color w:val="7a92a8"/>
                <w:sz w:val="15"/>
                <w:szCs w:val="15"/>
              </w:rPr>
              <w:t xml:space="preserve">Who was attacked, and who bore the impact? Why does that distinction matter?</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c>
          <w:tcPr>
            <w:tcW w:type="dxa" w:w="1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f1923"/>
                <w:sz w:val="18"/>
                <w:szCs w:val="18"/>
              </w:rPr>
              <w:t xml:space="preserve"/>
            </w:r>
          </w:p>
        </w:tc>
        <w:tc>
          <w:tcPr>
            <w:tcW w:type="dxa" w:w="5546"/>
            <w:tcBorders>
              <w:top w:val="none" w:color="FFFFFF" w:sz="0"/>
              <w:left w:val="none" w:color="FFFFFF" w:sz="0"/>
              <w:bottom w:val="none" w:color="FFFFFF" w:sz="0"/>
              <w:right w:val="none" w:color="FFFFFF" w:sz="0"/>
            </w:tcBorders>
          </w:tcPr>
          <w:p>
            <w:pPr>
              <w:spacing w:after="40" w:before="120"/>
            </w:pPr>
            <w:r>
              <w:rPr>
                <w:rFonts w:ascii="Arial" w:cs="Arial" w:eastAsia="Arial" w:hAnsi="Arial"/>
                <w:b/>
                <w:bCs/>
                <w:color w:val="1d3557"/>
                <w:sz w:val="17"/>
                <w:szCs w:val="17"/>
              </w:rPr>
              <w:t xml:space="preserve">What this case establishes about supply chain risk</w:t>
            </w:r>
          </w:p>
          <w:p>
            <w:pPr>
              <w:spacing w:after="60" w:before="0"/>
            </w:pPr>
            <w:r>
              <w:rPr>
                <w:rFonts w:ascii="Arial" w:cs="Arial" w:eastAsia="Arial" w:hAnsi="Arial"/>
                <w:i/>
                <w:iCs/>
                <w:color w:val="7a92a8"/>
                <w:sz w:val="15"/>
                <w:szCs w:val="15"/>
              </w:rPr>
              <w:t xml:space="preserve">Write one sentence that would belong in your Investigative Report's supply chain section.</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pPr>
              <w:spacing w:after="40" w:before="120"/>
            </w:pPr>
            <w:r>
              <w:rPr>
                <w:rFonts w:ascii="Arial" w:cs="Arial" w:eastAsia="Arial" w:hAnsi="Arial"/>
                <w:b/>
                <w:bCs/>
                <w:color w:val="1d3557"/>
                <w:sz w:val="17"/>
                <w:szCs w:val="17"/>
              </w:rPr>
              <w:t xml:space="preserve">How does this change how you characterise risk severity?</w:t>
            </w:r>
          </w:p>
          <w:tbl>
            <w:tblPr>
              <w:tblW w:type="dxa" w:w="5546"/>
              <w:tblBorders>
                <w:top w:val="single" w:color="auto" w:sz="4"/>
                <w:left w:val="single" w:color="auto" w:sz="4"/>
                <w:bottom w:val="single" w:color="auto" w:sz="4"/>
                <w:right w:val="single" w:color="auto" w:sz="4"/>
                <w:insideH w:val="single" w:color="auto" w:sz="4"/>
                <w:insideV w:val="single" w:color="auto" w:sz="4"/>
              </w:tblBorders>
            </w:tblPr>
            <w:tblGrid>
              <w:gridCol w:w="5546"/>
            </w:tblGrid>
            <w:tr>
              <w:tc>
                <w:tcPr>
                  <w:tcW w:type="dxa" w:w="5546"/>
                  <w:tcBorders>
                    <w:top w:val="single" w:color="c8d8e8" w:sz="4"/>
                    <w:left w:val="single" w:color="c8d8e8" w:sz="4"/>
                    <w:bottom w:val="single" w:color="c8d8e8" w:sz="4"/>
                    <w:right w:val="single" w:color="c8d8e8" w:sz="4"/>
                  </w:tcBorders>
                  <w:shd w:fill="eef4f9" w:val="clear"/>
                  <w:tcMar>
                    <w:top w:type="dxa" w:w="90"/>
                    <w:left w:type="dxa" w:w="120"/>
                    <w:bottom w:type="dxa" w:w="90"/>
                    <w:right w:type="dxa" w:w="120"/>
                  </w:tcMar>
                </w:tcPr>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p>
                  <w:pPr>
                    <w:pBdr>
                      <w:bottom w:val="single" w:color="c8d8e8" w:sz="4"/>
                    </w:pBdr>
                    <w:spacing w:after="200" w:before="0"/>
                  </w:pPr>
                  <w:r>
                    <w:rPr>
                      <w:rFonts w:ascii="Arial" w:cs="Arial" w:eastAsia="Arial" w:hAnsi="Arial"/>
                      <w:color w:val="0f1923"/>
                      <w:sz w:val="18"/>
                      <w:szCs w:val="18"/>
                    </w:rPr>
                    <w:t xml:space="preserve"/>
                  </w:r>
                </w:p>
              </w:tc>
            </w:tr>
          </w:tbl>
          <w:p/>
        </w:tc>
      </w:tr>
    </w:tbl>
    <w:p>
      <w:pPr>
        <w:pageBreakBefore/>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1d3557" w:sz="4"/>
              <w:left w:val="single" w:color="1d3557" w:sz="4"/>
              <w:bottom w:val="single" w:color="1d3557" w:sz="4"/>
              <w:right w:val="single" w:color="1d3557" w:sz="4"/>
            </w:tcBorders>
            <w:shd w:fill="1d3557" w:val="clear"/>
            <w:tcMar>
              <w:top w:type="dxa" w:w="100"/>
              <w:left w:type="dxa" w:w="150"/>
              <w:bottom w:type="dxa" w:w="100"/>
              <w:right w:type="dxa" w:w="150"/>
            </w:tcMar>
          </w:tcPr>
          <w:p>
            <w:pPr>
              <w:spacing w:after="0" w:before="0"/>
            </w:pPr>
            <w:r>
              <w:rPr>
                <w:rFonts w:ascii="Courier New" w:cs="Courier New" w:eastAsia="Courier New" w:hAnsi="Courier New"/>
                <w:color w:val="457b9d"/>
                <w:sz w:val="14"/>
                <w:szCs w:val="14"/>
              </w:rPr>
              <w:t xml:space="preserve">PART 4  ·  </w:t>
            </w:r>
            <w:r>
              <w:rPr>
                <w:rFonts w:ascii="Arial" w:cs="Arial" w:eastAsia="Arial" w:hAnsi="Arial"/>
                <w:b/>
                <w:bCs/>
                <w:color w:val="f1faee"/>
                <w:sz w:val="22"/>
                <w:szCs w:val="22"/>
              </w:rPr>
              <w:t xml:space="preserve">Capstone — Finalise, Commit, Prepare</w:t>
            </w:r>
            <w:r>
              <w:rPr>
                <w:rFonts w:ascii="Courier New" w:cs="Courier New" w:eastAsia="Courier New" w:hAnsi="Courier New"/>
                <w:color w:val="457b9d"/>
                <w:sz w:val="14"/>
                <w:szCs w:val="14"/>
              </w:rPr>
              <w:t xml:space="preserve">  ·  02:30 – 04:00</w:t>
            </w:r>
          </w:p>
        </w:tc>
      </w:tr>
    </w:tbl>
    <w:p>
      <w:pPr>
        <w:pBdr>
          <w:bottom w:val="single" w:color="eef4f9" w:sz="4"/>
        </w:pBdr>
        <w:spacing w:after="60" w:before="160"/>
      </w:pPr>
      <w:r>
        <w:rPr>
          <w:rFonts w:ascii="Courier New" w:cs="Courier New" w:eastAsia="Courier New" w:hAnsi="Courier New"/>
          <w:b/>
          <w:bCs/>
          <w:color w:val="e63946"/>
          <w:sz w:val="15"/>
          <w:szCs w:val="15"/>
        </w:rPr>
        <w:t xml:space="preserve">4.1 — Report Update Plan  (group, 10 min)</w:t>
      </w:r>
    </w:p>
    <w:p>
      <w:pPr>
        <w:spacing w:after="80" w:before="40"/>
      </w:pPr>
      <w:r>
        <w:rPr>
          <w:rFonts w:ascii="Arial" w:cs="Arial" w:eastAsia="Arial" w:hAnsi="Arial"/>
          <w:i/>
          <w:iCs/>
          <w:color w:val="7a92a8"/>
          <w:sz w:val="16"/>
          <w:szCs w:val="16"/>
        </w:rPr>
        <w:t xml:space="preserve">Agree as a group what each person is committing today before they start committing it. Record it here.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6066"/>
      </w:tblGrid>
      <w:tr>
        <w:trPr>
          <w:tblHeader/>
        </w:trPr>
        <w:tc>
          <w:tcPr>
            <w:tcW w:type="dxa" w:w="22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Consultant</w:t>
            </w:r>
          </w:p>
        </w:tc>
        <w:tc>
          <w:tcPr>
            <w:tcW w:type="dxa" w:w="22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Role</w:t>
            </w:r>
          </w:p>
        </w:tc>
        <w:tc>
          <w:tcPr>
            <w:tcW w:type="dxa" w:w="606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Committing today (specific file / section)</w:t>
            </w:r>
          </w:p>
        </w:tc>
      </w:tr>
      <w:tr>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60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2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60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60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22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60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22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60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4.2 — Role-Specific Capstone Tasks</w:t>
      </w:r>
    </w:p>
    <w:p>
      <w:pPr>
        <w:spacing w:after="80" w:before="40"/>
      </w:pPr>
      <w:r>
        <w:rPr>
          <w:rFonts w:ascii="Arial" w:cs="Arial" w:eastAsia="Arial" w:hAnsi="Arial"/>
          <w:i/>
          <w:iCs/>
          <w:color w:val="7a92a8"/>
          <w:sz w:val="16"/>
          <w:szCs w:val="16"/>
        </w:rPr>
        <w:t xml:space="preserve">Work through the tasks for your role. Tick each item when committed to the repository, not when drafted.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e63946" w:sz="10"/>
              </w:pBdr>
              <w:spacing w:after="60" w:before="0"/>
            </w:pPr>
            <w:r>
              <w:rPr>
                <w:rFonts w:ascii="Arial" w:cs="Arial" w:eastAsia="Arial" w:hAnsi="Arial"/>
                <w:b/>
                <w:bCs/>
                <w:color w:val="e63946"/>
                <w:sz w:val="17"/>
                <w:szCs w:val="17"/>
              </w:rPr>
              <w:t xml:space="preserve">All roles</w:t>
            </w:r>
          </w:p>
          <w:p>
            <w:pPr>
              <w:pStyle w:val="ListParagraph"/>
              <w:numPr>
                <w:ilvl w:val="0"/>
                <w:numId w:val="2"/>
              </w:numPr>
              <w:spacing w:after="40" w:before="0"/>
            </w:pPr>
            <w:r>
              <w:rPr>
                <w:rFonts w:ascii="Arial" w:cs="Arial" w:eastAsia="Arial" w:hAnsi="Arial"/>
                <w:color w:val="0f1923"/>
                <w:sz w:val="16"/>
                <w:szCs w:val="16"/>
              </w:rPr>
              <w:t xml:space="preserve">Hypothesis board table committed to role folder</w:t>
            </w:r>
          </w:p>
          <w:p>
            <w:pPr>
              <w:pStyle w:val="ListParagraph"/>
              <w:numPr>
                <w:ilvl w:val="0"/>
                <w:numId w:val="2"/>
              </w:numPr>
              <w:spacing w:after="40" w:before="0"/>
            </w:pPr>
            <w:r>
              <w:rPr>
                <w:rFonts w:ascii="Arial" w:cs="Arial" w:eastAsia="Arial" w:hAnsi="Arial"/>
                <w:color w:val="0f1923"/>
                <w:sz w:val="16"/>
                <w:szCs w:val="16"/>
              </w:rPr>
              <w:t xml:space="preserve">STRIDE table (§1.2 above) committed as a repository artefact</w:t>
            </w:r>
          </w:p>
          <w:p>
            <w:pPr>
              <w:pStyle w:val="ListParagraph"/>
              <w:numPr>
                <w:ilvl w:val="0"/>
                <w:numId w:val="2"/>
              </w:numPr>
              <w:spacing w:after="40" w:before="0"/>
            </w:pPr>
            <w:r>
              <w:rPr>
                <w:rFonts w:ascii="Arial" w:cs="Arial" w:eastAsia="Arial" w:hAnsi="Arial"/>
                <w:color w:val="0f1923"/>
                <w:sz w:val="16"/>
                <w:szCs w:val="16"/>
              </w:rPr>
              <w:t xml:space="preserve">Role Evidence Document updated with today's session entry</w:t>
            </w:r>
          </w:p>
          <w:p>
            <w:pPr>
              <w:pStyle w:val="ListParagraph"/>
              <w:numPr>
                <w:ilvl w:val="0"/>
                <w:numId w:val="2"/>
              </w:numPr>
              <w:spacing w:after="40" w:before="0"/>
            </w:pPr>
            <w:r>
              <w:rPr>
                <w:rFonts w:ascii="Arial" w:cs="Arial" w:eastAsia="Arial" w:hAnsi="Arial"/>
                <w:color w:val="0f1923"/>
                <w:sz w:val="16"/>
                <w:szCs w:val="16"/>
              </w:rPr>
              <w:t xml:space="preserve">At least one GPG-signed commit from your UOGM account today</w:t>
            </w:r>
          </w:p>
        </w:tc>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457b9d" w:sz="10"/>
              </w:pBdr>
              <w:spacing w:after="60" w:before="0"/>
            </w:pPr>
            <w:r>
              <w:rPr>
                <w:rFonts w:ascii="Arial" w:cs="Arial" w:eastAsia="Arial" w:hAnsi="Arial"/>
                <w:b/>
                <w:bCs/>
                <w:color w:val="1d3557"/>
                <w:sz w:val="17"/>
                <w:szCs w:val="17"/>
              </w:rPr>
              <w:t xml:space="preserve">Code Security Lead</w:t>
            </w:r>
          </w:p>
          <w:p>
            <w:pPr>
              <w:pStyle w:val="ListParagraph"/>
              <w:numPr>
                <w:ilvl w:val="0"/>
                <w:numId w:val="2"/>
              </w:numPr>
              <w:spacing w:after="40" w:before="0"/>
            </w:pPr>
            <w:r>
              <w:rPr>
                <w:rFonts w:ascii="Arial" w:cs="Arial" w:eastAsia="Arial" w:hAnsi="Arial"/>
                <w:color w:val="0f1923"/>
                <w:sz w:val="16"/>
                <w:szCs w:val="16"/>
              </w:rPr>
              <w:t xml:space="preserve">Final Bandit triage committed and annotated</w:t>
            </w:r>
          </w:p>
          <w:p>
            <w:pPr>
              <w:pStyle w:val="ListParagraph"/>
              <w:numPr>
                <w:ilvl w:val="0"/>
                <w:numId w:val="2"/>
              </w:numPr>
              <w:spacing w:after="40" w:before="0"/>
            </w:pPr>
            <w:r>
              <w:rPr>
                <w:rFonts w:ascii="Arial" w:cs="Arial" w:eastAsia="Arial" w:hAnsi="Arial"/>
                <w:color w:val="0f1923"/>
                <w:sz w:val="16"/>
                <w:szCs w:val="16"/>
              </w:rPr>
              <w:t xml:space="preserve">Patch diffs present for every critical finding</w:t>
            </w:r>
          </w:p>
          <w:p>
            <w:pPr>
              <w:pStyle w:val="ListParagraph"/>
              <w:numPr>
                <w:ilvl w:val="0"/>
                <w:numId w:val="2"/>
              </w:numPr>
              <w:spacing w:after="40" w:before="0"/>
            </w:pPr>
            <w:r>
              <w:rPr>
                <w:rFonts w:ascii="Arial" w:cs="Arial" w:eastAsia="Arial" w:hAnsi="Arial"/>
                <w:color w:val="0f1923"/>
                <w:sz w:val="16"/>
                <w:szCs w:val="16"/>
              </w:rPr>
              <w:t xml:space="preserve">Before/after verification artefacts in role folder</w:t>
            </w:r>
          </w:p>
          <w:p>
            <w:pPr>
              <w:pStyle w:val="ListParagraph"/>
              <w:numPr>
                <w:ilvl w:val="0"/>
                <w:numId w:val="2"/>
              </w:numPr>
              <w:spacing w:after="40" w:before="0"/>
            </w:pPr>
            <w:r>
              <w:rPr>
                <w:rFonts w:ascii="Arial" w:cs="Arial" w:eastAsia="Arial" w:hAnsi="Arial"/>
                <w:color w:val="0f1923"/>
                <w:sz w:val="16"/>
                <w:szCs w:val="16"/>
              </w:rPr>
              <w:t xml:space="preserve">Section 3 of Investigative Report reviewed and final</w:t>
            </w:r>
          </w:p>
        </w:tc>
      </w:tr>
      <w:tr>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457b9d" w:sz="10"/>
              </w:pBdr>
              <w:spacing w:after="60" w:before="0"/>
            </w:pPr>
            <w:r>
              <w:rPr>
                <w:rFonts w:ascii="Arial" w:cs="Arial" w:eastAsia="Arial" w:hAnsi="Arial"/>
                <w:b/>
                <w:bCs/>
                <w:color w:val="1d3557"/>
                <w:sz w:val="17"/>
                <w:szCs w:val="17"/>
              </w:rPr>
              <w:t xml:space="preserve">System Hardening Lead</w:t>
            </w:r>
          </w:p>
          <w:p>
            <w:pPr>
              <w:pStyle w:val="ListParagraph"/>
              <w:numPr>
                <w:ilvl w:val="0"/>
                <w:numId w:val="2"/>
              </w:numPr>
              <w:spacing w:after="40" w:before="0"/>
            </w:pPr>
            <w:r>
              <w:rPr>
                <w:rFonts w:ascii="Arial" w:cs="Arial" w:eastAsia="Arial" w:hAnsi="Arial"/>
                <w:color w:val="0f1923"/>
                <w:sz w:val="16"/>
                <w:szCs w:val="16"/>
              </w:rPr>
              <w:t xml:space="preserve">CIS Benchmark before/after comparisons committed</w:t>
            </w:r>
          </w:p>
          <w:p>
            <w:pPr>
              <w:pStyle w:val="ListParagraph"/>
              <w:numPr>
                <w:ilvl w:val="0"/>
                <w:numId w:val="2"/>
              </w:numPr>
              <w:spacing w:after="40" w:before="0"/>
            </w:pPr>
            <w:r>
              <w:rPr>
                <w:rFonts w:ascii="Arial" w:cs="Arial" w:eastAsia="Arial" w:hAnsi="Arial"/>
                <w:color w:val="0f1923"/>
                <w:sz w:val="16"/>
                <w:szCs w:val="16"/>
              </w:rPr>
              <w:t xml:space="preserve">Three distinct hardening measures documented with justification</w:t>
            </w:r>
          </w:p>
          <w:p>
            <w:pPr>
              <w:pStyle w:val="ListParagraph"/>
              <w:numPr>
                <w:ilvl w:val="0"/>
                <w:numId w:val="2"/>
              </w:numPr>
              <w:spacing w:after="40" w:before="0"/>
            </w:pPr>
            <w:r>
              <w:rPr>
                <w:rFonts w:ascii="Arial" w:cs="Arial" w:eastAsia="Arial" w:hAnsi="Arial"/>
                <w:color w:val="0f1923"/>
                <w:sz w:val="16"/>
                <w:szCs w:val="16"/>
              </w:rPr>
              <w:t xml:space="preserve">User account audit artefact in role folder</w:t>
            </w:r>
          </w:p>
          <w:p>
            <w:pPr>
              <w:pStyle w:val="ListParagraph"/>
              <w:numPr>
                <w:ilvl w:val="0"/>
                <w:numId w:val="2"/>
              </w:numPr>
              <w:spacing w:after="40" w:before="0"/>
            </w:pPr>
            <w:r>
              <w:rPr>
                <w:rFonts w:ascii="Arial" w:cs="Arial" w:eastAsia="Arial" w:hAnsi="Arial"/>
                <w:color w:val="0f1923"/>
                <w:sz w:val="16"/>
                <w:szCs w:val="16"/>
              </w:rPr>
              <w:t xml:space="preserve">Section 4 (Remediation) contribution final</w:t>
            </w:r>
          </w:p>
        </w:tc>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457b9d" w:sz="10"/>
              </w:pBdr>
              <w:spacing w:after="60" w:before="0"/>
            </w:pPr>
            <w:r>
              <w:rPr>
                <w:rFonts w:ascii="Arial" w:cs="Arial" w:eastAsia="Arial" w:hAnsi="Arial"/>
                <w:b/>
                <w:bCs/>
                <w:color w:val="1d3557"/>
                <w:sz w:val="17"/>
                <w:szCs w:val="17"/>
              </w:rPr>
              <w:t xml:space="preserve">Network &amp; Threat Modelling Lead</w:t>
            </w:r>
          </w:p>
          <w:p>
            <w:pPr>
              <w:pStyle w:val="ListParagraph"/>
              <w:numPr>
                <w:ilvl w:val="0"/>
                <w:numId w:val="2"/>
              </w:numPr>
              <w:spacing w:after="40" w:before="0"/>
            </w:pPr>
            <w:r>
              <w:rPr>
                <w:rFonts w:ascii="Arial" w:cs="Arial" w:eastAsia="Arial" w:hAnsi="Arial"/>
                <w:color w:val="0f1923"/>
                <w:sz w:val="16"/>
                <w:szCs w:val="16"/>
              </w:rPr>
              <w:t xml:space="preserve">Final STRIDE table committed as versioned artefact</w:t>
            </w:r>
          </w:p>
          <w:p>
            <w:pPr>
              <w:pStyle w:val="ListParagraph"/>
              <w:numPr>
                <w:ilvl w:val="0"/>
                <w:numId w:val="2"/>
              </w:numPr>
              <w:spacing w:after="40" w:before="0"/>
            </w:pPr>
            <w:r>
              <w:rPr>
                <w:rFonts w:ascii="Arial" w:cs="Arial" w:eastAsia="Arial" w:hAnsi="Arial"/>
                <w:color w:val="0f1923"/>
                <w:sz w:val="16"/>
                <w:szCs w:val="16"/>
              </w:rPr>
              <w:t xml:space="preserve">Attack surface diagram committed (diagram, not notes)</w:t>
            </w:r>
          </w:p>
          <w:p>
            <w:pPr>
              <w:pStyle w:val="ListParagraph"/>
              <w:numPr>
                <w:ilvl w:val="0"/>
                <w:numId w:val="2"/>
              </w:numPr>
              <w:spacing w:after="40" w:before="0"/>
            </w:pPr>
            <w:r>
              <w:rPr>
                <w:rFonts w:ascii="Arial" w:cs="Arial" w:eastAsia="Arial" w:hAnsi="Arial"/>
                <w:color w:val="0f1923"/>
                <w:sz w:val="16"/>
                <w:szCs w:val="16"/>
              </w:rPr>
              <w:t xml:space="preserve">pcap findings document committed to role folder</w:t>
            </w:r>
          </w:p>
          <w:p>
            <w:pPr>
              <w:pStyle w:val="ListParagraph"/>
              <w:numPr>
                <w:ilvl w:val="0"/>
                <w:numId w:val="2"/>
              </w:numPr>
              <w:spacing w:after="40" w:before="0"/>
            </w:pPr>
            <w:r>
              <w:rPr>
                <w:rFonts w:ascii="Arial" w:cs="Arial" w:eastAsia="Arial" w:hAnsi="Arial"/>
                <w:color w:val="0f1923"/>
                <w:sz w:val="16"/>
                <w:szCs w:val="16"/>
              </w:rPr>
              <w:t xml:space="preserve">Section 2 (Threat Model) final version committed</w:t>
            </w:r>
          </w:p>
        </w:tc>
      </w:tr>
      <w:tr>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457b9d" w:sz="10"/>
              </w:pBdr>
              <w:spacing w:after="60" w:before="0"/>
            </w:pPr>
            <w:r>
              <w:rPr>
                <w:rFonts w:ascii="Arial" w:cs="Arial" w:eastAsia="Arial" w:hAnsi="Arial"/>
                <w:b/>
                <w:bCs/>
                <w:color w:val="1d3557"/>
                <w:sz w:val="17"/>
                <w:szCs w:val="17"/>
              </w:rPr>
              <w:t xml:space="preserve">Governance &amp; Risk Lead</w:t>
            </w:r>
          </w:p>
          <w:p>
            <w:pPr>
              <w:pStyle w:val="ListParagraph"/>
              <w:numPr>
                <w:ilvl w:val="0"/>
                <w:numId w:val="2"/>
              </w:numPr>
              <w:spacing w:after="40" w:before="0"/>
            </w:pPr>
            <w:r>
              <w:rPr>
                <w:rFonts w:ascii="Arial" w:cs="Arial" w:eastAsia="Arial" w:hAnsi="Arial"/>
                <w:color w:val="0f1923"/>
                <w:sz w:val="16"/>
                <w:szCs w:val="16"/>
              </w:rPr>
              <w:t xml:space="preserve">Risk register at minimum six entries, all fields complete</w:t>
            </w:r>
          </w:p>
          <w:p>
            <w:pPr>
              <w:pStyle w:val="ListParagraph"/>
              <w:numPr>
                <w:ilvl w:val="0"/>
                <w:numId w:val="2"/>
              </w:numPr>
              <w:spacing w:after="40" w:before="0"/>
            </w:pPr>
            <w:r>
              <w:rPr>
                <w:rFonts w:ascii="Arial" w:cs="Arial" w:eastAsia="Arial" w:hAnsi="Arial"/>
                <w:color w:val="0f1923"/>
                <w:sz w:val="16"/>
                <w:szCs w:val="16"/>
              </w:rPr>
              <w:t xml:space="preserve">NIST CSF 2.0 control artefact committed and testable in the environment</w:t>
            </w:r>
          </w:p>
          <w:p>
            <w:pPr>
              <w:pStyle w:val="ListParagraph"/>
              <w:numPr>
                <w:ilvl w:val="0"/>
                <w:numId w:val="2"/>
              </w:numPr>
              <w:spacing w:after="40" w:before="0"/>
            </w:pPr>
            <w:r>
              <w:rPr>
                <w:rFonts w:ascii="Arial" w:cs="Arial" w:eastAsia="Arial" w:hAnsi="Arial"/>
                <w:color w:val="0f1923"/>
                <w:sz w:val="16"/>
                <w:szCs w:val="16"/>
              </w:rPr>
              <w:t xml:space="preserve">Policy recommendation document committed (client-facing language)</w:t>
            </w:r>
          </w:p>
          <w:p>
            <w:pPr>
              <w:pStyle w:val="ListParagraph"/>
              <w:numPr>
                <w:ilvl w:val="0"/>
                <w:numId w:val="2"/>
              </w:numPr>
              <w:spacing w:after="40" w:before="0"/>
            </w:pPr>
            <w:r>
              <w:rPr>
                <w:rFonts w:ascii="Arial" w:cs="Arial" w:eastAsia="Arial" w:hAnsi="Arial"/>
                <w:color w:val="0f1923"/>
                <w:sz w:val="16"/>
                <w:szCs w:val="16"/>
              </w:rPr>
              <w:t xml:space="preserve">Section 5 (Organisational Recommendations) final</w:t>
            </w:r>
          </w:p>
        </w:tc>
        <w:tc>
          <w:tcPr>
            <w:tcW w:type="dxa" w:w="5233"/>
            <w:tcBorders>
              <w:top w:val="single" w:color="c8d8e8" w:sz="4"/>
              <w:left w:val="single" w:color="c8d8e8" w:sz="4"/>
              <w:bottom w:val="single" w:color="c8d8e8" w:sz="4"/>
              <w:right w:val="single" w:color="c8d8e8" w:sz="4"/>
            </w:tcBorders>
            <w:shd w:fill="FFFFFF" w:val="clear"/>
            <w:tcMar>
              <w:top w:type="dxa" w:w="90"/>
              <w:left w:type="dxa" w:w="130"/>
              <w:bottom w:type="dxa" w:w="90"/>
              <w:right w:type="dxa" w:w="130"/>
            </w:tcMar>
          </w:tcPr>
          <w:p>
            <w:pPr>
              <w:pBdr>
                <w:top w:val="single" w:color="457b9d" w:sz="10"/>
              </w:pBdr>
              <w:spacing w:after="60" w:before="0"/>
            </w:pPr>
            <w:r>
              <w:rPr>
                <w:rFonts w:ascii="Arial" w:cs="Arial" w:eastAsia="Arial" w:hAnsi="Arial"/>
                <w:b/>
                <w:bCs/>
                <w:color w:val="1d3557"/>
                <w:sz w:val="17"/>
                <w:szCs w:val="17"/>
              </w:rPr>
              <w:t xml:space="preserve">DevSecOps &amp; Supply Chain Lead</w:t>
            </w:r>
          </w:p>
          <w:p>
            <w:pPr>
              <w:pStyle w:val="ListParagraph"/>
              <w:numPr>
                <w:ilvl w:val="0"/>
                <w:numId w:val="2"/>
              </w:numPr>
              <w:spacing w:after="40" w:before="0"/>
            </w:pPr>
            <w:r>
              <w:rPr>
                <w:rFonts w:ascii="Arial" w:cs="Arial" w:eastAsia="Arial" w:hAnsi="Arial"/>
                <w:color w:val="0f1923"/>
                <w:sz w:val="16"/>
                <w:szCs w:val="16"/>
              </w:rPr>
              <w:t xml:space="preserve">SBOM committed (CycloneDX format)</w:t>
            </w:r>
          </w:p>
          <w:p>
            <w:pPr>
              <w:pStyle w:val="ListParagraph"/>
              <w:numPr>
                <w:ilvl w:val="0"/>
                <w:numId w:val="2"/>
              </w:numPr>
              <w:spacing w:after="40" w:before="0"/>
            </w:pPr>
            <w:r>
              <w:rPr>
                <w:rFonts w:ascii="Arial" w:cs="Arial" w:eastAsia="Arial" w:hAnsi="Arial"/>
                <w:color w:val="0f1923"/>
                <w:sz w:val="16"/>
                <w:szCs w:val="16"/>
              </w:rPr>
              <w:t xml:space="preserve">Dependency audit output committed</w:t>
            </w:r>
          </w:p>
          <w:p>
            <w:pPr>
              <w:pStyle w:val="ListParagraph"/>
              <w:numPr>
                <w:ilvl w:val="0"/>
                <w:numId w:val="2"/>
              </w:numPr>
              <w:spacing w:after="40" w:before="0"/>
            </w:pPr>
            <w:r>
              <w:rPr>
                <w:rFonts w:ascii="Arial" w:cs="Arial" w:eastAsia="Arial" w:hAnsi="Arial"/>
                <w:color w:val="0f1923"/>
                <w:sz w:val="16"/>
                <w:szCs w:val="16"/>
              </w:rPr>
              <w:t xml:space="preserve">.env git history finding documented with full impact assessment</w:t>
            </w:r>
          </w:p>
          <w:p>
            <w:pPr>
              <w:pStyle w:val="ListParagraph"/>
              <w:numPr>
                <w:ilvl w:val="0"/>
                <w:numId w:val="2"/>
              </w:numPr>
              <w:spacing w:after="40" w:before="0"/>
            </w:pPr>
            <w:r>
              <w:rPr>
                <w:rFonts w:ascii="Arial" w:cs="Arial" w:eastAsia="Arial" w:hAnsi="Arial"/>
                <w:color w:val="0f1923"/>
                <w:sz w:val="16"/>
                <w:szCs w:val="16"/>
              </w:rPr>
              <w:t xml:space="preserve">At least one implemented control demonstrated and committed</w:t>
            </w:r>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4.3 — Residual Risk Statement</w:t>
      </w:r>
    </w:p>
    <w:p>
      <w:pPr>
        <w:spacing w:after="80" w:before="40"/>
      </w:pPr>
      <w:r>
        <w:rPr>
          <w:rFonts w:ascii="Arial" w:cs="Arial" w:eastAsia="Arial" w:hAnsi="Arial"/>
          <w:i/>
          <w:iCs/>
          <w:color w:val="7a92a8"/>
          <w:sz w:val="16"/>
          <w:szCs w:val="16"/>
        </w:rPr>
        <w:t xml:space="preserve">After all remediations: what threats remain unmitigated? State why each was not addressed and what compensating control exists. A blank residual risk statement is a finding against your report, not a sign that you did well.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3383"/>
        <w:gridCol w:w="4383"/>
      </w:tblGrid>
      <w:tr>
        <w:trPr>
          <w:tblHeader/>
        </w:trPr>
        <w:tc>
          <w:tcPr>
            <w:tcW w:type="dxa" w:w="27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Remaining threat</w:t>
            </w:r>
          </w:p>
        </w:tc>
        <w:tc>
          <w:tcPr>
            <w:tcW w:type="dxa" w:w="3383"/>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Why not fully mitigated</w:t>
            </w:r>
          </w:p>
        </w:tc>
        <w:tc>
          <w:tcPr>
            <w:tcW w:type="dxa" w:w="4383"/>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Compensating control or recommendation</w:t>
            </w:r>
          </w:p>
        </w:tc>
      </w:tr>
      <w:tr>
        <w:tc>
          <w:tcPr>
            <w:tcW w:type="dxa" w:w="27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338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38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700"/>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3383"/>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383"/>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r>
        <w:tc>
          <w:tcPr>
            <w:tcW w:type="dxa" w:w="2700"/>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338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c>
          <w:tcPr>
            <w:tcW w:type="dxa" w:w="4383"/>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p>
            <w:pPr>
              <w:spacing w:after="100" w:before="0"/>
            </w:pPr>
            <w:r>
              <w:rPr>
                <w:rFonts w:ascii="Arial" w:cs="Arial" w:eastAsia="Arial" w:hAnsi="Arial"/>
                <w:color w:val="0f1923"/>
                <w:sz w:val="18"/>
                <w:szCs w:val="18"/>
              </w:rPr>
              <w:t xml:space="preserve"/>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f1923" w:sz="4"/>
              <w:left w:val="single" w:color="0f1923" w:sz="4"/>
              <w:bottom w:val="single" w:color="0f1923" w:sz="4"/>
              <w:right w:val="single" w:color="0f1923" w:sz="4"/>
            </w:tcBorders>
            <w:shd w:fill="0f1923" w:val="clear"/>
            <w:tcMar>
              <w:top w:type="dxa" w:w="100"/>
              <w:left w:type="dxa" w:w="150"/>
              <w:bottom w:type="dxa" w:w="100"/>
              <w:right w:type="dxa" w:w="150"/>
            </w:tcMar>
          </w:tcPr>
          <w:p>
            <w:pPr>
              <w:spacing w:after="0" w:before="0"/>
            </w:pPr>
            <w:r>
              <w:rPr>
                <w:rFonts w:ascii="Courier New" w:cs="Courier New" w:eastAsia="Courier New" w:hAnsi="Courier New"/>
                <w:color w:val="457b9d"/>
                <w:sz w:val="14"/>
                <w:szCs w:val="14"/>
              </w:rPr>
              <w:t xml:space="preserve">DEMO PREP  ·  </w:t>
            </w:r>
            <w:r>
              <w:rPr>
                <w:rFonts w:ascii="Arial" w:cs="Arial" w:eastAsia="Arial" w:hAnsi="Arial"/>
                <w:b/>
                <w:bCs/>
                <w:color w:val="f1faee"/>
                <w:sz w:val="22"/>
                <w:szCs w:val="22"/>
              </w:rPr>
              <w:t xml:space="preserve">Session 5B — Before Your Slot</w:t>
            </w:r>
            <w:r>
              <w:rPr>
                <w:rFonts w:ascii="Courier New" w:cs="Courier New" w:eastAsia="Courier New" w:hAnsi="Courier New"/>
                <w:color w:val="457b9d"/>
                <w:sz w:val="14"/>
                <w:szCs w:val="14"/>
              </w:rPr>
              <w:t xml:space="preserve">  ·  03:45 – 04:00</w:t>
            </w:r>
          </w:p>
        </w:tc>
      </w:tr>
    </w:tbl>
    <w:p>
      <w:pPr>
        <w:spacing w:after="6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
        <w:gridCol w:w="10406"/>
      </w:tblGrid>
      <w:tr>
        <w:tc>
          <w:tcPr>
            <w:tcW w:type="dxa" w:w="60"/>
            <w:tcBorders>
              <w:top w:val="single" w:color="457b9d" w:sz="4"/>
              <w:left w:val="single" w:color="457b9d" w:sz="4"/>
              <w:bottom w:val="single" w:color="457b9d" w:sz="4"/>
              <w:right w:val="single" w:color="457b9d" w:sz="4"/>
            </w:tcBorders>
            <w:shd w:fill="457b9d" w:val="clear"/>
          </w:tcPr>
          <w:p>
            <w:pPr>
              <w:spacing w:after="60" w:before="60"/>
            </w:pPr>
            <w:r>
              <w:rPr>
                <w:rFonts w:ascii="Arial" w:cs="Arial" w:eastAsia="Arial" w:hAnsi="Arial"/>
                <w:color w:val="0f1923"/>
                <w:sz w:val="18"/>
                <w:szCs w:val="18"/>
              </w:rPr>
              <w:t xml:space="preserve"/>
            </w:r>
          </w:p>
        </w:tc>
        <w:tc>
          <w:tcPr>
            <w:tcW w:type="dxa" w:w="10406"/>
            <w:tcBorders>
              <w:top w:val="single" w:color="c8d8e8" w:sz="4"/>
              <w:left w:val="single" w:color="c8d8e8" w:sz="4"/>
              <w:bottom w:val="single" w:color="c8d8e8" w:sz="4"/>
              <w:right w:val="single" w:color="c8d8e8" w:sz="4"/>
            </w:tcBorders>
            <w:shd w:fill="eef4f9" w:val="clear"/>
            <w:tcMar>
              <w:top w:type="dxa" w:w="80"/>
              <w:left w:type="dxa" w:w="120"/>
              <w:bottom w:type="dxa" w:w="80"/>
              <w:right w:type="dxa" w:w="120"/>
            </w:tcMar>
          </w:tcPr>
          <w:p>
            <w:pPr>
              <w:spacing w:after="0" w:before="0"/>
            </w:pPr>
            <w:r>
              <w:rPr>
                <w:rFonts w:ascii="Arial" w:cs="Arial" w:eastAsia="Arial" w:hAnsi="Arial"/>
                <w:i/>
                <w:iCs/>
                <w:color w:val="1d3557"/>
                <w:sz w:val="17"/>
                <w:szCs w:val="17"/>
              </w:rPr>
              <w:t xml:space="preserve">Your Zoom slot for Session 5B has been pre-allocated. The three assessor questions for your role are in the Assignment Brief appendices. Read them now and prepare a specific, evidenced answer — not a script, a response you can deliver confidently with the artefact open in front of you.</w:t>
            </w:r>
          </w:p>
        </w:tc>
      </w:tr>
    </w:tbl>
    <w:p>
      <w:pPr>
        <w:spacing w:after="60" w:before="0"/>
      </w:pPr>
    </w:p>
    <w:p>
      <w:pPr>
        <w:pBdr>
          <w:bottom w:val="single" w:color="eef4f9" w:sz="4"/>
        </w:pBdr>
        <w:spacing w:after="60" w:before="160"/>
      </w:pPr>
      <w:r>
        <w:rPr>
          <w:rFonts w:ascii="Courier New" w:cs="Courier New" w:eastAsia="Courier New" w:hAnsi="Courier New"/>
          <w:b/>
          <w:bCs/>
          <w:color w:val="e63946"/>
          <w:sz w:val="15"/>
          <w:szCs w:val="15"/>
        </w:rPr>
        <w:t xml:space="preserve">ASSESSOR QUESTION PREPARATION  (your role only)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9966"/>
      </w:tblGrid>
      <w:tr>
        <w:trPr>
          <w:tblHeader/>
        </w:trPr>
        <w:tc>
          <w:tcPr>
            <w:tcW w:type="dxa" w:w="500"/>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Q</w:t>
            </w:r>
          </w:p>
        </w:tc>
        <w:tc>
          <w:tcPr>
            <w:tcW w:type="dxa" w:w="9966"/>
            <w:tcBorders>
              <w:top w:val="single" w:color="1d3557" w:sz="4"/>
              <w:left w:val="single" w:color="1d3557" w:sz="4"/>
              <w:bottom w:val="single" w:color="1d3557" w:sz="4"/>
              <w:right w:val="single" w:color="1d3557" w:sz="4"/>
            </w:tcBorders>
            <w:shd w:fill="1d3557" w:val="clear"/>
            <w:tcMar>
              <w:top w:type="dxa" w:w="50"/>
              <w:left w:type="dxa" w:w="80"/>
              <w:bottom w:type="dxa" w:w="50"/>
              <w:right w:type="dxa" w:w="80"/>
            </w:tcMar>
            <w:vAlign w:val="center"/>
          </w:tcPr>
          <w:p>
            <w:pPr>
              <w:spacing w:after="0" w:before="0"/>
            </w:pPr>
            <w:r>
              <w:rPr>
                <w:rFonts w:ascii="Arial" w:cs="Arial" w:eastAsia="Arial" w:hAnsi="Arial"/>
                <w:b/>
                <w:bCs/>
                <w:color w:val="f1faee"/>
                <w:sz w:val="15"/>
                <w:szCs w:val="15"/>
              </w:rPr>
              <w:t xml:space="preserve">Question text (copy from Brief appendix) &amp; your planned answer — cite the artefact you will show live</w:t>
            </w:r>
          </w:p>
        </w:tc>
      </w:tr>
      <w:tr>
        <w:tc>
          <w:tcPr>
            <w:tcW w:type="dxa" w:w="500"/>
            <w:tcBorders>
              <w:top w:val="single" w:color="c8d8e8" w:sz="4"/>
              <w:left w:val="single" w:color="c8d8e8" w:sz="4"/>
              <w:bottom w:val="single" w:color="c8d8e8" w:sz="4"/>
              <w:right w:val="single" w:color="c8d8e8" w:sz="4"/>
            </w:tcBorders>
            <w:shd w:fill="f0f5fa" w:val="clear"/>
            <w:tcMar>
              <w:top w:type="dxa" w:w="80"/>
              <w:left w:type="dxa" w:w="100"/>
              <w:bottom w:type="dxa" w:w="80"/>
              <w:right w:type="dxa" w:w="100"/>
            </w:tcMar>
            <w:vAlign w:val="top"/>
          </w:tcPr>
          <w:p>
            <w:pPr>
              <w:spacing w:after="0" w:before="0"/>
              <w:jc w:val="center"/>
            </w:pPr>
            <w:r>
              <w:rPr>
                <w:rFonts w:ascii="Arial" w:cs="Arial" w:eastAsia="Arial" w:hAnsi="Arial"/>
                <w:b/>
                <w:bCs/>
                <w:color w:val="1d3557"/>
                <w:sz w:val="24"/>
                <w:szCs w:val="24"/>
              </w:rPr>
              <w:t xml:space="preserve">1</w:t>
            </w:r>
          </w:p>
        </w:tc>
        <w:tc>
          <w:tcPr>
            <w:tcW w:type="dxa" w:w="99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pBdr>
                <w:bottom w:val="single" w:color="c8d8e8" w:sz="4"/>
              </w:pBdr>
              <w:spacing w:after="240" w:before="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spacing w:after="60" w:before="60"/>
            </w:pPr>
            <w:r>
              <w:rPr>
                <w:rFonts w:ascii="Arial" w:cs="Arial" w:eastAsia="Arial" w:hAnsi="Arial"/>
                <w:color w:val="0f1923"/>
                <w:sz w:val="18"/>
                <w:szCs w:val="18"/>
              </w:rPr>
              <w:t xml:space="preserve"/>
            </w:r>
          </w:p>
        </w:tc>
      </w:tr>
      <w:tr>
        <w:tc>
          <w:tcPr>
            <w:tcW w:type="dxa" w:w="500"/>
            <w:tcBorders>
              <w:top w:val="single" w:color="c8d8e8" w:sz="4"/>
              <w:left w:val="single" w:color="c8d8e8" w:sz="4"/>
              <w:bottom w:val="single" w:color="c8d8e8" w:sz="4"/>
              <w:right w:val="single" w:color="c8d8e8" w:sz="4"/>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bCs/>
                <w:color w:val="1d3557"/>
                <w:sz w:val="24"/>
                <w:szCs w:val="24"/>
              </w:rPr>
              <w:t xml:space="preserve">2</w:t>
            </w:r>
          </w:p>
        </w:tc>
        <w:tc>
          <w:tcPr>
            <w:tcW w:type="dxa" w:w="9966"/>
            <w:tcBorders>
              <w:top w:val="single" w:color="c8d8e8" w:sz="4"/>
              <w:left w:val="single" w:color="c8d8e8" w:sz="4"/>
              <w:bottom w:val="single" w:color="c8d8e8" w:sz="4"/>
              <w:right w:val="single" w:color="c8d8e8" w:sz="4"/>
            </w:tcBorders>
            <w:shd w:fill="FFFFFF" w:val="clear"/>
            <w:tcMar>
              <w:top w:type="dxa" w:w="80"/>
              <w:left w:type="dxa" w:w="120"/>
              <w:bottom w:type="dxa" w:w="80"/>
              <w:right w:type="dxa" w:w="120"/>
            </w:tcMar>
          </w:tcPr>
          <w:p>
            <w:pPr>
              <w:pBdr>
                <w:bottom w:val="single" w:color="c8d8e8" w:sz="4"/>
              </w:pBdr>
              <w:spacing w:after="240" w:before="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spacing w:after="60" w:before="60"/>
            </w:pPr>
            <w:r>
              <w:rPr>
                <w:rFonts w:ascii="Arial" w:cs="Arial" w:eastAsia="Arial" w:hAnsi="Arial"/>
                <w:color w:val="0f1923"/>
                <w:sz w:val="18"/>
                <w:szCs w:val="18"/>
              </w:rPr>
              <w:t xml:space="preserve"/>
            </w:r>
          </w:p>
        </w:tc>
      </w:tr>
      <w:tr>
        <w:tc>
          <w:tcPr>
            <w:tcW w:type="dxa" w:w="500"/>
            <w:tcBorders>
              <w:top w:val="single" w:color="c8d8e8" w:sz="4"/>
              <w:left w:val="single" w:color="c8d8e8" w:sz="4"/>
              <w:bottom w:val="single" w:color="c8d8e8" w:sz="4"/>
              <w:right w:val="single" w:color="c8d8e8" w:sz="4"/>
            </w:tcBorders>
            <w:shd w:fill="f0f5fa" w:val="clear"/>
            <w:tcMar>
              <w:top w:type="dxa" w:w="80"/>
              <w:left w:type="dxa" w:w="100"/>
              <w:bottom w:type="dxa" w:w="80"/>
              <w:right w:type="dxa" w:w="100"/>
            </w:tcMar>
            <w:vAlign w:val="top"/>
          </w:tcPr>
          <w:p>
            <w:pPr>
              <w:spacing w:after="0" w:before="0"/>
              <w:jc w:val="center"/>
            </w:pPr>
            <w:r>
              <w:rPr>
                <w:rFonts w:ascii="Arial" w:cs="Arial" w:eastAsia="Arial" w:hAnsi="Arial"/>
                <w:b/>
                <w:bCs/>
                <w:color w:val="1d3557"/>
                <w:sz w:val="24"/>
                <w:szCs w:val="24"/>
              </w:rPr>
              <w:t xml:space="preserve">3</w:t>
            </w:r>
          </w:p>
        </w:tc>
        <w:tc>
          <w:tcPr>
            <w:tcW w:type="dxa" w:w="9966"/>
            <w:tcBorders>
              <w:top w:val="single" w:color="c8d8e8" w:sz="4"/>
              <w:left w:val="single" w:color="c8d8e8" w:sz="4"/>
              <w:bottom w:val="single" w:color="c8d8e8" w:sz="4"/>
              <w:right w:val="single" w:color="c8d8e8" w:sz="4"/>
            </w:tcBorders>
            <w:shd w:fill="f0f5fa" w:val="clear"/>
            <w:tcMar>
              <w:top w:type="dxa" w:w="80"/>
              <w:left w:type="dxa" w:w="120"/>
              <w:bottom w:type="dxa" w:w="80"/>
              <w:right w:type="dxa" w:w="120"/>
            </w:tcMar>
          </w:tcPr>
          <w:p>
            <w:pPr>
              <w:pBdr>
                <w:bottom w:val="single" w:color="c8d8e8" w:sz="4"/>
              </w:pBdr>
              <w:spacing w:after="240" w:before="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pBdr>
                <w:bottom w:val="single" w:color="c8d8e8" w:sz="4"/>
              </w:pBdr>
              <w:spacing w:after="240" w:before="60"/>
            </w:pPr>
            <w:r>
              <w:rPr>
                <w:rFonts w:ascii="Arial" w:cs="Arial" w:eastAsia="Arial" w:hAnsi="Arial"/>
                <w:color w:val="0f1923"/>
                <w:sz w:val="18"/>
                <w:szCs w:val="18"/>
              </w:rPr>
              <w:t xml:space="preserve"/>
            </w:r>
          </w:p>
          <w:p>
            <w:pPr>
              <w:spacing w:after="60" w:before="60"/>
            </w:pPr>
            <w:r>
              <w:rPr>
                <w:rFonts w:ascii="Arial" w:cs="Arial" w:eastAsia="Arial" w:hAnsi="Arial"/>
                <w:color w:val="0f1923"/>
                <w:sz w:val="18"/>
                <w:szCs w:val="18"/>
              </w:rPr>
              <w:t xml:space="preserve"/>
            </w:r>
          </w:p>
        </w:tc>
      </w:tr>
    </w:tbl>
    <w:p>
      <w:pPr>
        <w:spacing w:after="80" w:before="0"/>
      </w:pPr>
    </w:p>
    <w:p>
      <w:pPr>
        <w:pBdr>
          <w:bottom w:val="single" w:color="eef4f9" w:sz="4"/>
        </w:pBdr>
        <w:spacing w:after="60" w:before="160"/>
      </w:pPr>
      <w:r>
        <w:rPr>
          <w:rFonts w:ascii="Courier New" w:cs="Courier New" w:eastAsia="Courier New" w:hAnsi="Courier New"/>
          <w:b/>
          <w:bCs/>
          <w:color w:val="e63946"/>
          <w:sz w:val="15"/>
          <w:szCs w:val="15"/>
        </w:rPr>
        <w:t xml:space="preserve">PRE-DEMO TECHNICAL CHECKS</w:t>
      </w:r>
    </w:p>
    <w:p>
      <w:pPr>
        <w:pStyle w:val="ListParagraph"/>
        <w:numPr>
          <w:ilvl w:val="0"/>
          <w:numId w:val="2"/>
        </w:numPr>
        <w:spacing w:after="60" w:before="40"/>
      </w:pPr>
      <w:r>
        <w:rPr>
          <w:rFonts w:ascii="Arial" w:cs="Arial" w:eastAsia="Arial" w:hAnsi="Arial"/>
          <w:color w:val="0f1923"/>
          <w:sz w:val="17"/>
          <w:szCs w:val="17"/>
        </w:rPr>
        <w:t xml:space="preserve">VM loads in my browser and all tools are accessible — Guacamole, Gitea, code-server, Wireshark</w:t>
      </w:r>
    </w:p>
    <w:p>
      <w:pPr>
        <w:pStyle w:val="ListParagraph"/>
        <w:numPr>
          <w:ilvl w:val="0"/>
          <w:numId w:val="2"/>
        </w:numPr>
        <w:spacing w:after="60" w:before="40"/>
      </w:pPr>
      <w:r>
        <w:rPr>
          <w:rFonts w:ascii="Arial" w:cs="Arial" w:eastAsia="Arial" w:hAnsi="Arial"/>
          <w:color w:val="0f1923"/>
          <w:sz w:val="17"/>
          <w:szCs w:val="17"/>
        </w:rPr>
        <w:t xml:space="preserve">My Role Evidence Document is committed; I know the exact commit hash / file path for each artefact I intend to show</w:t>
      </w:r>
    </w:p>
    <w:p>
      <w:pPr>
        <w:pStyle w:val="ListParagraph"/>
        <w:numPr>
          <w:ilvl w:val="0"/>
          <w:numId w:val="2"/>
        </w:numPr>
        <w:spacing w:after="60" w:before="40"/>
      </w:pPr>
      <w:r>
        <w:rPr>
          <w:rFonts w:ascii="Arial" w:cs="Arial" w:eastAsia="Arial" w:hAnsi="Arial"/>
          <w:color w:val="0f1923"/>
          <w:sz w:val="17"/>
          <w:szCs w:val="17"/>
        </w:rPr>
        <w:t xml:space="preserve">I can open the pcap in Wireshark and navigate to my specific findings without searching</w:t>
      </w:r>
    </w:p>
    <w:p>
      <w:pPr>
        <w:pStyle w:val="ListParagraph"/>
        <w:numPr>
          <w:ilvl w:val="0"/>
          <w:numId w:val="2"/>
        </w:numPr>
        <w:spacing w:after="60" w:before="40"/>
      </w:pPr>
      <w:r>
        <w:rPr>
          <w:rFonts w:ascii="Arial" w:cs="Arial" w:eastAsia="Arial" w:hAnsi="Arial"/>
          <w:color w:val="0f1923"/>
          <w:sz w:val="17"/>
          <w:szCs w:val="17"/>
        </w:rPr>
        <w:t xml:space="preserve">I can run bandit -r . and interpret the output live without referring to notes</w:t>
      </w:r>
    </w:p>
    <w:p>
      <w:pPr>
        <w:pStyle w:val="ListParagraph"/>
        <w:numPr>
          <w:ilvl w:val="0"/>
          <w:numId w:val="2"/>
        </w:numPr>
        <w:spacing w:after="60" w:before="40"/>
      </w:pPr>
      <w:r>
        <w:rPr>
          <w:rFonts w:ascii="Arial" w:cs="Arial" w:eastAsia="Arial" w:hAnsi="Arial"/>
          <w:color w:val="0f1923"/>
          <w:sz w:val="17"/>
          <w:szCs w:val="17"/>
        </w:rPr>
        <w:t xml:space="preserve">I have practised my 6-minute demonstration and it fits within the time limit</w:t>
      </w:r>
    </w:p>
    <w:p>
      <w:pPr>
        <w:pStyle w:val="ListParagraph"/>
        <w:numPr>
          <w:ilvl w:val="0"/>
          <w:numId w:val="2"/>
        </w:numPr>
        <w:spacing w:after="60" w:before="40"/>
      </w:pPr>
      <w:r>
        <w:rPr>
          <w:rFonts w:ascii="Arial" w:cs="Arial" w:eastAsia="Arial" w:hAnsi="Arial"/>
          <w:color w:val="0f1923"/>
          <w:sz w:val="17"/>
          <w:szCs w:val="17"/>
        </w:rPr>
        <w:t xml:space="preserve">My camera is on, screen-share is working, and I know my Zoom slot time</w:t>
      </w:r>
    </w:p>
    <w:p>
      <w:pPr>
        <w:pStyle w:val="ListParagraph"/>
        <w:numPr>
          <w:ilvl w:val="0"/>
          <w:numId w:val="2"/>
        </w:numPr>
        <w:spacing w:after="60" w:before="40"/>
      </w:pPr>
      <w:r>
        <w:rPr>
          <w:rFonts w:ascii="Arial" w:cs="Arial" w:eastAsia="Arial" w:hAnsi="Arial"/>
          <w:color w:val="0f1923"/>
          <w:sz w:val="17"/>
          <w:szCs w:val="17"/>
        </w:rPr>
        <w:t xml:space="preserve">git log --all --oneline --graph --decorate &gt; git-log.txt has been run and the output committed to the repository root</w:t>
      </w:r>
    </w:p>
    <w:p>
      <w:pPr>
        <w:pStyle w:val="ListParagraph"/>
        <w:numPr>
          <w:ilvl w:val="0"/>
          <w:numId w:val="2"/>
        </w:numPr>
        <w:spacing w:after="60" w:before="40"/>
      </w:pPr>
      <w:r>
        <w:rPr>
          <w:rFonts w:ascii="Arial" w:cs="Arial" w:eastAsia="Arial" w:hAnsi="Arial"/>
          <w:color w:val="0f1923"/>
          <w:sz w:val="17"/>
          <w:szCs w:val="17"/>
        </w:rPr>
        <w:t xml:space="preserve">The submission ZIP has been created, verified, and is named COM5406_GroupX_Submission.zip</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pBdr>
      <w:tabs>
        <w:tab w:val="right" w:pos="9266"/>
      </w:tabs>
      <w:spacing w:after="0" w:before="0"/>
    </w:pPr>
    <w:r>
      <w:rPr>
        <w:rFonts w:ascii="Courier New" w:cs="Courier New" w:eastAsia="Courier New" w:hAnsi="Courier New"/>
        <w:color w:val="7a92a8"/>
        <w:sz w:val="12"/>
        <w:szCs w:val="12"/>
      </w:rPr>
      <w:t xml:space="preserve">Bee Pies &amp; Pasties Engagement  ·  AY 2025–26  ·  Restricted — Client Confidential</w:t>
    </w:r>
    <w:r>
      <w:rPr>
        <w:rFonts w:ascii="Arial" w:cs="Arial" w:eastAsia="Arial" w:hAnsi="Arial"/>
      </w:rPr>
      <w:t xml:space="preserve">	</w:t>
    </w:r>
    <w:r>
      <w:rPr>
        <w:rFonts w:ascii="Courier New" w:cs="Courier New" w:eastAsia="Courier New" w:hAnsi="Courier New"/>
        <w:color w:val="7a92a8"/>
        <w:sz w:val="12"/>
        <w:szCs w:val="12"/>
      </w:rPr>
      <w:t xml:space="preserve">University of Greater Manchester  ·  School of Engineering and Digital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7b9d" w:sz="4"/>
      </w:pBdr>
      <w:tabs>
        <w:tab w:val="right" w:pos="9266"/>
      </w:tabs>
      <w:spacing w:after="0" w:before="0"/>
    </w:pPr>
    <w:r>
      <w:rPr>
        <w:rFonts w:ascii="Courier New" w:cs="Courier New" w:eastAsia="Courier New" w:hAnsi="Courier New"/>
        <w:color w:val="457b9d"/>
        <w:sz w:val="13"/>
        <w:szCs w:val="13"/>
      </w:rPr>
      <w:t xml:space="preserve">COM5406 CYBER SECURITY  ·  SESSION 5A WORKSHEET  ·  AXIOM CYBERSECURITY</w:t>
    </w:r>
    <w:r>
      <w:rPr>
        <w:rFonts w:ascii="Arial" w:cs="Arial" w:eastAsia="Arial" w:hAnsi="Arial"/>
      </w:rPr>
      <w:t xml:space="preserve">	</w:t>
    </w:r>
    <w:r>
      <w:rPr>
        <w:rFonts w:ascii="Courier New" w:cs="Courier New" w:eastAsia="Courier New" w:hAnsi="Courier New"/>
        <w:color w:val="7a92a8"/>
        <w:sz w:val="13"/>
        <w:szCs w:val="13"/>
      </w:rPr>
      <w:t xml:space="preserve">Page </w:t>
    </w:r>
    <w:r>
      <w:rPr>
        <w:rFonts w:ascii="Courier New" w:cs="Courier New" w:eastAsia="Courier New" w:hAnsi="Courier New"/>
        <w:color w:val="7a92a8"/>
        <w:sz w:val="13"/>
        <w:szCs w:val="13"/>
      </w:rPr>
      <w:fldChar w:fldCharType="begin"/>
      <w:instrText xml:space="preserve">PAGE</w:instrText>
      <w:fldChar w:fldCharType="separate"/>
      <w:fldChar w:fldCharType="end"/>
    </w:r>
    <w:r>
      <w:rPr>
        <w:rFonts w:ascii="Courier New" w:cs="Courier New" w:eastAsia="Courier New" w:hAnsi="Courier New"/>
        <w:color w:val="7a92a8"/>
        <w:sz w:val="13"/>
        <w:szCs w:val="13"/>
      </w:rPr>
      <w:t xml:space="preserve"> of </w:t>
    </w:r>
    <w:r>
      <w:rPr>
        <w:rFonts w:ascii="Courier New" w:cs="Courier New" w:eastAsia="Courier New" w:hAnsi="Courier New"/>
        <w:color w:val="7a92a8"/>
        <w:sz w:val="13"/>
        <w:szCs w:val="13"/>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2026-05-26T08:28:31.809Z</dcterms:created>
  <dcterms:modified xsi:type="dcterms:W3CDTF">2026-05-26T08:28:31.822Z</dcterms:modified>
</cp:coreProperties>
</file>

<file path=docProps/custom.xml><?xml version="1.0" encoding="utf-8"?>
<Properties xmlns="http://schemas.openxmlformats.org/officeDocument/2006/custom-properties" xmlns:vt="http://schemas.openxmlformats.org/officeDocument/2006/docPropsVTypes"/>
</file>