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4AB3E">
      <w:pPr>
        <w:pStyle w:val="6"/>
        <w:spacing w:before="18" w:line="230" w:lineRule="auto"/>
        <w:ind w:left="4425"/>
        <w:outlineLvl w:val="0"/>
        <w:rPr>
          <w:rFonts w:hint="eastAsia"/>
          <w:color w:val="auto"/>
          <w:sz w:val="20"/>
          <w:szCs w:val="20"/>
          <w:lang w:eastAsia="zh-CN"/>
        </w:rPr>
      </w:pPr>
      <w:r>
        <w:rPr>
          <w:color w:val="auto"/>
          <w:spacing w:val="1"/>
          <w:sz w:val="20"/>
          <w:szCs w:val="20"/>
          <w:lang w:eastAsia="zh-CN"/>
        </w:rPr>
        <w:t>附录H</w:t>
      </w:r>
    </w:p>
    <w:p w14:paraId="787E1D47">
      <w:pPr>
        <w:pStyle w:val="6"/>
        <w:spacing w:before="24" w:line="231" w:lineRule="auto"/>
        <w:ind w:left="4171"/>
        <w:outlineLvl w:val="0"/>
        <w:rPr>
          <w:rFonts w:hint="eastAsia"/>
          <w:color w:val="auto"/>
          <w:sz w:val="20"/>
          <w:szCs w:val="20"/>
          <w:lang w:eastAsia="zh-CN"/>
        </w:rPr>
      </w:pPr>
      <w:r>
        <w:rPr>
          <w:color w:val="auto"/>
          <w:spacing w:val="2"/>
          <w:sz w:val="20"/>
          <w:szCs w:val="20"/>
          <w:lang w:eastAsia="zh-CN"/>
        </w:rPr>
        <w:t>（规范性）</w:t>
      </w:r>
    </w:p>
    <w:p w14:paraId="6C9DAF52">
      <w:pPr>
        <w:pStyle w:val="6"/>
        <w:spacing w:before="20" w:line="229" w:lineRule="auto"/>
        <w:ind w:left="2574"/>
        <w:rPr>
          <w:rFonts w:hint="eastAsia"/>
          <w:color w:val="auto"/>
          <w:sz w:val="20"/>
          <w:szCs w:val="20"/>
          <w:lang w:eastAsia="zh-CN"/>
        </w:rPr>
      </w:pPr>
      <w:r>
        <w:rPr>
          <w:color w:val="auto"/>
          <w:spacing w:val="9"/>
          <w:sz w:val="20"/>
          <w:szCs w:val="20"/>
          <w:lang w:eastAsia="zh-CN"/>
        </w:rPr>
        <w:t>湖北省烟草商业系统科技项目申报书（样张）</w:t>
      </w:r>
    </w:p>
    <w:p w14:paraId="77E3270E">
      <w:pPr>
        <w:pStyle w:val="6"/>
        <w:spacing w:before="25" w:line="229" w:lineRule="auto"/>
        <w:ind w:left="2790"/>
        <w:rPr>
          <w:rFonts w:hint="eastAsia"/>
          <w:color w:val="auto"/>
          <w:sz w:val="20"/>
          <w:szCs w:val="20"/>
          <w:lang w:eastAsia="zh-CN"/>
        </w:rPr>
      </w:pPr>
      <w:r>
        <w:rPr>
          <w:color w:val="auto"/>
          <w:spacing w:val="8"/>
          <w:sz w:val="20"/>
          <w:szCs w:val="20"/>
          <w:lang w:eastAsia="zh-CN"/>
        </w:rPr>
        <w:t>表H 湖北省烟草商业系统科技项目申报书</w:t>
      </w:r>
    </w:p>
    <w:p w14:paraId="4A4C04CB">
      <w:pPr>
        <w:spacing w:before="24" w:line="226" w:lineRule="auto"/>
        <w:ind w:right="2"/>
        <w:jc w:val="right"/>
        <w:rPr>
          <w:rFonts w:hint="eastAsia"/>
          <w:color w:val="auto"/>
          <w:sz w:val="20"/>
          <w:szCs w:val="20"/>
        </w:rPr>
      </w:pPr>
      <w:r>
        <w:rPr>
          <w:color w:val="auto"/>
          <w:sz w:val="20"/>
          <w:szCs w:val="20"/>
        </w:rPr>
        <w:t>HBYC</w:t>
      </w:r>
      <w:r>
        <w:rPr>
          <w:color w:val="auto"/>
          <w:spacing w:val="10"/>
          <w:sz w:val="20"/>
          <w:szCs w:val="20"/>
        </w:rPr>
        <w:t>-</w:t>
      </w:r>
      <w:r>
        <w:rPr>
          <w:color w:val="auto"/>
          <w:sz w:val="20"/>
          <w:szCs w:val="20"/>
        </w:rPr>
        <w:t>BD</w:t>
      </w:r>
      <w:r>
        <w:rPr>
          <w:color w:val="auto"/>
          <w:spacing w:val="10"/>
          <w:sz w:val="20"/>
          <w:szCs w:val="20"/>
        </w:rPr>
        <w:t>-</w:t>
      </w:r>
      <w:r>
        <w:rPr>
          <w:color w:val="auto"/>
          <w:sz w:val="20"/>
          <w:szCs w:val="20"/>
        </w:rPr>
        <w:t>KJ</w:t>
      </w:r>
      <w:r>
        <w:rPr>
          <w:color w:val="auto"/>
          <w:spacing w:val="10"/>
          <w:sz w:val="20"/>
          <w:szCs w:val="20"/>
        </w:rPr>
        <w:t>(</w:t>
      </w:r>
      <w:r>
        <w:rPr>
          <w:color w:val="auto"/>
          <w:sz w:val="20"/>
          <w:szCs w:val="20"/>
        </w:rPr>
        <w:t>DZ</w:t>
      </w:r>
      <w:r>
        <w:rPr>
          <w:color w:val="auto"/>
          <w:spacing w:val="10"/>
          <w:sz w:val="20"/>
          <w:szCs w:val="20"/>
        </w:rPr>
        <w:t>)-005</w:t>
      </w:r>
    </w:p>
    <w:p w14:paraId="32C3B7BE">
      <w:pPr>
        <w:spacing w:line="259" w:lineRule="auto"/>
        <w:rPr>
          <w:rFonts w:hint="eastAsia"/>
          <w:color w:val="auto"/>
        </w:rPr>
      </w:pPr>
    </w:p>
    <w:p w14:paraId="3553C373">
      <w:pPr>
        <w:spacing w:line="259" w:lineRule="auto"/>
        <w:rPr>
          <w:rFonts w:hint="eastAsia"/>
          <w:color w:val="auto"/>
        </w:rPr>
      </w:pPr>
    </w:p>
    <w:p w14:paraId="7116B964">
      <w:pPr>
        <w:spacing w:line="260" w:lineRule="auto"/>
        <w:rPr>
          <w:rFonts w:hint="eastAsia"/>
          <w:color w:val="auto"/>
        </w:rPr>
      </w:pPr>
    </w:p>
    <w:p w14:paraId="6BEB841C">
      <w:pPr>
        <w:spacing w:line="260" w:lineRule="auto"/>
        <w:rPr>
          <w:rFonts w:hint="eastAsia"/>
          <w:color w:val="auto"/>
        </w:rPr>
      </w:pPr>
    </w:p>
    <w:p w14:paraId="75CC8E1C">
      <w:pPr>
        <w:spacing w:line="260" w:lineRule="auto"/>
        <w:rPr>
          <w:rFonts w:hint="eastAsia"/>
          <w:color w:val="auto"/>
        </w:rPr>
      </w:pPr>
    </w:p>
    <w:p w14:paraId="26130D1E">
      <w:pPr>
        <w:spacing w:line="260" w:lineRule="auto"/>
        <w:rPr>
          <w:rFonts w:hint="eastAsia"/>
          <w:color w:val="auto"/>
        </w:rPr>
      </w:pPr>
    </w:p>
    <w:p w14:paraId="0C35D46A">
      <w:pPr>
        <w:spacing w:line="260" w:lineRule="auto"/>
        <w:rPr>
          <w:rFonts w:hint="eastAsia"/>
          <w:color w:val="auto"/>
        </w:rPr>
      </w:pPr>
    </w:p>
    <w:p w14:paraId="528AF396">
      <w:pPr>
        <w:spacing w:before="140" w:line="604" w:lineRule="exact"/>
        <w:ind w:left="2696"/>
        <w:rPr>
          <w:rFonts w:hint="eastAsia"/>
          <w:color w:val="auto"/>
          <w:sz w:val="43"/>
          <w:szCs w:val="43"/>
        </w:rPr>
      </w:pPr>
      <w:r>
        <w:rPr>
          <w:b/>
          <w:bCs/>
          <w:color w:val="auto"/>
          <w:spacing w:val="4"/>
          <w:position w:val="3"/>
          <w:sz w:val="43"/>
          <w:szCs w:val="43"/>
        </w:rPr>
        <w:t>湖北省烟草商业系统</w:t>
      </w:r>
    </w:p>
    <w:p w14:paraId="480114DB">
      <w:pPr>
        <w:spacing w:before="78" w:line="602" w:lineRule="exact"/>
        <w:ind w:left="3131"/>
        <w:outlineLvl w:val="0"/>
        <w:rPr>
          <w:rFonts w:hint="eastAsia"/>
          <w:color w:val="auto"/>
          <w:sz w:val="43"/>
          <w:szCs w:val="43"/>
        </w:rPr>
      </w:pPr>
      <w:bookmarkStart w:id="0" w:name="bookmark126"/>
      <w:bookmarkEnd w:id="0"/>
      <w:r>
        <w:rPr>
          <w:b/>
          <w:bCs/>
          <w:color w:val="auto"/>
          <w:spacing w:val="5"/>
          <w:position w:val="3"/>
          <w:sz w:val="43"/>
          <w:szCs w:val="43"/>
        </w:rPr>
        <w:t>科技项目申报书</w:t>
      </w:r>
    </w:p>
    <w:p w14:paraId="37481D5A">
      <w:pPr>
        <w:spacing w:line="248" w:lineRule="auto"/>
        <w:rPr>
          <w:rFonts w:hint="eastAsia"/>
          <w:color w:val="auto"/>
        </w:rPr>
      </w:pPr>
    </w:p>
    <w:p w14:paraId="1EA9127C">
      <w:pPr>
        <w:spacing w:line="248" w:lineRule="auto"/>
        <w:rPr>
          <w:rFonts w:hint="eastAsia"/>
          <w:color w:val="auto"/>
        </w:rPr>
      </w:pPr>
    </w:p>
    <w:p w14:paraId="5401063E">
      <w:pPr>
        <w:spacing w:line="248" w:lineRule="auto"/>
        <w:rPr>
          <w:rFonts w:hint="eastAsia"/>
          <w:color w:val="auto"/>
        </w:rPr>
      </w:pPr>
    </w:p>
    <w:p w14:paraId="1735E5E2">
      <w:pPr>
        <w:spacing w:line="248" w:lineRule="auto"/>
        <w:rPr>
          <w:rFonts w:hint="eastAsia"/>
          <w:color w:val="auto"/>
        </w:rPr>
      </w:pPr>
    </w:p>
    <w:p w14:paraId="5D622BC3">
      <w:pPr>
        <w:spacing w:line="248" w:lineRule="auto"/>
        <w:rPr>
          <w:rFonts w:hint="eastAsia"/>
          <w:color w:val="auto"/>
        </w:rPr>
      </w:pPr>
    </w:p>
    <w:p w14:paraId="7ACA4276">
      <w:pPr>
        <w:spacing w:line="248" w:lineRule="auto"/>
        <w:rPr>
          <w:rFonts w:hint="eastAsia"/>
          <w:color w:val="auto"/>
        </w:rPr>
      </w:pPr>
    </w:p>
    <w:p w14:paraId="594C4BBB">
      <w:pPr>
        <w:spacing w:line="248" w:lineRule="auto"/>
        <w:rPr>
          <w:rFonts w:hint="eastAsia"/>
          <w:color w:val="auto"/>
        </w:rPr>
      </w:pPr>
    </w:p>
    <w:p w14:paraId="2DA242BF">
      <w:pPr>
        <w:spacing w:line="249" w:lineRule="auto"/>
        <w:rPr>
          <w:rFonts w:hint="eastAsia"/>
          <w:color w:val="auto"/>
        </w:rPr>
      </w:pPr>
    </w:p>
    <w:p w14:paraId="31F4E7AB">
      <w:pPr>
        <w:pStyle w:val="6"/>
        <w:spacing w:before="120" w:line="198" w:lineRule="auto"/>
        <w:ind w:left="1"/>
        <w:rPr>
          <w:rFonts w:hint="eastAsia"/>
          <w:color w:val="auto"/>
          <w:sz w:val="28"/>
          <w:szCs w:val="28"/>
          <w:lang w:eastAsia="zh-CN"/>
        </w:rPr>
      </w:pPr>
      <w:r>
        <w:rPr>
          <w:rFonts w:hint="eastAsia"/>
          <w:color w:val="auto"/>
          <w:spacing w:val="2"/>
          <w:sz w:val="28"/>
          <w:szCs w:val="28"/>
          <w:lang w:eastAsia="zh-CN"/>
        </w:rPr>
        <w:t>项</w:t>
      </w:r>
      <w:r>
        <w:rPr>
          <w:rFonts w:hint="eastAsia"/>
          <w:color w:val="auto"/>
          <w:spacing w:val="55"/>
          <w:sz w:val="28"/>
          <w:szCs w:val="28"/>
          <w:lang w:eastAsia="zh-CN"/>
        </w:rPr>
        <w:t xml:space="preserve"> </w:t>
      </w:r>
      <w:r>
        <w:rPr>
          <w:rFonts w:hint="eastAsia"/>
          <w:color w:val="auto"/>
          <w:spacing w:val="2"/>
          <w:sz w:val="28"/>
          <w:szCs w:val="28"/>
          <w:lang w:eastAsia="zh-CN"/>
        </w:rPr>
        <w:t xml:space="preserve">目 层 级：     </w:t>
      </w:r>
      <w:r>
        <w:rPr>
          <w:rFonts w:hint="eastAsia"/>
          <w:color w:val="auto"/>
          <w:spacing w:val="3"/>
          <w:sz w:val="28"/>
          <w:szCs w:val="28"/>
          <w:lang w:eastAsia="zh-CN"/>
        </w:rPr>
        <w:t>■</w:t>
      </w:r>
      <w:r>
        <w:rPr>
          <w:rFonts w:hint="eastAsia"/>
          <w:color w:val="auto"/>
          <w:spacing w:val="2"/>
          <w:sz w:val="28"/>
          <w:szCs w:val="28"/>
          <w:lang w:eastAsia="zh-CN"/>
        </w:rPr>
        <w:t>省公司级</w:t>
      </w:r>
      <w:r>
        <w:rPr>
          <w:rFonts w:hint="eastAsia"/>
          <w:color w:val="auto"/>
          <w:spacing w:val="5"/>
          <w:sz w:val="28"/>
          <w:szCs w:val="28"/>
          <w:lang w:eastAsia="zh-CN"/>
        </w:rPr>
        <w:t xml:space="preserve">    </w:t>
      </w:r>
      <w:r>
        <w:rPr>
          <w:rFonts w:hint="eastAsia"/>
          <w:color w:val="auto"/>
          <w:spacing w:val="2"/>
          <w:sz w:val="28"/>
          <w:szCs w:val="28"/>
          <w:lang w:eastAsia="zh-CN"/>
        </w:rPr>
        <w:t>□直属单位级</w:t>
      </w:r>
    </w:p>
    <w:p w14:paraId="05D78530">
      <w:pPr>
        <w:pStyle w:val="6"/>
        <w:spacing w:before="226" w:line="222" w:lineRule="auto"/>
        <w:ind w:left="1"/>
        <w:rPr>
          <w:rFonts w:hint="eastAsia"/>
          <w:color w:val="auto"/>
          <w:sz w:val="28"/>
          <w:szCs w:val="28"/>
          <w:lang w:eastAsia="zh-CN"/>
        </w:rPr>
      </w:pPr>
      <w:r>
        <w:rPr>
          <w:rFonts w:hint="eastAsia"/>
          <w:color w:val="auto"/>
          <w:spacing w:val="-16"/>
          <w:sz w:val="28"/>
          <w:szCs w:val="28"/>
          <w:lang w:eastAsia="zh-CN"/>
        </w:rPr>
        <w:t>项</w:t>
      </w:r>
      <w:r>
        <w:rPr>
          <w:rFonts w:hint="eastAsia"/>
          <w:color w:val="auto"/>
          <w:spacing w:val="46"/>
          <w:sz w:val="28"/>
          <w:szCs w:val="28"/>
          <w:lang w:eastAsia="zh-CN"/>
        </w:rPr>
        <w:t xml:space="preserve"> </w:t>
      </w:r>
      <w:r>
        <w:rPr>
          <w:rFonts w:hint="eastAsia"/>
          <w:color w:val="auto"/>
          <w:spacing w:val="-16"/>
          <w:sz w:val="28"/>
          <w:szCs w:val="28"/>
          <w:lang w:eastAsia="zh-CN"/>
        </w:rPr>
        <w:t>目</w:t>
      </w:r>
      <w:r>
        <w:rPr>
          <w:rFonts w:hint="eastAsia"/>
          <w:color w:val="auto"/>
          <w:spacing w:val="13"/>
          <w:sz w:val="28"/>
          <w:szCs w:val="28"/>
          <w:lang w:eastAsia="zh-CN"/>
        </w:rPr>
        <w:t xml:space="preserve"> </w:t>
      </w:r>
      <w:r>
        <w:rPr>
          <w:rFonts w:hint="eastAsia"/>
          <w:color w:val="auto"/>
          <w:spacing w:val="-16"/>
          <w:sz w:val="28"/>
          <w:szCs w:val="28"/>
          <w:lang w:eastAsia="zh-CN"/>
        </w:rPr>
        <w:t>名</w:t>
      </w:r>
      <w:r>
        <w:rPr>
          <w:rFonts w:hint="eastAsia"/>
          <w:color w:val="auto"/>
          <w:spacing w:val="10"/>
          <w:sz w:val="28"/>
          <w:szCs w:val="28"/>
          <w:lang w:eastAsia="zh-CN"/>
        </w:rPr>
        <w:t xml:space="preserve"> </w:t>
      </w:r>
      <w:r>
        <w:rPr>
          <w:rFonts w:hint="eastAsia"/>
          <w:color w:val="auto"/>
          <w:spacing w:val="-16"/>
          <w:sz w:val="28"/>
          <w:szCs w:val="28"/>
          <w:lang w:eastAsia="zh-CN"/>
        </w:rPr>
        <w:t>称： 基于知识图谱的工单语义校核与审查范式研究</w:t>
      </w:r>
    </w:p>
    <w:p w14:paraId="469C822B">
      <w:pPr>
        <w:spacing w:line="297" w:lineRule="auto"/>
        <w:rPr>
          <w:rFonts w:hint="eastAsia" w:ascii="黑体" w:hAnsi="黑体" w:eastAsia="黑体" w:cs="黑体"/>
          <w:color w:val="auto"/>
          <w:sz w:val="28"/>
          <w:szCs w:val="28"/>
        </w:rPr>
      </w:pPr>
    </w:p>
    <w:p w14:paraId="70E03943">
      <w:pPr>
        <w:pStyle w:val="6"/>
        <w:spacing w:before="92" w:line="222" w:lineRule="auto"/>
        <w:rPr>
          <w:rFonts w:hint="eastAsia"/>
          <w:color w:val="auto"/>
          <w:spacing w:val="1"/>
          <w:sz w:val="28"/>
          <w:szCs w:val="28"/>
          <w:lang w:eastAsia="zh-CN"/>
        </w:rPr>
      </w:pPr>
      <w:r>
        <w:rPr>
          <w:rFonts w:hint="eastAsia"/>
          <w:color w:val="auto"/>
          <w:spacing w:val="-5"/>
          <w:sz w:val="28"/>
          <w:szCs w:val="28"/>
          <w:lang w:eastAsia="zh-CN"/>
        </w:rPr>
        <w:t>承 担</w:t>
      </w:r>
      <w:r>
        <w:rPr>
          <w:rFonts w:hint="eastAsia"/>
          <w:color w:val="auto"/>
          <w:spacing w:val="18"/>
          <w:sz w:val="28"/>
          <w:szCs w:val="28"/>
          <w:lang w:eastAsia="zh-CN"/>
        </w:rPr>
        <w:t xml:space="preserve"> </w:t>
      </w:r>
      <w:r>
        <w:rPr>
          <w:rFonts w:hint="eastAsia"/>
          <w:color w:val="auto"/>
          <w:spacing w:val="-5"/>
          <w:sz w:val="28"/>
          <w:szCs w:val="28"/>
          <w:lang w:eastAsia="zh-CN"/>
        </w:rPr>
        <w:t>单</w:t>
      </w:r>
      <w:r>
        <w:rPr>
          <w:rFonts w:hint="eastAsia"/>
          <w:color w:val="auto"/>
          <w:spacing w:val="7"/>
          <w:sz w:val="28"/>
          <w:szCs w:val="28"/>
          <w:lang w:eastAsia="zh-CN"/>
        </w:rPr>
        <w:t xml:space="preserve"> </w:t>
      </w:r>
      <w:r>
        <w:rPr>
          <w:rFonts w:hint="eastAsia"/>
          <w:color w:val="auto"/>
          <w:spacing w:val="-5"/>
          <w:sz w:val="28"/>
          <w:szCs w:val="28"/>
          <w:lang w:eastAsia="zh-CN"/>
        </w:rPr>
        <w:t>位（盖章</w:t>
      </w:r>
      <w:r>
        <w:rPr>
          <w:rFonts w:hint="eastAsia"/>
          <w:color w:val="auto"/>
          <w:spacing w:val="1"/>
          <w:sz w:val="28"/>
          <w:szCs w:val="28"/>
          <w:lang w:eastAsia="zh-CN"/>
        </w:rPr>
        <w:t>）：中国烟草总公司湖北省公司信息中心</w:t>
      </w:r>
    </w:p>
    <w:p w14:paraId="368A24BB">
      <w:pPr>
        <w:pStyle w:val="6"/>
        <w:spacing w:before="92" w:line="222" w:lineRule="auto"/>
        <w:rPr>
          <w:rFonts w:hint="eastAsia"/>
          <w:color w:val="auto"/>
          <w:spacing w:val="1"/>
          <w:sz w:val="28"/>
          <w:szCs w:val="28"/>
          <w:lang w:eastAsia="zh-CN"/>
        </w:rPr>
      </w:pPr>
      <w:r>
        <w:rPr>
          <w:rFonts w:hint="eastAsia"/>
          <w:color w:val="auto"/>
          <w:spacing w:val="1"/>
          <w:sz w:val="28"/>
          <w:szCs w:val="28"/>
          <w:lang w:eastAsia="zh-CN"/>
        </w:rPr>
        <w:t xml:space="preserve">                      湖北省烟草公司黄冈市公司</w:t>
      </w:r>
    </w:p>
    <w:p w14:paraId="1575457C">
      <w:pPr>
        <w:pStyle w:val="6"/>
        <w:spacing w:before="92" w:line="222" w:lineRule="auto"/>
        <w:ind w:firstLine="3080" w:firstLineChars="1100"/>
        <w:rPr>
          <w:rFonts w:hint="eastAsia"/>
          <w:color w:val="auto"/>
          <w:spacing w:val="1"/>
          <w:sz w:val="28"/>
          <w:szCs w:val="28"/>
          <w:lang w:eastAsia="zh-CN"/>
        </w:rPr>
      </w:pPr>
      <w:r>
        <w:rPr>
          <w:rFonts w:hint="eastAsia"/>
          <w:color w:val="auto"/>
          <w:sz w:val="28"/>
          <w:szCs w:val="28"/>
          <w:lang w:eastAsia="zh-CN"/>
        </w:rPr>
        <w:t>湖北省烟草公司随州市公司</w:t>
      </w:r>
    </w:p>
    <w:p w14:paraId="2381CF1A">
      <w:pPr>
        <w:spacing w:line="294" w:lineRule="auto"/>
        <w:rPr>
          <w:rFonts w:hint="eastAsia" w:ascii="黑体" w:hAnsi="黑体" w:eastAsia="黑体" w:cs="黑体"/>
          <w:color w:val="auto"/>
          <w:sz w:val="28"/>
          <w:szCs w:val="28"/>
        </w:rPr>
      </w:pPr>
    </w:p>
    <w:p w14:paraId="468C67D4">
      <w:pPr>
        <w:pStyle w:val="6"/>
        <w:spacing w:before="92" w:line="223" w:lineRule="auto"/>
        <w:ind w:left="24"/>
        <w:rPr>
          <w:rFonts w:hint="eastAsia"/>
          <w:color w:val="auto"/>
          <w:sz w:val="28"/>
          <w:szCs w:val="28"/>
          <w:lang w:eastAsia="zh-CN"/>
        </w:rPr>
      </w:pPr>
      <w:r>
        <w:rPr>
          <w:rFonts w:hint="eastAsia"/>
          <w:color w:val="auto"/>
          <w:spacing w:val="-14"/>
          <w:sz w:val="28"/>
          <w:szCs w:val="28"/>
          <w:lang w:eastAsia="zh-CN"/>
        </w:rPr>
        <w:t>申 报</w:t>
      </w:r>
      <w:r>
        <w:rPr>
          <w:rFonts w:hint="eastAsia"/>
          <w:color w:val="auto"/>
          <w:spacing w:val="55"/>
          <w:sz w:val="28"/>
          <w:szCs w:val="28"/>
          <w:lang w:eastAsia="zh-CN"/>
        </w:rPr>
        <w:t xml:space="preserve"> </w:t>
      </w:r>
      <w:r>
        <w:rPr>
          <w:rFonts w:hint="eastAsia"/>
          <w:color w:val="auto"/>
          <w:spacing w:val="-14"/>
          <w:sz w:val="28"/>
          <w:szCs w:val="28"/>
          <w:lang w:eastAsia="zh-CN"/>
        </w:rPr>
        <w:t>日</w:t>
      </w:r>
      <w:r>
        <w:rPr>
          <w:rFonts w:hint="eastAsia"/>
          <w:color w:val="auto"/>
          <w:spacing w:val="9"/>
          <w:sz w:val="28"/>
          <w:szCs w:val="28"/>
          <w:lang w:eastAsia="zh-CN"/>
        </w:rPr>
        <w:t xml:space="preserve"> </w:t>
      </w:r>
      <w:r>
        <w:rPr>
          <w:rFonts w:hint="eastAsia"/>
          <w:color w:val="auto"/>
          <w:spacing w:val="-14"/>
          <w:sz w:val="28"/>
          <w:szCs w:val="28"/>
          <w:lang w:eastAsia="zh-CN"/>
        </w:rPr>
        <w:t>期：</w:t>
      </w:r>
      <w:r>
        <w:rPr>
          <w:rFonts w:hint="eastAsia"/>
          <w:color w:val="auto"/>
          <w:spacing w:val="1"/>
          <w:sz w:val="28"/>
          <w:szCs w:val="28"/>
          <w:lang w:eastAsia="zh-CN"/>
        </w:rPr>
        <w:t xml:space="preserve">      2026 </w:t>
      </w:r>
      <w:r>
        <w:rPr>
          <w:rFonts w:hint="eastAsia"/>
          <w:color w:val="auto"/>
          <w:spacing w:val="-14"/>
          <w:sz w:val="28"/>
          <w:szCs w:val="28"/>
          <w:lang w:eastAsia="zh-CN"/>
        </w:rPr>
        <w:t>年</w:t>
      </w:r>
      <w:r>
        <w:rPr>
          <w:rFonts w:hint="eastAsia"/>
          <w:color w:val="auto"/>
          <w:spacing w:val="4"/>
          <w:sz w:val="28"/>
          <w:szCs w:val="28"/>
          <w:lang w:eastAsia="zh-CN"/>
        </w:rPr>
        <w:t xml:space="preserve">  2  </w:t>
      </w:r>
      <w:r>
        <w:rPr>
          <w:rFonts w:hint="eastAsia"/>
          <w:color w:val="auto"/>
          <w:spacing w:val="-14"/>
          <w:sz w:val="28"/>
          <w:szCs w:val="28"/>
          <w:lang w:eastAsia="zh-CN"/>
        </w:rPr>
        <w:t>月</w:t>
      </w:r>
      <w:r>
        <w:rPr>
          <w:rFonts w:hint="eastAsia"/>
          <w:color w:val="auto"/>
          <w:spacing w:val="15"/>
          <w:sz w:val="28"/>
          <w:szCs w:val="28"/>
          <w:lang w:eastAsia="zh-CN"/>
        </w:rPr>
        <w:t xml:space="preserve">  26  </w:t>
      </w:r>
      <w:r>
        <w:rPr>
          <w:rFonts w:hint="eastAsia"/>
          <w:color w:val="auto"/>
          <w:spacing w:val="-14"/>
          <w:sz w:val="28"/>
          <w:szCs w:val="28"/>
          <w:lang w:eastAsia="zh-CN"/>
        </w:rPr>
        <w:t>日</w:t>
      </w:r>
    </w:p>
    <w:p w14:paraId="441FB7D9">
      <w:pPr>
        <w:spacing w:line="248" w:lineRule="auto"/>
        <w:rPr>
          <w:rFonts w:hint="eastAsia" w:ascii="黑体" w:hAnsi="黑体" w:eastAsia="黑体" w:cs="黑体"/>
          <w:color w:val="auto"/>
          <w:sz w:val="28"/>
          <w:szCs w:val="28"/>
        </w:rPr>
      </w:pPr>
    </w:p>
    <w:p w14:paraId="6D75B841">
      <w:pPr>
        <w:spacing w:line="248" w:lineRule="auto"/>
        <w:rPr>
          <w:rFonts w:hint="eastAsia"/>
          <w:color w:val="auto"/>
        </w:rPr>
      </w:pPr>
    </w:p>
    <w:p w14:paraId="195FFF31">
      <w:pPr>
        <w:spacing w:line="248" w:lineRule="auto"/>
        <w:rPr>
          <w:rFonts w:hint="eastAsia"/>
          <w:color w:val="auto"/>
        </w:rPr>
      </w:pPr>
    </w:p>
    <w:p w14:paraId="603DB1DE">
      <w:pPr>
        <w:spacing w:line="248" w:lineRule="auto"/>
        <w:rPr>
          <w:rFonts w:hint="eastAsia"/>
          <w:color w:val="auto"/>
        </w:rPr>
      </w:pPr>
    </w:p>
    <w:p w14:paraId="4A470748">
      <w:pPr>
        <w:spacing w:line="249" w:lineRule="auto"/>
        <w:rPr>
          <w:rFonts w:hint="eastAsia"/>
          <w:color w:val="auto"/>
        </w:rPr>
      </w:pPr>
    </w:p>
    <w:p w14:paraId="186433E8">
      <w:pPr>
        <w:spacing w:line="249" w:lineRule="auto"/>
        <w:rPr>
          <w:rFonts w:hint="eastAsia"/>
          <w:color w:val="auto"/>
        </w:rPr>
      </w:pPr>
    </w:p>
    <w:p w14:paraId="06C1B9FF">
      <w:pPr>
        <w:spacing w:line="249" w:lineRule="auto"/>
        <w:rPr>
          <w:rFonts w:hint="eastAsia"/>
          <w:color w:val="auto"/>
        </w:rPr>
      </w:pPr>
    </w:p>
    <w:p w14:paraId="10999DF4">
      <w:pPr>
        <w:spacing w:line="249" w:lineRule="auto"/>
        <w:rPr>
          <w:rFonts w:hint="eastAsia"/>
          <w:color w:val="auto"/>
        </w:rPr>
      </w:pPr>
    </w:p>
    <w:p w14:paraId="7AF2B568">
      <w:pPr>
        <w:pStyle w:val="6"/>
        <w:spacing w:before="101" w:line="226" w:lineRule="auto"/>
        <w:ind w:left="2545"/>
        <w:rPr>
          <w:rFonts w:hint="eastAsia"/>
          <w:color w:val="auto"/>
          <w:sz w:val="31"/>
          <w:szCs w:val="31"/>
          <w:lang w:eastAsia="zh-CN"/>
        </w:rPr>
      </w:pPr>
      <w:r>
        <w:rPr>
          <w:color w:val="auto"/>
          <w:spacing w:val="7"/>
          <w:sz w:val="31"/>
          <w:szCs w:val="31"/>
          <w:lang w:eastAsia="zh-CN"/>
        </w:rPr>
        <w:t>中国烟草总公司湖北省公司 制</w:t>
      </w:r>
    </w:p>
    <w:p w14:paraId="24935D6B">
      <w:pPr>
        <w:spacing w:line="226" w:lineRule="auto"/>
        <w:rPr>
          <w:rFonts w:hint="eastAsia"/>
          <w:color w:val="auto"/>
          <w:sz w:val="31"/>
          <w:szCs w:val="31"/>
        </w:rPr>
        <w:sectPr>
          <w:headerReference r:id="rId3" w:type="default"/>
          <w:footerReference r:id="rId4" w:type="default"/>
          <w:pgSz w:w="11910" w:h="16850"/>
          <w:pgMar w:top="1715" w:right="1132" w:bottom="1072" w:left="1428" w:header="1393" w:footer="838" w:gutter="0"/>
          <w:cols w:space="720" w:num="1"/>
        </w:sectPr>
      </w:pPr>
    </w:p>
    <w:p w14:paraId="2F41E774">
      <w:pPr>
        <w:pStyle w:val="6"/>
        <w:spacing w:before="78" w:line="222" w:lineRule="auto"/>
        <w:rPr>
          <w:rFonts w:hint="eastAsia"/>
          <w:color w:val="auto"/>
          <w:sz w:val="24"/>
          <w:szCs w:val="24"/>
          <w:lang w:eastAsia="zh-CN"/>
        </w:rPr>
      </w:pPr>
      <w:r>
        <w:rPr>
          <w:color w:val="auto"/>
          <w:spacing w:val="-3"/>
          <w:sz w:val="24"/>
          <w:szCs w:val="24"/>
          <w:lang w:eastAsia="zh-CN"/>
        </w:rPr>
        <w:t>一、项目名称（&lt; 25</w:t>
      </w:r>
      <w:r>
        <w:rPr>
          <w:color w:val="auto"/>
          <w:spacing w:val="24"/>
          <w:sz w:val="24"/>
          <w:szCs w:val="24"/>
          <w:lang w:eastAsia="zh-CN"/>
        </w:rPr>
        <w:t xml:space="preserve"> </w:t>
      </w:r>
      <w:r>
        <w:rPr>
          <w:color w:val="auto"/>
          <w:spacing w:val="-3"/>
          <w:sz w:val="24"/>
          <w:szCs w:val="24"/>
          <w:lang w:eastAsia="zh-CN"/>
        </w:rPr>
        <w:t>字）</w:t>
      </w:r>
    </w:p>
    <w:p w14:paraId="62F75837">
      <w:pPr>
        <w:spacing w:line="243" w:lineRule="auto"/>
        <w:rPr>
          <w:rFonts w:hint="eastAsia"/>
          <w:color w:val="auto"/>
        </w:rPr>
      </w:pPr>
      <w:r>
        <w:rPr>
          <w:rFonts w:hint="eastAsia"/>
          <w:color w:val="auto"/>
        </w:rPr>
        <w:t>基于知识图谱的工单语义校核与审查范式研究</w:t>
      </w:r>
      <w:r>
        <w:rPr>
          <w:color w:val="auto"/>
          <w:highlight w:val="yellow"/>
        </w:rPr>
        <w:drawing>
          <wp:anchor distT="0" distB="0" distL="0" distR="0" simplePos="0" relativeHeight="251667456" behindDoc="0" locked="0" layoutInCell="1" allowOverlap="1">
            <wp:simplePos x="0" y="0"/>
            <wp:positionH relativeFrom="column">
              <wp:posOffset>0</wp:posOffset>
            </wp:positionH>
            <wp:positionV relativeFrom="paragraph">
              <wp:posOffset>151765</wp:posOffset>
            </wp:positionV>
            <wp:extent cx="5842635" cy="762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9"/>
                    <a:stretch>
                      <a:fillRect/>
                    </a:stretch>
                  </pic:blipFill>
                  <pic:spPr>
                    <a:xfrm>
                      <a:off x="0" y="0"/>
                      <a:ext cx="5842634" cy="7620"/>
                    </a:xfrm>
                    <a:prstGeom prst="rect">
                      <a:avLst/>
                    </a:prstGeom>
                  </pic:spPr>
                </pic:pic>
              </a:graphicData>
            </a:graphic>
          </wp:anchor>
        </w:drawing>
      </w:r>
    </w:p>
    <w:p w14:paraId="2FB7DEF5">
      <w:pPr>
        <w:spacing w:line="244" w:lineRule="auto"/>
        <w:rPr>
          <w:rFonts w:hint="eastAsia"/>
          <w:color w:val="auto"/>
        </w:rPr>
      </w:pPr>
    </w:p>
    <w:p w14:paraId="48C5B405">
      <w:pPr>
        <w:pStyle w:val="6"/>
        <w:spacing w:before="78" w:line="221" w:lineRule="auto"/>
        <w:ind w:left="27"/>
        <w:rPr>
          <w:rFonts w:hint="eastAsia"/>
          <w:color w:val="auto"/>
          <w:sz w:val="24"/>
          <w:szCs w:val="24"/>
          <w:lang w:eastAsia="zh-CN"/>
        </w:rPr>
      </w:pPr>
      <w:r>
        <w:rPr>
          <w:color w:val="auto"/>
          <w:spacing w:val="-2"/>
          <w:sz w:val="24"/>
          <w:szCs w:val="24"/>
          <w:lang w:eastAsia="zh-CN"/>
        </w:rPr>
        <w:t>二、项目分类分级</w:t>
      </w:r>
    </w:p>
    <w:p w14:paraId="66CC5E57">
      <w:pPr>
        <w:spacing w:before="259" w:line="228" w:lineRule="auto"/>
        <w:ind w:left="458"/>
        <w:rPr>
          <w:rFonts w:hint="eastAsia"/>
          <w:color w:val="auto"/>
          <w:sz w:val="20"/>
          <w:szCs w:val="20"/>
        </w:rPr>
      </w:pPr>
      <w:r>
        <w:rPr>
          <w:rFonts w:ascii="Times New Roman" w:hAnsi="Times New Roman" w:eastAsia="Times New Roman" w:cs="Times New Roman"/>
          <w:color w:val="auto"/>
          <w:spacing w:val="1"/>
          <w:sz w:val="20"/>
          <w:szCs w:val="20"/>
        </w:rPr>
        <w:t>1</w:t>
      </w:r>
      <w:r>
        <w:rPr>
          <w:rFonts w:ascii="Times New Roman" w:hAnsi="Times New Roman" w:eastAsia="Times New Roman" w:cs="Times New Roman"/>
          <w:color w:val="auto"/>
          <w:spacing w:val="8"/>
          <w:sz w:val="20"/>
          <w:szCs w:val="20"/>
        </w:rPr>
        <w:t xml:space="preserve">  </w:t>
      </w:r>
      <w:r>
        <w:rPr>
          <w:color w:val="auto"/>
          <w:spacing w:val="1"/>
          <w:sz w:val="20"/>
          <w:szCs w:val="20"/>
        </w:rPr>
        <w:t>产业类型</w:t>
      </w:r>
    </w:p>
    <w:p w14:paraId="0F21136D">
      <w:pPr>
        <w:spacing w:before="281" w:line="228" w:lineRule="auto"/>
        <w:ind w:left="672"/>
        <w:rPr>
          <w:rFonts w:hint="eastAsia"/>
          <w:color w:val="auto"/>
          <w:sz w:val="20"/>
          <w:szCs w:val="20"/>
        </w:rPr>
      </w:pPr>
      <w:r>
        <w:rPr>
          <w:color w:val="auto"/>
          <w:spacing w:val="3"/>
          <w:sz w:val="20"/>
          <w:szCs w:val="20"/>
        </w:rPr>
        <w:t>□农业类</w:t>
      </w:r>
      <w:r>
        <w:rPr>
          <w:color w:val="auto"/>
          <w:spacing w:val="9"/>
          <w:sz w:val="20"/>
          <w:szCs w:val="20"/>
        </w:rPr>
        <w:t xml:space="preserve">       </w:t>
      </w:r>
      <w:r>
        <w:rPr>
          <w:rFonts w:hint="eastAsia" w:ascii="MS Mincho" w:hAnsi="MS Mincho" w:eastAsia="MS Mincho"/>
          <w:color w:val="auto"/>
          <w:spacing w:val="3"/>
          <w:sz w:val="20"/>
          <w:szCs w:val="20"/>
        </w:rPr>
        <w:t>■</w:t>
      </w:r>
      <w:r>
        <w:rPr>
          <w:color w:val="auto"/>
          <w:spacing w:val="3"/>
          <w:sz w:val="20"/>
          <w:szCs w:val="20"/>
        </w:rPr>
        <w:t>非农业类</w:t>
      </w:r>
    </w:p>
    <w:p w14:paraId="06FCC296">
      <w:pPr>
        <w:spacing w:before="146" w:line="228" w:lineRule="auto"/>
        <w:ind w:left="438"/>
        <w:rPr>
          <w:rFonts w:hint="eastAsia"/>
          <w:color w:val="auto"/>
          <w:sz w:val="20"/>
          <w:szCs w:val="20"/>
        </w:rPr>
      </w:pPr>
      <w:r>
        <w:rPr>
          <w:rFonts w:ascii="Times New Roman" w:hAnsi="Times New Roman" w:eastAsia="Times New Roman" w:cs="Times New Roman"/>
          <w:color w:val="auto"/>
          <w:spacing w:val="5"/>
          <w:sz w:val="20"/>
          <w:szCs w:val="20"/>
        </w:rPr>
        <w:t>2</w:t>
      </w:r>
      <w:r>
        <w:rPr>
          <w:rFonts w:ascii="Times New Roman" w:hAnsi="Times New Roman" w:eastAsia="Times New Roman" w:cs="Times New Roman"/>
          <w:color w:val="auto"/>
          <w:spacing w:val="8"/>
          <w:sz w:val="20"/>
          <w:szCs w:val="20"/>
        </w:rPr>
        <w:t xml:space="preserve">  </w:t>
      </w:r>
      <w:r>
        <w:rPr>
          <w:color w:val="auto"/>
          <w:spacing w:val="5"/>
          <w:sz w:val="20"/>
          <w:szCs w:val="20"/>
        </w:rPr>
        <w:t>项目类别</w:t>
      </w:r>
    </w:p>
    <w:p w14:paraId="55D708B1">
      <w:pPr>
        <w:spacing w:before="282" w:line="227" w:lineRule="auto"/>
        <w:ind w:left="672"/>
        <w:rPr>
          <w:rFonts w:hint="eastAsia"/>
          <w:color w:val="auto"/>
          <w:sz w:val="20"/>
          <w:szCs w:val="20"/>
        </w:rPr>
      </w:pPr>
      <w:r>
        <w:rPr>
          <w:rFonts w:hint="eastAsia" w:ascii="MS Mincho" w:hAnsi="MS Mincho" w:eastAsia="MS Mincho"/>
          <w:color w:val="auto"/>
          <w:spacing w:val="3"/>
          <w:sz w:val="20"/>
          <w:szCs w:val="20"/>
        </w:rPr>
        <w:t>■</w:t>
      </w:r>
      <w:r>
        <w:rPr>
          <w:color w:val="auto"/>
          <w:spacing w:val="4"/>
          <w:sz w:val="20"/>
          <w:szCs w:val="20"/>
        </w:rPr>
        <w:t>常规类</w:t>
      </w:r>
      <w:r>
        <w:rPr>
          <w:color w:val="auto"/>
          <w:spacing w:val="9"/>
          <w:sz w:val="20"/>
          <w:szCs w:val="20"/>
        </w:rPr>
        <w:t xml:space="preserve">       </w:t>
      </w:r>
      <w:r>
        <w:rPr>
          <w:color w:val="auto"/>
          <w:spacing w:val="4"/>
          <w:sz w:val="20"/>
          <w:szCs w:val="20"/>
        </w:rPr>
        <w:t>□揭榜挂帅类</w:t>
      </w:r>
      <w:r>
        <w:rPr>
          <w:color w:val="auto"/>
          <w:spacing w:val="17"/>
          <w:sz w:val="20"/>
          <w:szCs w:val="20"/>
        </w:rPr>
        <w:t xml:space="preserve">   </w:t>
      </w:r>
      <w:r>
        <w:rPr>
          <w:color w:val="auto"/>
          <w:spacing w:val="4"/>
          <w:sz w:val="20"/>
          <w:szCs w:val="20"/>
        </w:rPr>
        <w:t>□人才计划类</w:t>
      </w:r>
    </w:p>
    <w:p w14:paraId="5F2F3110">
      <w:pPr>
        <w:spacing w:before="145" w:line="227" w:lineRule="auto"/>
        <w:ind w:left="442"/>
        <w:rPr>
          <w:rFonts w:hint="eastAsia"/>
          <w:color w:val="auto"/>
          <w:sz w:val="20"/>
          <w:szCs w:val="20"/>
        </w:rPr>
      </w:pPr>
      <w:r>
        <w:rPr>
          <w:rFonts w:ascii="Times New Roman" w:hAnsi="Times New Roman" w:eastAsia="Times New Roman" w:cs="Times New Roman"/>
          <w:color w:val="auto"/>
          <w:spacing w:val="5"/>
          <w:sz w:val="20"/>
          <w:szCs w:val="20"/>
        </w:rPr>
        <w:t>3</w:t>
      </w:r>
      <w:r>
        <w:rPr>
          <w:rFonts w:ascii="Times New Roman" w:hAnsi="Times New Roman" w:eastAsia="Times New Roman" w:cs="Times New Roman"/>
          <w:color w:val="auto"/>
          <w:spacing w:val="6"/>
          <w:sz w:val="20"/>
          <w:szCs w:val="20"/>
        </w:rPr>
        <w:t xml:space="preserve">  </w:t>
      </w:r>
      <w:r>
        <w:rPr>
          <w:color w:val="auto"/>
          <w:spacing w:val="5"/>
          <w:sz w:val="20"/>
          <w:szCs w:val="20"/>
        </w:rPr>
        <w:t>研究类型</w:t>
      </w:r>
    </w:p>
    <w:p w14:paraId="39EA1890">
      <w:pPr>
        <w:spacing w:before="282" w:line="227" w:lineRule="auto"/>
        <w:ind w:left="672"/>
        <w:rPr>
          <w:rFonts w:hint="eastAsia"/>
          <w:color w:val="auto"/>
          <w:sz w:val="20"/>
          <w:szCs w:val="20"/>
        </w:rPr>
      </w:pPr>
      <w:r>
        <w:rPr>
          <w:color w:val="auto"/>
          <w:spacing w:val="6"/>
          <w:sz w:val="20"/>
          <w:szCs w:val="20"/>
        </w:rPr>
        <w:t>□基础研究类   □技术开发类</w:t>
      </w:r>
      <w:r>
        <w:rPr>
          <w:color w:val="auto"/>
          <w:spacing w:val="15"/>
          <w:sz w:val="20"/>
          <w:szCs w:val="20"/>
        </w:rPr>
        <w:t xml:space="preserve">   </w:t>
      </w:r>
      <w:r>
        <w:rPr>
          <w:rFonts w:hint="eastAsia" w:ascii="MS Mincho" w:hAnsi="MS Mincho" w:eastAsia="MS Mincho"/>
          <w:color w:val="auto"/>
          <w:spacing w:val="3"/>
          <w:sz w:val="20"/>
          <w:szCs w:val="20"/>
        </w:rPr>
        <w:t>■</w:t>
      </w:r>
      <w:r>
        <w:rPr>
          <w:color w:val="auto"/>
          <w:spacing w:val="6"/>
          <w:sz w:val="20"/>
          <w:szCs w:val="20"/>
        </w:rPr>
        <w:t>应用研究类</w:t>
      </w:r>
      <w:r>
        <w:rPr>
          <w:color w:val="auto"/>
          <w:spacing w:val="16"/>
          <w:sz w:val="20"/>
          <w:szCs w:val="20"/>
        </w:rPr>
        <w:t xml:space="preserve">   </w:t>
      </w:r>
      <w:r>
        <w:rPr>
          <w:color w:val="auto"/>
          <w:spacing w:val="6"/>
          <w:sz w:val="20"/>
          <w:szCs w:val="20"/>
        </w:rPr>
        <w:t>□管理创新类</w:t>
      </w:r>
    </w:p>
    <w:p w14:paraId="0A5D7A4B">
      <w:pPr>
        <w:spacing w:before="148" w:line="227" w:lineRule="auto"/>
        <w:ind w:left="437"/>
        <w:rPr>
          <w:rFonts w:hint="eastAsia"/>
          <w:color w:val="auto"/>
          <w:sz w:val="20"/>
          <w:szCs w:val="20"/>
        </w:rPr>
      </w:pPr>
      <w:r>
        <w:rPr>
          <w:rFonts w:ascii="Times New Roman" w:hAnsi="Times New Roman" w:eastAsia="Times New Roman" w:cs="Times New Roman"/>
          <w:color w:val="auto"/>
          <w:spacing w:val="6"/>
          <w:sz w:val="20"/>
          <w:szCs w:val="20"/>
        </w:rPr>
        <w:t xml:space="preserve">4  </w:t>
      </w:r>
      <w:r>
        <w:rPr>
          <w:color w:val="auto"/>
          <w:spacing w:val="6"/>
          <w:sz w:val="20"/>
          <w:szCs w:val="20"/>
        </w:rPr>
        <w:t>研究领域</w:t>
      </w:r>
    </w:p>
    <w:p w14:paraId="610FE430">
      <w:pPr>
        <w:spacing w:before="282" w:line="228" w:lineRule="auto"/>
        <w:ind w:left="672"/>
        <w:rPr>
          <w:rFonts w:hint="eastAsia"/>
          <w:color w:val="auto"/>
          <w:sz w:val="20"/>
          <w:szCs w:val="20"/>
        </w:rPr>
      </w:pPr>
      <w:r>
        <w:rPr>
          <w:color w:val="auto"/>
          <w:spacing w:val="2"/>
          <w:sz w:val="20"/>
          <w:szCs w:val="20"/>
        </w:rPr>
        <w:t>□烟草农业   □营销        □物流</w:t>
      </w:r>
      <w:r>
        <w:rPr>
          <w:color w:val="auto"/>
          <w:spacing w:val="13"/>
          <w:sz w:val="20"/>
          <w:szCs w:val="20"/>
        </w:rPr>
        <w:t xml:space="preserve">     </w:t>
      </w:r>
      <w:r>
        <w:rPr>
          <w:color w:val="auto"/>
          <w:spacing w:val="2"/>
          <w:sz w:val="20"/>
          <w:szCs w:val="20"/>
        </w:rPr>
        <w:t>□专卖</w:t>
      </w:r>
      <w:r>
        <w:rPr>
          <w:color w:val="auto"/>
          <w:spacing w:val="11"/>
          <w:sz w:val="20"/>
          <w:szCs w:val="20"/>
        </w:rPr>
        <w:t xml:space="preserve">     </w:t>
      </w:r>
      <w:r>
        <w:rPr>
          <w:color w:val="auto"/>
          <w:spacing w:val="2"/>
          <w:sz w:val="20"/>
          <w:szCs w:val="20"/>
        </w:rPr>
        <w:t>□电子烟    □内管</w:t>
      </w:r>
      <w:r>
        <w:rPr>
          <w:color w:val="auto"/>
          <w:spacing w:val="15"/>
          <w:sz w:val="20"/>
          <w:szCs w:val="20"/>
        </w:rPr>
        <w:t xml:space="preserve">   </w:t>
      </w:r>
      <w:r>
        <w:rPr>
          <w:color w:val="auto"/>
          <w:spacing w:val="2"/>
          <w:sz w:val="20"/>
          <w:szCs w:val="20"/>
        </w:rPr>
        <w:t>□财务</w:t>
      </w:r>
    </w:p>
    <w:p w14:paraId="14CE0BEC">
      <w:pPr>
        <w:spacing w:before="146" w:line="228" w:lineRule="auto"/>
        <w:ind w:left="672"/>
        <w:rPr>
          <w:rFonts w:hint="eastAsia"/>
          <w:color w:val="auto"/>
          <w:sz w:val="20"/>
          <w:szCs w:val="20"/>
        </w:rPr>
      </w:pPr>
      <w:r>
        <w:rPr>
          <w:color w:val="auto"/>
          <w:spacing w:val="2"/>
          <w:sz w:val="20"/>
          <w:szCs w:val="20"/>
        </w:rPr>
        <w:t>□审计</w:t>
      </w:r>
      <w:r>
        <w:rPr>
          <w:color w:val="auto"/>
          <w:spacing w:val="10"/>
          <w:sz w:val="20"/>
          <w:szCs w:val="20"/>
        </w:rPr>
        <w:t xml:space="preserve">      </w:t>
      </w:r>
      <w:r>
        <w:rPr>
          <w:color w:val="auto"/>
          <w:spacing w:val="2"/>
          <w:sz w:val="20"/>
          <w:szCs w:val="20"/>
        </w:rPr>
        <w:t>□企业管理</w:t>
      </w:r>
      <w:r>
        <w:rPr>
          <w:rFonts w:hint="eastAsia"/>
          <w:color w:val="auto"/>
          <w:spacing w:val="2"/>
          <w:sz w:val="20"/>
          <w:szCs w:val="20"/>
        </w:rPr>
        <w:t xml:space="preserve"> </w:t>
      </w:r>
      <w:r>
        <w:rPr>
          <w:color w:val="auto"/>
          <w:spacing w:val="15"/>
          <w:sz w:val="20"/>
          <w:szCs w:val="20"/>
        </w:rPr>
        <w:t xml:space="preserve">   </w:t>
      </w:r>
      <w:r>
        <w:rPr>
          <w:rFonts w:hint="eastAsia" w:ascii="MS Mincho" w:hAnsi="MS Mincho" w:eastAsia="MS Mincho"/>
          <w:color w:val="auto"/>
          <w:spacing w:val="3"/>
          <w:sz w:val="20"/>
          <w:szCs w:val="20"/>
        </w:rPr>
        <w:t>■</w:t>
      </w:r>
      <w:r>
        <w:rPr>
          <w:color w:val="auto"/>
          <w:spacing w:val="2"/>
          <w:sz w:val="20"/>
          <w:szCs w:val="20"/>
        </w:rPr>
        <w:t>信息化</w:t>
      </w:r>
      <w:r>
        <w:rPr>
          <w:color w:val="auto"/>
          <w:spacing w:val="16"/>
          <w:sz w:val="20"/>
          <w:szCs w:val="20"/>
        </w:rPr>
        <w:t xml:space="preserve">   </w:t>
      </w:r>
      <w:r>
        <w:rPr>
          <w:color w:val="auto"/>
          <w:spacing w:val="2"/>
          <w:sz w:val="20"/>
          <w:szCs w:val="20"/>
        </w:rPr>
        <w:t>□复烤加工</w:t>
      </w:r>
      <w:r>
        <w:rPr>
          <w:color w:val="auto"/>
          <w:spacing w:val="20"/>
          <w:sz w:val="20"/>
          <w:szCs w:val="20"/>
        </w:rPr>
        <w:t xml:space="preserve">  </w:t>
      </w:r>
      <w:r>
        <w:rPr>
          <w:color w:val="auto"/>
          <w:spacing w:val="2"/>
          <w:sz w:val="20"/>
          <w:szCs w:val="20"/>
        </w:rPr>
        <w:t>□其他</w:t>
      </w:r>
    </w:p>
    <w:p w14:paraId="264A06B1">
      <w:pPr>
        <w:spacing w:before="145" w:line="227" w:lineRule="auto"/>
        <w:ind w:left="444"/>
        <w:rPr>
          <w:rFonts w:hint="eastAsia"/>
          <w:color w:val="auto"/>
          <w:sz w:val="20"/>
          <w:szCs w:val="20"/>
        </w:rPr>
      </w:pPr>
      <w:r>
        <w:rPr>
          <w:rFonts w:ascii="Times New Roman" w:hAnsi="Times New Roman" w:eastAsia="Times New Roman" w:cs="Times New Roman"/>
          <w:color w:val="auto"/>
          <w:spacing w:val="4"/>
          <w:sz w:val="20"/>
          <w:szCs w:val="20"/>
        </w:rPr>
        <w:t>5</w:t>
      </w:r>
      <w:r>
        <w:rPr>
          <w:rFonts w:ascii="Times New Roman" w:hAnsi="Times New Roman" w:eastAsia="Times New Roman" w:cs="Times New Roman"/>
          <w:color w:val="auto"/>
          <w:spacing w:val="7"/>
          <w:sz w:val="20"/>
          <w:szCs w:val="20"/>
        </w:rPr>
        <w:t xml:space="preserve">  </w:t>
      </w:r>
      <w:r>
        <w:rPr>
          <w:color w:val="auto"/>
          <w:spacing w:val="4"/>
          <w:sz w:val="20"/>
          <w:szCs w:val="20"/>
        </w:rPr>
        <w:t>研究内容</w:t>
      </w:r>
    </w:p>
    <w:p w14:paraId="0D357F6B">
      <w:pPr>
        <w:spacing w:before="284" w:line="228" w:lineRule="auto"/>
        <w:ind w:left="718"/>
        <w:rPr>
          <w:rFonts w:hint="eastAsia"/>
          <w:color w:val="auto"/>
          <w:sz w:val="20"/>
          <w:szCs w:val="20"/>
        </w:rPr>
      </w:pPr>
      <w:r>
        <w:rPr>
          <w:color w:val="auto"/>
          <w:spacing w:val="3"/>
          <w:sz w:val="20"/>
          <w:szCs w:val="20"/>
        </w:rPr>
        <w:t>□烟草育种        □烟草育苗</w:t>
      </w:r>
      <w:r>
        <w:rPr>
          <w:color w:val="auto"/>
          <w:spacing w:val="27"/>
          <w:sz w:val="20"/>
          <w:szCs w:val="20"/>
        </w:rPr>
        <w:t xml:space="preserve">   </w:t>
      </w:r>
      <w:r>
        <w:rPr>
          <w:color w:val="auto"/>
          <w:spacing w:val="3"/>
          <w:sz w:val="20"/>
          <w:szCs w:val="20"/>
        </w:rPr>
        <w:t>□烟草栽培</w:t>
      </w:r>
      <w:r>
        <w:rPr>
          <w:color w:val="auto"/>
          <w:spacing w:val="33"/>
          <w:sz w:val="20"/>
          <w:szCs w:val="20"/>
        </w:rPr>
        <w:t xml:space="preserve">   </w:t>
      </w:r>
      <w:r>
        <w:rPr>
          <w:color w:val="auto"/>
          <w:spacing w:val="3"/>
          <w:sz w:val="20"/>
          <w:szCs w:val="20"/>
        </w:rPr>
        <w:t>□烟草营养        □烟草调制</w:t>
      </w:r>
    </w:p>
    <w:p w14:paraId="3766C6A0">
      <w:pPr>
        <w:spacing w:before="54"/>
        <w:rPr>
          <w:rFonts w:hint="eastAsia"/>
          <w:color w:val="auto"/>
        </w:rPr>
      </w:pPr>
    </w:p>
    <w:tbl>
      <w:tblPr>
        <w:tblStyle w:val="16"/>
        <w:tblW w:w="7780" w:type="dxa"/>
        <w:tblInd w:w="4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06"/>
        <w:gridCol w:w="1463"/>
        <w:gridCol w:w="1417"/>
        <w:gridCol w:w="1853"/>
        <w:gridCol w:w="1141"/>
      </w:tblGrid>
      <w:tr w14:paraId="56CF29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1" w:hRule="atLeast"/>
        </w:trPr>
        <w:tc>
          <w:tcPr>
            <w:tcW w:w="1906" w:type="dxa"/>
          </w:tcPr>
          <w:p w14:paraId="353B4622">
            <w:pPr>
              <w:pStyle w:val="17"/>
              <w:spacing w:line="227" w:lineRule="auto"/>
              <w:ind w:left="276"/>
              <w:rPr>
                <w:rFonts w:hint="eastAsia"/>
                <w:color w:val="auto"/>
              </w:rPr>
            </w:pPr>
            <w:r>
              <w:rPr>
                <w:color w:val="auto"/>
                <w:spacing w:val="5"/>
              </w:rPr>
              <w:t>□烟草植物保护</w:t>
            </w:r>
          </w:p>
        </w:tc>
        <w:tc>
          <w:tcPr>
            <w:tcW w:w="1463" w:type="dxa"/>
          </w:tcPr>
          <w:p w14:paraId="219080A0">
            <w:pPr>
              <w:pStyle w:val="17"/>
              <w:spacing w:line="252" w:lineRule="auto"/>
              <w:ind w:left="191" w:right="112" w:firstLine="19"/>
              <w:rPr>
                <w:rFonts w:hint="eastAsia"/>
                <w:color w:val="auto"/>
              </w:rPr>
            </w:pPr>
            <w:r>
              <w:rPr>
                <w:color w:val="auto"/>
                <w:spacing w:val="3"/>
              </w:rPr>
              <w:t>□</w:t>
            </w:r>
            <w:r>
              <w:rPr>
                <w:color w:val="auto"/>
                <w:spacing w:val="-59"/>
              </w:rPr>
              <w:t xml:space="preserve"> </w:t>
            </w:r>
            <w:r>
              <w:rPr>
                <w:color w:val="auto"/>
                <w:spacing w:val="3"/>
              </w:rPr>
              <w:t>烟</w:t>
            </w:r>
            <w:r>
              <w:rPr>
                <w:color w:val="auto"/>
                <w:spacing w:val="-60"/>
              </w:rPr>
              <w:t xml:space="preserve"> </w:t>
            </w:r>
            <w:r>
              <w:rPr>
                <w:color w:val="auto"/>
                <w:spacing w:val="3"/>
              </w:rPr>
              <w:t>草</w:t>
            </w:r>
            <w:r>
              <w:rPr>
                <w:color w:val="auto"/>
                <w:spacing w:val="-58"/>
              </w:rPr>
              <w:t xml:space="preserve"> </w:t>
            </w:r>
            <w:r>
              <w:rPr>
                <w:color w:val="auto"/>
                <w:spacing w:val="3"/>
              </w:rPr>
              <w:t>分子</w:t>
            </w:r>
            <w:r>
              <w:rPr>
                <w:color w:val="auto"/>
                <w:spacing w:val="6"/>
              </w:rPr>
              <w:t>生物学</w:t>
            </w:r>
          </w:p>
        </w:tc>
        <w:tc>
          <w:tcPr>
            <w:tcW w:w="1417" w:type="dxa"/>
          </w:tcPr>
          <w:p w14:paraId="295B4716">
            <w:pPr>
              <w:pStyle w:val="17"/>
              <w:spacing w:before="1" w:line="251" w:lineRule="auto"/>
              <w:ind w:left="114" w:right="111" w:firstLine="20"/>
              <w:rPr>
                <w:rFonts w:hint="eastAsia"/>
                <w:color w:val="auto"/>
              </w:rPr>
            </w:pPr>
            <w:r>
              <w:rPr>
                <w:color w:val="auto"/>
                <w:spacing w:val="-10"/>
              </w:rPr>
              <w:t>□</w:t>
            </w:r>
            <w:r>
              <w:rPr>
                <w:color w:val="auto"/>
                <w:spacing w:val="-30"/>
              </w:rPr>
              <w:t xml:space="preserve"> </w:t>
            </w:r>
            <w:r>
              <w:rPr>
                <w:color w:val="auto"/>
                <w:spacing w:val="-10"/>
              </w:rPr>
              <w:t>国</w:t>
            </w:r>
            <w:r>
              <w:rPr>
                <w:color w:val="auto"/>
                <w:spacing w:val="-54"/>
              </w:rPr>
              <w:t xml:space="preserve"> </w:t>
            </w:r>
            <w:r>
              <w:rPr>
                <w:color w:val="auto"/>
                <w:spacing w:val="-10"/>
              </w:rPr>
              <w:t>产</w:t>
            </w:r>
            <w:r>
              <w:rPr>
                <w:color w:val="auto"/>
                <w:spacing w:val="-47"/>
              </w:rPr>
              <w:t xml:space="preserve"> </w:t>
            </w:r>
            <w:r>
              <w:rPr>
                <w:color w:val="auto"/>
                <w:spacing w:val="-10"/>
              </w:rPr>
              <w:t>雪</w:t>
            </w:r>
            <w:r>
              <w:rPr>
                <w:color w:val="auto"/>
                <w:spacing w:val="-50"/>
              </w:rPr>
              <w:t xml:space="preserve"> </w:t>
            </w:r>
            <w:r>
              <w:rPr>
                <w:color w:val="auto"/>
                <w:spacing w:val="-10"/>
              </w:rPr>
              <w:t>茄</w:t>
            </w:r>
            <w:r>
              <w:rPr>
                <w:color w:val="auto"/>
                <w:spacing w:val="4"/>
              </w:rPr>
              <w:t>烟叶</w:t>
            </w:r>
          </w:p>
        </w:tc>
        <w:tc>
          <w:tcPr>
            <w:tcW w:w="1853" w:type="dxa"/>
          </w:tcPr>
          <w:p w14:paraId="2EBCD93C">
            <w:pPr>
              <w:pStyle w:val="17"/>
              <w:spacing w:line="252" w:lineRule="auto"/>
              <w:ind w:left="112" w:right="123" w:firstLine="21"/>
              <w:rPr>
                <w:rFonts w:hint="eastAsia"/>
                <w:color w:val="auto"/>
                <w:lang w:eastAsia="zh-CN"/>
              </w:rPr>
            </w:pPr>
            <w:r>
              <w:rPr>
                <w:color w:val="auto"/>
                <w:spacing w:val="15"/>
                <w:lang w:eastAsia="zh-CN"/>
              </w:rPr>
              <w:t>□</w:t>
            </w:r>
            <w:r>
              <w:rPr>
                <w:color w:val="auto"/>
                <w:spacing w:val="-55"/>
                <w:lang w:eastAsia="zh-CN"/>
              </w:rPr>
              <w:t xml:space="preserve"> </w:t>
            </w:r>
            <w:r>
              <w:rPr>
                <w:color w:val="auto"/>
                <w:spacing w:val="15"/>
                <w:lang w:eastAsia="zh-CN"/>
              </w:rPr>
              <w:t>雪茄烟</w:t>
            </w:r>
            <w:r>
              <w:rPr>
                <w:color w:val="auto"/>
                <w:spacing w:val="-56"/>
                <w:lang w:eastAsia="zh-CN"/>
              </w:rPr>
              <w:t xml:space="preserve"> </w:t>
            </w:r>
            <w:r>
              <w:rPr>
                <w:color w:val="auto"/>
                <w:spacing w:val="15"/>
                <w:lang w:eastAsia="zh-CN"/>
              </w:rPr>
              <w:t>晾制及</w:t>
            </w:r>
            <w:r>
              <w:rPr>
                <w:color w:val="auto"/>
                <w:spacing w:val="7"/>
                <w:lang w:eastAsia="zh-CN"/>
              </w:rPr>
              <w:t>农业发酵</w:t>
            </w:r>
          </w:p>
        </w:tc>
        <w:tc>
          <w:tcPr>
            <w:tcW w:w="1141" w:type="dxa"/>
          </w:tcPr>
          <w:p w14:paraId="13D1CA13">
            <w:pPr>
              <w:pStyle w:val="17"/>
              <w:spacing w:line="228" w:lineRule="auto"/>
              <w:jc w:val="right"/>
              <w:rPr>
                <w:rFonts w:hint="eastAsia"/>
                <w:color w:val="auto"/>
              </w:rPr>
            </w:pPr>
            <w:r>
              <w:rPr>
                <w:color w:val="auto"/>
                <w:spacing w:val="3"/>
              </w:rPr>
              <w:t>□绿色防控</w:t>
            </w:r>
          </w:p>
        </w:tc>
      </w:tr>
      <w:tr w14:paraId="4C8090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906" w:type="dxa"/>
          </w:tcPr>
          <w:p w14:paraId="4AA0EBF5">
            <w:pPr>
              <w:pStyle w:val="17"/>
              <w:spacing w:before="90" w:line="228" w:lineRule="auto"/>
              <w:ind w:left="276"/>
              <w:rPr>
                <w:rFonts w:hint="eastAsia"/>
                <w:color w:val="auto"/>
              </w:rPr>
            </w:pPr>
            <w:r>
              <w:rPr>
                <w:color w:val="auto"/>
                <w:spacing w:val="5"/>
              </w:rPr>
              <w:t>□烟叶制品研发</w:t>
            </w:r>
          </w:p>
        </w:tc>
        <w:tc>
          <w:tcPr>
            <w:tcW w:w="1463" w:type="dxa"/>
          </w:tcPr>
          <w:p w14:paraId="5D6B2012">
            <w:pPr>
              <w:pStyle w:val="17"/>
              <w:spacing w:before="91" w:line="227" w:lineRule="auto"/>
              <w:ind w:left="210"/>
              <w:rPr>
                <w:rFonts w:hint="eastAsia"/>
                <w:color w:val="auto"/>
              </w:rPr>
            </w:pPr>
            <w:r>
              <w:rPr>
                <w:color w:val="auto"/>
                <w:spacing w:val="3"/>
              </w:rPr>
              <w:t>□农机农艺</w:t>
            </w:r>
          </w:p>
        </w:tc>
        <w:tc>
          <w:tcPr>
            <w:tcW w:w="1417" w:type="dxa"/>
          </w:tcPr>
          <w:p w14:paraId="6311B868">
            <w:pPr>
              <w:pStyle w:val="17"/>
              <w:spacing w:before="90" w:line="228" w:lineRule="auto"/>
              <w:ind w:left="135"/>
              <w:rPr>
                <w:rFonts w:hint="eastAsia"/>
                <w:color w:val="auto"/>
              </w:rPr>
            </w:pPr>
            <w:r>
              <w:rPr>
                <w:color w:val="auto"/>
                <w:spacing w:val="3"/>
              </w:rPr>
              <w:t>□复烤加工</w:t>
            </w:r>
          </w:p>
        </w:tc>
        <w:tc>
          <w:tcPr>
            <w:tcW w:w="1853" w:type="dxa"/>
          </w:tcPr>
          <w:p w14:paraId="689F1AC0">
            <w:pPr>
              <w:pStyle w:val="17"/>
              <w:spacing w:before="91" w:line="228" w:lineRule="auto"/>
              <w:ind w:left="134"/>
              <w:rPr>
                <w:rFonts w:hint="eastAsia"/>
                <w:color w:val="auto"/>
              </w:rPr>
            </w:pPr>
            <w:r>
              <w:rPr>
                <w:color w:val="auto"/>
                <w:spacing w:val="-1"/>
              </w:rPr>
              <w:t>□营销</w:t>
            </w:r>
          </w:p>
        </w:tc>
        <w:tc>
          <w:tcPr>
            <w:tcW w:w="1141" w:type="dxa"/>
          </w:tcPr>
          <w:p w14:paraId="74C40E1B">
            <w:pPr>
              <w:pStyle w:val="17"/>
              <w:spacing w:before="91" w:line="229" w:lineRule="auto"/>
              <w:ind w:left="124"/>
              <w:rPr>
                <w:rFonts w:hint="eastAsia"/>
                <w:color w:val="auto"/>
              </w:rPr>
            </w:pPr>
            <w:r>
              <w:rPr>
                <w:color w:val="auto"/>
                <w:spacing w:val="-1"/>
              </w:rPr>
              <w:t>□物流</w:t>
            </w:r>
          </w:p>
        </w:tc>
      </w:tr>
      <w:tr w14:paraId="5D651D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6" w:hRule="atLeast"/>
        </w:trPr>
        <w:tc>
          <w:tcPr>
            <w:tcW w:w="1906" w:type="dxa"/>
          </w:tcPr>
          <w:p w14:paraId="10AD315C">
            <w:pPr>
              <w:pStyle w:val="17"/>
              <w:spacing w:before="175" w:line="228" w:lineRule="auto"/>
              <w:ind w:left="276"/>
              <w:rPr>
                <w:rFonts w:hint="eastAsia"/>
                <w:color w:val="auto"/>
              </w:rPr>
            </w:pPr>
            <w:r>
              <w:rPr>
                <w:color w:val="auto"/>
                <w:spacing w:val="-1"/>
              </w:rPr>
              <w:t>□专卖</w:t>
            </w:r>
          </w:p>
        </w:tc>
        <w:tc>
          <w:tcPr>
            <w:tcW w:w="1463" w:type="dxa"/>
          </w:tcPr>
          <w:p w14:paraId="5F57FE12">
            <w:pPr>
              <w:pStyle w:val="17"/>
              <w:spacing w:before="175" w:line="228" w:lineRule="auto"/>
              <w:ind w:left="210"/>
              <w:rPr>
                <w:rFonts w:hint="eastAsia"/>
                <w:color w:val="auto"/>
              </w:rPr>
            </w:pPr>
            <w:r>
              <w:rPr>
                <w:color w:val="auto"/>
                <w:spacing w:val="2"/>
              </w:rPr>
              <w:t>□电子烟</w:t>
            </w:r>
          </w:p>
        </w:tc>
        <w:tc>
          <w:tcPr>
            <w:tcW w:w="1417" w:type="dxa"/>
          </w:tcPr>
          <w:p w14:paraId="743B9F11">
            <w:pPr>
              <w:pStyle w:val="17"/>
              <w:spacing w:before="175" w:line="228" w:lineRule="auto"/>
              <w:ind w:left="135"/>
              <w:rPr>
                <w:rFonts w:hint="eastAsia"/>
                <w:color w:val="auto"/>
              </w:rPr>
            </w:pPr>
            <w:r>
              <w:rPr>
                <w:color w:val="auto"/>
                <w:spacing w:val="-1"/>
              </w:rPr>
              <w:t>□内管</w:t>
            </w:r>
          </w:p>
        </w:tc>
        <w:tc>
          <w:tcPr>
            <w:tcW w:w="1853" w:type="dxa"/>
          </w:tcPr>
          <w:p w14:paraId="7E6A44E5">
            <w:pPr>
              <w:pStyle w:val="17"/>
              <w:spacing w:before="175" w:line="228" w:lineRule="auto"/>
              <w:ind w:left="134"/>
              <w:rPr>
                <w:rFonts w:hint="eastAsia"/>
                <w:color w:val="auto"/>
              </w:rPr>
            </w:pPr>
            <w:r>
              <w:rPr>
                <w:color w:val="auto"/>
                <w:spacing w:val="-1"/>
              </w:rPr>
              <w:t>□财务</w:t>
            </w:r>
          </w:p>
        </w:tc>
        <w:tc>
          <w:tcPr>
            <w:tcW w:w="1141" w:type="dxa"/>
          </w:tcPr>
          <w:p w14:paraId="74249A92">
            <w:pPr>
              <w:pStyle w:val="17"/>
              <w:spacing w:before="175" w:line="228" w:lineRule="auto"/>
              <w:ind w:left="124"/>
              <w:rPr>
                <w:rFonts w:hint="eastAsia"/>
                <w:color w:val="auto"/>
              </w:rPr>
            </w:pPr>
            <w:r>
              <w:rPr>
                <w:color w:val="auto"/>
                <w:spacing w:val="-1"/>
              </w:rPr>
              <w:t>□审计</w:t>
            </w:r>
          </w:p>
        </w:tc>
      </w:tr>
      <w:tr w14:paraId="5A8B44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6" w:hRule="atLeast"/>
        </w:trPr>
        <w:tc>
          <w:tcPr>
            <w:tcW w:w="1906" w:type="dxa"/>
          </w:tcPr>
          <w:p w14:paraId="4DAB7C30">
            <w:pPr>
              <w:pStyle w:val="17"/>
              <w:spacing w:before="171" w:line="228" w:lineRule="auto"/>
              <w:ind w:left="276"/>
              <w:rPr>
                <w:rFonts w:hint="eastAsia"/>
                <w:color w:val="auto"/>
              </w:rPr>
            </w:pPr>
            <w:r>
              <w:rPr>
                <w:color w:val="auto"/>
                <w:spacing w:val="3"/>
              </w:rPr>
              <w:t>□企业管理</w:t>
            </w:r>
          </w:p>
        </w:tc>
        <w:tc>
          <w:tcPr>
            <w:tcW w:w="1463" w:type="dxa"/>
          </w:tcPr>
          <w:p w14:paraId="5AF9FB99">
            <w:pPr>
              <w:pStyle w:val="17"/>
              <w:spacing w:before="171" w:line="228" w:lineRule="auto"/>
              <w:ind w:left="210"/>
              <w:rPr>
                <w:rFonts w:hint="eastAsia"/>
                <w:color w:val="auto"/>
              </w:rPr>
            </w:pPr>
            <w:r>
              <w:rPr>
                <w:rFonts w:hint="eastAsia" w:ascii="MS Mincho" w:hAnsi="MS Mincho" w:eastAsia="MS Mincho"/>
                <w:color w:val="auto"/>
                <w:spacing w:val="3"/>
                <w:lang w:eastAsia="zh-CN"/>
              </w:rPr>
              <w:t>■</w:t>
            </w:r>
            <w:r>
              <w:rPr>
                <w:color w:val="auto"/>
                <w:spacing w:val="2"/>
              </w:rPr>
              <w:t>信息化</w:t>
            </w:r>
          </w:p>
        </w:tc>
        <w:tc>
          <w:tcPr>
            <w:tcW w:w="1417" w:type="dxa"/>
          </w:tcPr>
          <w:p w14:paraId="62C76F8F">
            <w:pPr>
              <w:pStyle w:val="17"/>
              <w:spacing w:before="171" w:line="228" w:lineRule="auto"/>
              <w:ind w:left="135"/>
              <w:rPr>
                <w:rFonts w:hint="eastAsia"/>
                <w:color w:val="auto"/>
              </w:rPr>
            </w:pPr>
            <w:r>
              <w:rPr>
                <w:color w:val="auto"/>
                <w:spacing w:val="3"/>
              </w:rPr>
              <w:t>□节能减排</w:t>
            </w:r>
          </w:p>
        </w:tc>
        <w:tc>
          <w:tcPr>
            <w:tcW w:w="1853" w:type="dxa"/>
          </w:tcPr>
          <w:p w14:paraId="51627D1A">
            <w:pPr>
              <w:pStyle w:val="17"/>
              <w:spacing w:before="171" w:line="228" w:lineRule="auto"/>
              <w:ind w:left="134"/>
              <w:rPr>
                <w:rFonts w:hint="eastAsia"/>
                <w:color w:val="auto"/>
              </w:rPr>
            </w:pPr>
            <w:r>
              <w:rPr>
                <w:color w:val="auto"/>
                <w:spacing w:val="2"/>
              </w:rPr>
              <w:t>□</w:t>
            </w:r>
            <w:r>
              <w:rPr>
                <w:color w:val="auto"/>
                <w:spacing w:val="3"/>
              </w:rPr>
              <w:t>智慧烟草</w:t>
            </w:r>
          </w:p>
        </w:tc>
        <w:tc>
          <w:tcPr>
            <w:tcW w:w="1141" w:type="dxa"/>
          </w:tcPr>
          <w:p w14:paraId="4DF942A4">
            <w:pPr>
              <w:pStyle w:val="17"/>
              <w:spacing w:before="171" w:line="229" w:lineRule="auto"/>
              <w:jc w:val="right"/>
              <w:rPr>
                <w:rFonts w:hint="eastAsia"/>
                <w:color w:val="auto"/>
              </w:rPr>
            </w:pPr>
            <w:r>
              <w:rPr>
                <w:color w:val="auto"/>
                <w:spacing w:val="3"/>
              </w:rPr>
              <w:t>□烟用物资</w:t>
            </w:r>
          </w:p>
        </w:tc>
      </w:tr>
      <w:tr w14:paraId="7506BF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6" w:hRule="atLeast"/>
        </w:trPr>
        <w:tc>
          <w:tcPr>
            <w:tcW w:w="1906" w:type="dxa"/>
          </w:tcPr>
          <w:p w14:paraId="55192A30">
            <w:pPr>
              <w:pStyle w:val="17"/>
              <w:spacing w:before="174" w:line="228" w:lineRule="auto"/>
              <w:ind w:left="276"/>
              <w:rPr>
                <w:rFonts w:hint="eastAsia"/>
                <w:color w:val="auto"/>
              </w:rPr>
            </w:pPr>
            <w:r>
              <w:rPr>
                <w:color w:val="auto"/>
                <w:spacing w:val="3"/>
              </w:rPr>
              <w:t>□仪器设施</w:t>
            </w:r>
          </w:p>
        </w:tc>
        <w:tc>
          <w:tcPr>
            <w:tcW w:w="1463" w:type="dxa"/>
          </w:tcPr>
          <w:p w14:paraId="7405CA91">
            <w:pPr>
              <w:pStyle w:val="17"/>
              <w:spacing w:before="175" w:line="228" w:lineRule="auto"/>
              <w:ind w:left="210"/>
              <w:rPr>
                <w:rFonts w:hint="eastAsia"/>
                <w:color w:val="auto"/>
              </w:rPr>
            </w:pPr>
            <w:r>
              <w:rPr>
                <w:color w:val="auto"/>
                <w:spacing w:val="-1"/>
              </w:rPr>
              <w:t>□其他</w:t>
            </w:r>
          </w:p>
        </w:tc>
        <w:tc>
          <w:tcPr>
            <w:tcW w:w="1417" w:type="dxa"/>
          </w:tcPr>
          <w:p w14:paraId="5D20F420">
            <w:pPr>
              <w:rPr>
                <w:rFonts w:hint="eastAsia"/>
                <w:color w:val="auto"/>
              </w:rPr>
            </w:pPr>
          </w:p>
        </w:tc>
        <w:tc>
          <w:tcPr>
            <w:tcW w:w="1853" w:type="dxa"/>
          </w:tcPr>
          <w:p w14:paraId="4DF40261">
            <w:pPr>
              <w:rPr>
                <w:rFonts w:hint="eastAsia"/>
                <w:color w:val="auto"/>
              </w:rPr>
            </w:pPr>
          </w:p>
        </w:tc>
        <w:tc>
          <w:tcPr>
            <w:tcW w:w="1141" w:type="dxa"/>
          </w:tcPr>
          <w:p w14:paraId="61B4071C">
            <w:pPr>
              <w:rPr>
                <w:rFonts w:hint="eastAsia"/>
                <w:color w:val="auto"/>
              </w:rPr>
            </w:pPr>
          </w:p>
        </w:tc>
      </w:tr>
      <w:tr w14:paraId="275529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0" w:hRule="atLeast"/>
        </w:trPr>
        <w:tc>
          <w:tcPr>
            <w:tcW w:w="1906" w:type="dxa"/>
          </w:tcPr>
          <w:p w14:paraId="2712B619">
            <w:pPr>
              <w:pStyle w:val="17"/>
              <w:spacing w:before="152" w:line="228" w:lineRule="auto"/>
              <w:ind w:left="1"/>
              <w:rPr>
                <w:rFonts w:hint="eastAsia"/>
                <w:color w:val="auto"/>
                <w:lang w:eastAsia="zh-CN"/>
              </w:rPr>
            </w:pPr>
            <w:r>
              <w:rPr>
                <w:rFonts w:ascii="Times New Roman" w:hAnsi="Times New Roman" w:eastAsia="Times New Roman" w:cs="Times New Roman"/>
                <w:color w:val="auto"/>
                <w:spacing w:val="5"/>
                <w:lang w:eastAsia="zh-CN"/>
              </w:rPr>
              <w:t>6</w:t>
            </w:r>
            <w:r>
              <w:rPr>
                <w:rFonts w:ascii="Times New Roman" w:hAnsi="Times New Roman" w:eastAsia="Times New Roman" w:cs="Times New Roman"/>
                <w:color w:val="auto"/>
                <w:spacing w:val="6"/>
                <w:lang w:eastAsia="zh-CN"/>
              </w:rPr>
              <w:t xml:space="preserve">  </w:t>
            </w:r>
            <w:r>
              <w:rPr>
                <w:color w:val="auto"/>
                <w:spacing w:val="5"/>
                <w:lang w:eastAsia="zh-CN"/>
              </w:rPr>
              <w:t>承担主体</w:t>
            </w:r>
          </w:p>
          <w:p w14:paraId="3AE866C3">
            <w:pPr>
              <w:pStyle w:val="17"/>
              <w:spacing w:before="281" w:line="227" w:lineRule="auto"/>
              <w:ind w:left="230"/>
              <w:rPr>
                <w:rFonts w:hint="eastAsia"/>
                <w:color w:val="auto"/>
                <w:lang w:eastAsia="zh-CN"/>
              </w:rPr>
            </w:pPr>
            <w:r>
              <w:rPr>
                <w:rFonts w:hint="eastAsia" w:ascii="MS Mincho" w:hAnsi="MS Mincho" w:eastAsia="MS Mincho"/>
                <w:color w:val="auto"/>
                <w:spacing w:val="3"/>
                <w:lang w:eastAsia="zh-CN"/>
              </w:rPr>
              <w:t>■</w:t>
            </w:r>
            <w:r>
              <w:rPr>
                <w:color w:val="auto"/>
                <w:spacing w:val="5"/>
                <w:lang w:eastAsia="zh-CN"/>
              </w:rPr>
              <w:t>省公司研究</w:t>
            </w:r>
          </w:p>
        </w:tc>
        <w:tc>
          <w:tcPr>
            <w:tcW w:w="2880" w:type="dxa"/>
            <w:gridSpan w:val="2"/>
          </w:tcPr>
          <w:p w14:paraId="6F6ED0C9">
            <w:pPr>
              <w:spacing w:line="305" w:lineRule="auto"/>
              <w:rPr>
                <w:rFonts w:hint="eastAsia"/>
                <w:color w:val="auto"/>
              </w:rPr>
            </w:pPr>
          </w:p>
          <w:p w14:paraId="7804B187">
            <w:pPr>
              <w:spacing w:line="306" w:lineRule="auto"/>
              <w:rPr>
                <w:rFonts w:hint="eastAsia"/>
                <w:color w:val="auto"/>
              </w:rPr>
            </w:pPr>
          </w:p>
          <w:p w14:paraId="218C54E0">
            <w:pPr>
              <w:pStyle w:val="17"/>
              <w:spacing w:before="65" w:line="227" w:lineRule="auto"/>
              <w:ind w:left="215"/>
              <w:rPr>
                <w:rFonts w:hint="eastAsia"/>
                <w:color w:val="auto"/>
              </w:rPr>
            </w:pPr>
            <w:r>
              <w:rPr>
                <w:color w:val="auto"/>
                <w:spacing w:val="5"/>
              </w:rPr>
              <w:t>□直属单位研究</w:t>
            </w:r>
          </w:p>
        </w:tc>
        <w:tc>
          <w:tcPr>
            <w:tcW w:w="1853" w:type="dxa"/>
          </w:tcPr>
          <w:p w14:paraId="4281BE5E">
            <w:pPr>
              <w:rPr>
                <w:rFonts w:hint="eastAsia"/>
                <w:color w:val="auto"/>
              </w:rPr>
            </w:pPr>
          </w:p>
        </w:tc>
        <w:tc>
          <w:tcPr>
            <w:tcW w:w="1141" w:type="dxa"/>
          </w:tcPr>
          <w:p w14:paraId="1510BA09">
            <w:pPr>
              <w:rPr>
                <w:rFonts w:hint="eastAsia"/>
                <w:color w:val="auto"/>
              </w:rPr>
            </w:pPr>
          </w:p>
        </w:tc>
      </w:tr>
      <w:tr w14:paraId="3A19B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1" w:hRule="atLeast"/>
        </w:trPr>
        <w:tc>
          <w:tcPr>
            <w:tcW w:w="1906" w:type="dxa"/>
          </w:tcPr>
          <w:p w14:paraId="061DFDA0">
            <w:pPr>
              <w:pStyle w:val="17"/>
              <w:spacing w:before="91" w:line="229" w:lineRule="auto"/>
              <w:rPr>
                <w:rFonts w:hint="eastAsia"/>
                <w:color w:val="auto"/>
              </w:rPr>
            </w:pPr>
            <w:r>
              <w:rPr>
                <w:rFonts w:ascii="Times New Roman" w:hAnsi="Times New Roman" w:eastAsia="Times New Roman" w:cs="Times New Roman"/>
                <w:color w:val="auto"/>
                <w:spacing w:val="5"/>
              </w:rPr>
              <w:t>7</w:t>
            </w:r>
            <w:r>
              <w:rPr>
                <w:rFonts w:ascii="Times New Roman" w:hAnsi="Times New Roman" w:eastAsia="Times New Roman" w:cs="Times New Roman"/>
                <w:color w:val="auto"/>
                <w:spacing w:val="6"/>
              </w:rPr>
              <w:t xml:space="preserve">  </w:t>
            </w:r>
            <w:r>
              <w:rPr>
                <w:color w:val="auto"/>
                <w:spacing w:val="5"/>
              </w:rPr>
              <w:t>开展方式</w:t>
            </w:r>
          </w:p>
          <w:p w14:paraId="3129F226">
            <w:pPr>
              <w:pStyle w:val="17"/>
              <w:spacing w:before="282" w:line="227" w:lineRule="auto"/>
              <w:ind w:left="230"/>
              <w:rPr>
                <w:rFonts w:hint="eastAsia"/>
                <w:color w:val="auto"/>
              </w:rPr>
            </w:pPr>
            <w:r>
              <w:rPr>
                <w:color w:val="auto"/>
                <w:spacing w:val="1"/>
              </w:rPr>
              <w:t>□独立研究</w:t>
            </w:r>
          </w:p>
        </w:tc>
        <w:tc>
          <w:tcPr>
            <w:tcW w:w="1463" w:type="dxa"/>
          </w:tcPr>
          <w:p w14:paraId="6D02AB92">
            <w:pPr>
              <w:spacing w:line="276" w:lineRule="auto"/>
              <w:rPr>
                <w:rFonts w:hint="eastAsia"/>
                <w:color w:val="auto"/>
              </w:rPr>
            </w:pPr>
          </w:p>
          <w:p w14:paraId="315F78FE">
            <w:pPr>
              <w:spacing w:line="277" w:lineRule="auto"/>
              <w:rPr>
                <w:rFonts w:hint="eastAsia"/>
                <w:color w:val="auto"/>
              </w:rPr>
            </w:pPr>
          </w:p>
          <w:p w14:paraId="6CB6DA36">
            <w:pPr>
              <w:pStyle w:val="17"/>
              <w:spacing w:before="65" w:line="228" w:lineRule="auto"/>
              <w:ind w:left="203"/>
              <w:rPr>
                <w:rFonts w:hint="eastAsia"/>
                <w:color w:val="auto"/>
              </w:rPr>
            </w:pPr>
            <w:r>
              <w:rPr>
                <w:rFonts w:hint="eastAsia" w:ascii="MS Mincho" w:hAnsi="MS Mincho" w:eastAsia="MS Mincho"/>
                <w:color w:val="auto"/>
                <w:spacing w:val="3"/>
                <w:lang w:eastAsia="zh-CN"/>
              </w:rPr>
              <w:t>■</w:t>
            </w:r>
            <w:r>
              <w:rPr>
                <w:color w:val="auto"/>
                <w:spacing w:val="3"/>
              </w:rPr>
              <w:t>委外合作</w:t>
            </w:r>
          </w:p>
        </w:tc>
        <w:tc>
          <w:tcPr>
            <w:tcW w:w="1417" w:type="dxa"/>
          </w:tcPr>
          <w:p w14:paraId="14F7E532">
            <w:pPr>
              <w:rPr>
                <w:rFonts w:hint="eastAsia"/>
                <w:color w:val="auto"/>
              </w:rPr>
            </w:pPr>
          </w:p>
        </w:tc>
        <w:tc>
          <w:tcPr>
            <w:tcW w:w="1853" w:type="dxa"/>
          </w:tcPr>
          <w:p w14:paraId="798B7498">
            <w:pPr>
              <w:rPr>
                <w:rFonts w:hint="eastAsia"/>
                <w:color w:val="auto"/>
              </w:rPr>
            </w:pPr>
          </w:p>
        </w:tc>
        <w:tc>
          <w:tcPr>
            <w:tcW w:w="1141" w:type="dxa"/>
          </w:tcPr>
          <w:p w14:paraId="2209F0D4">
            <w:pPr>
              <w:rPr>
                <w:rFonts w:hint="eastAsia"/>
                <w:color w:val="auto"/>
              </w:rPr>
            </w:pPr>
          </w:p>
        </w:tc>
      </w:tr>
      <w:tr w14:paraId="041032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906" w:type="dxa"/>
          </w:tcPr>
          <w:p w14:paraId="202E4ECD">
            <w:pPr>
              <w:pStyle w:val="17"/>
              <w:spacing w:before="91" w:line="183" w:lineRule="auto"/>
              <w:ind w:left="5"/>
              <w:rPr>
                <w:rFonts w:hint="eastAsia"/>
                <w:color w:val="auto"/>
              </w:rPr>
            </w:pPr>
            <w:r>
              <w:rPr>
                <w:rFonts w:ascii="Times New Roman" w:hAnsi="Times New Roman" w:eastAsia="Times New Roman" w:cs="Times New Roman"/>
                <w:color w:val="auto"/>
                <w:spacing w:val="3"/>
              </w:rPr>
              <w:t>8</w:t>
            </w:r>
            <w:r>
              <w:rPr>
                <w:rFonts w:ascii="Times New Roman" w:hAnsi="Times New Roman" w:eastAsia="Times New Roman" w:cs="Times New Roman"/>
                <w:color w:val="auto"/>
                <w:spacing w:val="8"/>
              </w:rPr>
              <w:t xml:space="preserve">  </w:t>
            </w:r>
            <w:r>
              <w:rPr>
                <w:color w:val="auto"/>
                <w:spacing w:val="3"/>
              </w:rPr>
              <w:t>项目等级</w:t>
            </w:r>
          </w:p>
        </w:tc>
        <w:tc>
          <w:tcPr>
            <w:tcW w:w="1463" w:type="dxa"/>
          </w:tcPr>
          <w:p w14:paraId="76F1AE0F">
            <w:pPr>
              <w:rPr>
                <w:rFonts w:hint="eastAsia"/>
                <w:color w:val="auto"/>
              </w:rPr>
            </w:pPr>
          </w:p>
        </w:tc>
        <w:tc>
          <w:tcPr>
            <w:tcW w:w="1417" w:type="dxa"/>
          </w:tcPr>
          <w:p w14:paraId="7B0121A4">
            <w:pPr>
              <w:rPr>
                <w:rFonts w:hint="eastAsia"/>
                <w:color w:val="auto"/>
              </w:rPr>
            </w:pPr>
          </w:p>
        </w:tc>
        <w:tc>
          <w:tcPr>
            <w:tcW w:w="1853" w:type="dxa"/>
          </w:tcPr>
          <w:p w14:paraId="001793EF">
            <w:pPr>
              <w:rPr>
                <w:rFonts w:hint="eastAsia"/>
                <w:color w:val="auto"/>
              </w:rPr>
            </w:pPr>
          </w:p>
        </w:tc>
        <w:tc>
          <w:tcPr>
            <w:tcW w:w="1141" w:type="dxa"/>
          </w:tcPr>
          <w:p w14:paraId="446DEC0C">
            <w:pPr>
              <w:rPr>
                <w:rFonts w:hint="eastAsia"/>
                <w:color w:val="auto"/>
              </w:rPr>
            </w:pPr>
          </w:p>
        </w:tc>
      </w:tr>
    </w:tbl>
    <w:p w14:paraId="6901C498">
      <w:pPr>
        <w:spacing w:line="251" w:lineRule="auto"/>
        <w:rPr>
          <w:rFonts w:hint="eastAsia"/>
          <w:color w:val="auto"/>
        </w:rPr>
      </w:pPr>
    </w:p>
    <w:p w14:paraId="3D560BF7">
      <w:pPr>
        <w:pStyle w:val="6"/>
        <w:spacing w:before="66" w:line="367" w:lineRule="auto"/>
        <w:ind w:left="445" w:right="3834" w:firstLine="227"/>
        <w:rPr>
          <w:rFonts w:hint="eastAsia" w:ascii="宋体" w:hAnsi="宋体" w:eastAsia="宋体" w:cs="宋体"/>
          <w:color w:val="auto"/>
          <w:sz w:val="18"/>
          <w:szCs w:val="18"/>
          <w:lang w:eastAsia="zh-CN"/>
        </w:rPr>
      </w:pPr>
      <w:r>
        <w:rPr>
          <w:rFonts w:ascii="宋体" w:hAnsi="宋体" w:eastAsia="宋体" w:cs="宋体"/>
          <w:color w:val="auto"/>
          <w:spacing w:val="3"/>
          <w:sz w:val="20"/>
          <w:szCs w:val="20"/>
          <w:lang w:eastAsia="zh-CN"/>
        </w:rPr>
        <w:t>□重大项目</w:t>
      </w:r>
      <w:r>
        <w:rPr>
          <w:rFonts w:ascii="宋体" w:hAnsi="宋体" w:eastAsia="宋体" w:cs="宋体"/>
          <w:color w:val="auto"/>
          <w:spacing w:val="9"/>
          <w:sz w:val="20"/>
          <w:szCs w:val="20"/>
          <w:lang w:eastAsia="zh-CN"/>
        </w:rPr>
        <w:t xml:space="preserve">        </w:t>
      </w:r>
      <w:r>
        <w:rPr>
          <w:rFonts w:hint="eastAsia" w:ascii="MS Mincho" w:hAnsi="MS Mincho" w:eastAsia="MS Mincho"/>
          <w:color w:val="auto"/>
          <w:spacing w:val="3"/>
          <w:sz w:val="20"/>
          <w:szCs w:val="20"/>
          <w:lang w:eastAsia="zh-CN"/>
        </w:rPr>
        <w:t>■</w:t>
      </w:r>
      <w:r>
        <w:rPr>
          <w:rFonts w:ascii="宋体" w:hAnsi="宋体" w:eastAsia="宋体" w:cs="宋体"/>
          <w:color w:val="auto"/>
          <w:spacing w:val="3"/>
          <w:sz w:val="20"/>
          <w:szCs w:val="20"/>
          <w:lang w:eastAsia="zh-CN"/>
        </w:rPr>
        <w:t>重点项目</w:t>
      </w:r>
      <w:r>
        <w:rPr>
          <w:rFonts w:ascii="宋体" w:hAnsi="宋体" w:eastAsia="宋体" w:cs="宋体"/>
          <w:color w:val="auto"/>
          <w:spacing w:val="10"/>
          <w:sz w:val="20"/>
          <w:szCs w:val="20"/>
          <w:lang w:eastAsia="zh-CN"/>
        </w:rPr>
        <w:t xml:space="preserve">       </w:t>
      </w:r>
      <w:r>
        <w:rPr>
          <w:rFonts w:ascii="宋体" w:hAnsi="宋体" w:eastAsia="宋体" w:cs="宋体"/>
          <w:color w:val="auto"/>
          <w:spacing w:val="3"/>
          <w:sz w:val="20"/>
          <w:szCs w:val="20"/>
          <w:lang w:eastAsia="zh-CN"/>
        </w:rPr>
        <w:t>□一般项目</w:t>
      </w:r>
      <w:r>
        <w:rPr>
          <w:color w:val="auto"/>
          <w:spacing w:val="1"/>
          <w:sz w:val="20"/>
          <w:szCs w:val="20"/>
          <w:lang w:eastAsia="zh-CN"/>
        </w:rPr>
        <w:t>注：</w:t>
      </w:r>
      <w:r>
        <w:rPr>
          <w:rFonts w:ascii="宋体" w:hAnsi="宋体" w:eastAsia="宋体" w:cs="宋体"/>
          <w:color w:val="auto"/>
          <w:spacing w:val="1"/>
          <w:sz w:val="18"/>
          <w:szCs w:val="18"/>
          <w:lang w:eastAsia="zh-CN"/>
        </w:rPr>
        <w:t>1-8项，按照项目分类分级情况在对应方</w:t>
      </w:r>
      <w:r>
        <w:rPr>
          <w:rFonts w:ascii="宋体" w:hAnsi="宋体" w:eastAsia="宋体" w:cs="宋体"/>
          <w:color w:val="auto"/>
          <w:sz w:val="18"/>
          <w:szCs w:val="18"/>
          <w:lang w:eastAsia="zh-CN"/>
        </w:rPr>
        <w:t>框中打“</w:t>
      </w:r>
      <w:r>
        <w:rPr>
          <w:rFonts w:ascii="宋体" w:hAnsi="宋体" w:eastAsia="宋体" w:cs="宋体"/>
          <w:color w:val="auto"/>
          <w:spacing w:val="-38"/>
          <w:sz w:val="18"/>
          <w:szCs w:val="18"/>
          <w:lang w:eastAsia="zh-CN"/>
        </w:rPr>
        <w:t xml:space="preserve"> </w:t>
      </w:r>
      <w:r>
        <w:rPr>
          <w:rFonts w:ascii="宋体" w:hAnsi="宋体" w:eastAsia="宋体" w:cs="宋体"/>
          <w:color w:val="auto"/>
          <w:sz w:val="18"/>
          <w:szCs w:val="18"/>
          <w:lang w:eastAsia="zh-CN"/>
        </w:rPr>
        <w:t>√</w:t>
      </w:r>
      <w:r>
        <w:rPr>
          <w:rFonts w:ascii="宋体" w:hAnsi="宋体" w:eastAsia="宋体" w:cs="宋体"/>
          <w:color w:val="auto"/>
          <w:spacing w:val="-66"/>
          <w:sz w:val="18"/>
          <w:szCs w:val="18"/>
          <w:lang w:eastAsia="zh-CN"/>
        </w:rPr>
        <w:t xml:space="preserve"> </w:t>
      </w:r>
      <w:r>
        <w:rPr>
          <w:rFonts w:ascii="宋体" w:hAnsi="宋体" w:eastAsia="宋体" w:cs="宋体"/>
          <w:color w:val="auto"/>
          <w:sz w:val="18"/>
          <w:szCs w:val="18"/>
          <w:lang w:eastAsia="zh-CN"/>
        </w:rPr>
        <w:t>”</w:t>
      </w:r>
    </w:p>
    <w:p w14:paraId="12D6B380">
      <w:pPr>
        <w:spacing w:line="367" w:lineRule="auto"/>
        <w:rPr>
          <w:rFonts w:hint="eastAsia"/>
          <w:color w:val="auto"/>
          <w:sz w:val="18"/>
          <w:szCs w:val="18"/>
        </w:rPr>
        <w:sectPr>
          <w:headerReference r:id="rId5" w:type="default"/>
          <w:footerReference r:id="rId6" w:type="default"/>
          <w:pgSz w:w="11910" w:h="16850"/>
          <w:pgMar w:top="1715" w:right="1305" w:bottom="1055" w:left="1403" w:header="1393" w:footer="822" w:gutter="0"/>
          <w:cols w:space="720" w:num="1"/>
        </w:sectPr>
      </w:pPr>
    </w:p>
    <w:p w14:paraId="3CC0DBAC">
      <w:pPr>
        <w:pStyle w:val="6"/>
        <w:spacing w:before="22" w:line="222" w:lineRule="auto"/>
        <w:rPr>
          <w:rFonts w:hint="eastAsia"/>
          <w:color w:val="auto"/>
          <w:sz w:val="24"/>
          <w:szCs w:val="24"/>
          <w:lang w:eastAsia="zh-CN"/>
        </w:rPr>
      </w:pPr>
      <w:r>
        <w:rPr>
          <w:color w:val="auto"/>
          <w:spacing w:val="-2"/>
          <w:sz w:val="24"/>
          <w:szCs w:val="24"/>
          <w:lang w:eastAsia="zh-CN"/>
        </w:rPr>
        <w:t>三、项目起止时间</w:t>
      </w:r>
    </w:p>
    <w:p w14:paraId="2ABA3AC0">
      <w:pPr>
        <w:tabs>
          <w:tab w:val="left" w:pos="940"/>
        </w:tabs>
        <w:spacing w:before="258" w:line="228" w:lineRule="auto"/>
        <w:ind w:left="405"/>
        <w:rPr>
          <w:rFonts w:hint="eastAsia"/>
          <w:color w:val="auto"/>
          <w:sz w:val="20"/>
          <w:szCs w:val="20"/>
        </w:rPr>
      </w:pPr>
      <w:r>
        <w:rPr>
          <w:color w:val="auto"/>
          <w:sz w:val="20"/>
          <w:szCs w:val="20"/>
          <w:u w:val="single"/>
        </w:rPr>
        <w:t>2026</w:t>
      </w:r>
      <w:r>
        <w:rPr>
          <w:color w:val="auto"/>
          <w:sz w:val="20"/>
          <w:szCs w:val="20"/>
          <w:u w:val="single"/>
        </w:rPr>
        <w:tab/>
      </w:r>
      <w:r>
        <w:rPr>
          <w:color w:val="auto"/>
          <w:spacing w:val="-86"/>
          <w:sz w:val="20"/>
          <w:szCs w:val="20"/>
        </w:rPr>
        <w:t xml:space="preserve"> </w:t>
      </w:r>
      <w:r>
        <w:rPr>
          <w:color w:val="auto"/>
          <w:spacing w:val="-7"/>
          <w:sz w:val="20"/>
          <w:szCs w:val="20"/>
        </w:rPr>
        <w:t>年</w:t>
      </w:r>
      <w:r>
        <w:rPr>
          <w:color w:val="auto"/>
          <w:spacing w:val="5"/>
          <w:sz w:val="20"/>
          <w:szCs w:val="20"/>
          <w:u w:val="single"/>
        </w:rPr>
        <w:t xml:space="preserve">   </w:t>
      </w:r>
      <w:r>
        <w:rPr>
          <w:rFonts w:hint="eastAsia"/>
          <w:color w:val="auto"/>
          <w:spacing w:val="5"/>
          <w:sz w:val="20"/>
          <w:szCs w:val="20"/>
          <w:u w:val="single"/>
        </w:rPr>
        <w:t>5</w:t>
      </w:r>
      <w:r>
        <w:rPr>
          <w:color w:val="auto"/>
          <w:spacing w:val="5"/>
          <w:sz w:val="20"/>
          <w:szCs w:val="20"/>
          <w:u w:val="single"/>
        </w:rPr>
        <w:t xml:space="preserve">  </w:t>
      </w:r>
      <w:r>
        <w:rPr>
          <w:color w:val="auto"/>
          <w:spacing w:val="-86"/>
          <w:sz w:val="20"/>
          <w:szCs w:val="20"/>
        </w:rPr>
        <w:t xml:space="preserve"> </w:t>
      </w:r>
      <w:r>
        <w:rPr>
          <w:color w:val="auto"/>
          <w:spacing w:val="-7"/>
          <w:sz w:val="20"/>
          <w:szCs w:val="20"/>
        </w:rPr>
        <w:t>月</w:t>
      </w:r>
      <w:r>
        <w:rPr>
          <w:color w:val="auto"/>
          <w:spacing w:val="-7"/>
          <w:sz w:val="20"/>
          <w:szCs w:val="20"/>
          <w:u w:val="single"/>
        </w:rPr>
        <w:t xml:space="preserve">   1  </w:t>
      </w:r>
      <w:r>
        <w:rPr>
          <w:color w:val="auto"/>
          <w:spacing w:val="-56"/>
          <w:sz w:val="20"/>
          <w:szCs w:val="20"/>
        </w:rPr>
        <w:t xml:space="preserve"> </w:t>
      </w:r>
      <w:r>
        <w:rPr>
          <w:color w:val="auto"/>
          <w:spacing w:val="-7"/>
          <w:sz w:val="20"/>
          <w:szCs w:val="20"/>
        </w:rPr>
        <w:t>日至</w:t>
      </w:r>
      <w:r>
        <w:rPr>
          <w:color w:val="auto"/>
          <w:spacing w:val="-98"/>
          <w:sz w:val="20"/>
          <w:szCs w:val="20"/>
        </w:rPr>
        <w:t xml:space="preserve"> </w:t>
      </w:r>
      <w:r>
        <w:rPr>
          <w:color w:val="auto"/>
          <w:spacing w:val="12"/>
          <w:sz w:val="20"/>
          <w:szCs w:val="20"/>
          <w:u w:val="single"/>
        </w:rPr>
        <w:t xml:space="preserve">   2027   </w:t>
      </w:r>
      <w:r>
        <w:rPr>
          <w:color w:val="auto"/>
          <w:spacing w:val="-91"/>
          <w:sz w:val="20"/>
          <w:szCs w:val="20"/>
        </w:rPr>
        <w:t xml:space="preserve"> </w:t>
      </w:r>
      <w:r>
        <w:rPr>
          <w:color w:val="auto"/>
          <w:spacing w:val="-7"/>
          <w:sz w:val="20"/>
          <w:szCs w:val="20"/>
        </w:rPr>
        <w:t>年</w:t>
      </w:r>
      <w:r>
        <w:rPr>
          <w:color w:val="auto"/>
          <w:spacing w:val="5"/>
          <w:sz w:val="20"/>
          <w:szCs w:val="20"/>
          <w:u w:val="single"/>
        </w:rPr>
        <w:t xml:space="preserve">  9  </w:t>
      </w:r>
      <w:r>
        <w:rPr>
          <w:color w:val="auto"/>
          <w:spacing w:val="-86"/>
          <w:sz w:val="20"/>
          <w:szCs w:val="20"/>
        </w:rPr>
        <w:t xml:space="preserve"> </w:t>
      </w:r>
      <w:r>
        <w:rPr>
          <w:color w:val="auto"/>
          <w:spacing w:val="-7"/>
          <w:sz w:val="20"/>
          <w:szCs w:val="20"/>
        </w:rPr>
        <w:t>月</w:t>
      </w:r>
      <w:r>
        <w:rPr>
          <w:color w:val="auto"/>
          <w:spacing w:val="-98"/>
          <w:sz w:val="20"/>
          <w:szCs w:val="20"/>
        </w:rPr>
        <w:t xml:space="preserve"> </w:t>
      </w:r>
      <w:r>
        <w:rPr>
          <w:color w:val="auto"/>
          <w:spacing w:val="4"/>
          <w:sz w:val="20"/>
          <w:szCs w:val="20"/>
          <w:u w:val="single"/>
        </w:rPr>
        <w:t xml:space="preserve">  </w:t>
      </w:r>
      <w:r>
        <w:rPr>
          <w:rFonts w:hint="eastAsia"/>
          <w:color w:val="auto"/>
          <w:spacing w:val="4"/>
          <w:sz w:val="20"/>
          <w:szCs w:val="20"/>
          <w:u w:val="single"/>
        </w:rPr>
        <w:t>3</w:t>
      </w:r>
      <w:r>
        <w:rPr>
          <w:color w:val="auto"/>
          <w:spacing w:val="4"/>
          <w:sz w:val="20"/>
          <w:szCs w:val="20"/>
          <w:u w:val="single"/>
        </w:rPr>
        <w:t xml:space="preserve">0   </w:t>
      </w:r>
      <w:r>
        <w:rPr>
          <w:color w:val="auto"/>
          <w:spacing w:val="-53"/>
          <w:sz w:val="20"/>
          <w:szCs w:val="20"/>
        </w:rPr>
        <w:t xml:space="preserve"> </w:t>
      </w:r>
      <w:r>
        <w:rPr>
          <w:color w:val="auto"/>
          <w:spacing w:val="-7"/>
          <w:sz w:val="20"/>
          <w:szCs w:val="20"/>
        </w:rPr>
        <w:t>日。</w:t>
      </w:r>
    </w:p>
    <w:p w14:paraId="54607896">
      <w:pPr>
        <w:pStyle w:val="6"/>
        <w:spacing w:before="78" w:line="242" w:lineRule="auto"/>
        <w:ind w:left="175" w:right="161" w:hanging="4"/>
        <w:rPr>
          <w:rFonts w:hint="eastAsia"/>
          <w:color w:val="auto"/>
          <w:sz w:val="24"/>
          <w:szCs w:val="24"/>
          <w:lang w:eastAsia="zh-CN"/>
        </w:rPr>
      </w:pPr>
      <w:r>
        <w:rPr>
          <w:color w:val="auto"/>
          <w:sz w:val="24"/>
          <w:szCs w:val="24"/>
          <w:lang w:eastAsia="zh-CN"/>
        </w:rPr>
        <w:t>八、委外合作计划（无委外合作计划的，只填写承担单位任</w:t>
      </w:r>
      <w:r>
        <w:rPr>
          <w:color w:val="auto"/>
          <w:spacing w:val="-1"/>
          <w:sz w:val="24"/>
          <w:szCs w:val="24"/>
          <w:lang w:eastAsia="zh-CN"/>
        </w:rPr>
        <w:t>务分工和经济技术指标及成果</w:t>
      </w:r>
      <w:r>
        <w:rPr>
          <w:color w:val="auto"/>
          <w:spacing w:val="-3"/>
          <w:sz w:val="24"/>
          <w:szCs w:val="24"/>
          <w:lang w:eastAsia="zh-CN"/>
        </w:rPr>
        <w:t>交付物分解表）</w:t>
      </w:r>
    </w:p>
    <w:p w14:paraId="21D2C466">
      <w:pPr>
        <w:spacing w:line="198" w:lineRule="exact"/>
        <w:rPr>
          <w:rFonts w:hint="eastAsia"/>
          <w:color w:val="auto"/>
        </w:rPr>
      </w:pPr>
    </w:p>
    <w:tbl>
      <w:tblPr>
        <w:tblStyle w:val="16"/>
        <w:tblW w:w="967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5"/>
        <w:gridCol w:w="1170"/>
        <w:gridCol w:w="2655"/>
        <w:gridCol w:w="2670"/>
        <w:gridCol w:w="2136"/>
      </w:tblGrid>
      <w:tr w14:paraId="60177F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62" w:hRule="atLeast"/>
        </w:trPr>
        <w:tc>
          <w:tcPr>
            <w:tcW w:w="9676" w:type="dxa"/>
            <w:gridSpan w:val="5"/>
          </w:tcPr>
          <w:p w14:paraId="37E22A87">
            <w:pPr>
              <w:spacing w:before="36" w:line="223" w:lineRule="auto"/>
              <w:ind w:left="111"/>
              <w:rPr>
                <w:rFonts w:hint="eastAsia"/>
                <w:color w:val="auto"/>
                <w:sz w:val="21"/>
                <w:szCs w:val="21"/>
              </w:rPr>
            </w:pPr>
            <w:r>
              <w:rPr>
                <w:rFonts w:hint="eastAsia"/>
                <w:color w:val="auto"/>
                <w:spacing w:val="4"/>
                <w:sz w:val="21"/>
                <w:szCs w:val="21"/>
              </w:rPr>
              <w:t>（一）委外合作理由</w:t>
            </w:r>
          </w:p>
          <w:p w14:paraId="7FE261F6">
            <w:pPr>
              <w:spacing w:line="262" w:lineRule="auto"/>
              <w:ind w:firstLine="436" w:firstLineChars="200"/>
              <w:rPr>
                <w:rFonts w:hint="eastAsia"/>
                <w:color w:val="auto"/>
                <w:spacing w:val="4"/>
                <w:sz w:val="21"/>
                <w:szCs w:val="21"/>
              </w:rPr>
            </w:pPr>
            <w:r>
              <w:rPr>
                <w:rFonts w:hint="eastAsia"/>
                <w:color w:val="auto"/>
                <w:spacing w:val="4"/>
                <w:sz w:val="21"/>
                <w:szCs w:val="21"/>
              </w:rPr>
              <w:t>本项目建设内容涉及知识图谱构建、语义理解模型训练、GraphRAG推理演示DEMO开发等多项高技术工作，具备一定的技术壁垒，需具备人工智能、图数据库、本体建模、大规模语义检索等复合能力的专业团队进行技术支持。湖北烟草网信领域现有技术力量在图谱工程化构建、大模型增强检索、神经符号推理等方面储备不足，缺乏完成全链路研发所需的算法人才、专业工具链与工程化开发测试能力。需委托具备相关技术能力和研发经验的单位承担核心研发任务，以确保项目按期、高质量完成。</w:t>
            </w:r>
          </w:p>
          <w:p w14:paraId="51A51D1D">
            <w:pPr>
              <w:spacing w:line="262" w:lineRule="auto"/>
              <w:rPr>
                <w:rFonts w:hint="eastAsia"/>
                <w:color w:val="auto"/>
                <w:spacing w:val="4"/>
                <w:sz w:val="21"/>
                <w:szCs w:val="21"/>
              </w:rPr>
            </w:pPr>
          </w:p>
          <w:p w14:paraId="5AA1F080">
            <w:pPr>
              <w:spacing w:line="262" w:lineRule="auto"/>
              <w:rPr>
                <w:rFonts w:hint="eastAsia"/>
                <w:color w:val="auto"/>
                <w:spacing w:val="4"/>
                <w:sz w:val="21"/>
                <w:szCs w:val="21"/>
              </w:rPr>
            </w:pPr>
            <w:r>
              <w:rPr>
                <w:rFonts w:hint="eastAsia"/>
                <w:color w:val="auto"/>
                <w:spacing w:val="4"/>
                <w:sz w:val="21"/>
                <w:szCs w:val="21"/>
              </w:rPr>
              <w:t>（二）委外合作方式选取理由说明：</w:t>
            </w:r>
          </w:p>
          <w:p w14:paraId="2B669C5F">
            <w:pPr>
              <w:spacing w:line="261" w:lineRule="auto"/>
              <w:ind w:firstLine="436" w:firstLineChars="200"/>
              <w:rPr>
                <w:rFonts w:hint="eastAsia"/>
                <w:color w:val="auto"/>
                <w:spacing w:val="4"/>
                <w:sz w:val="21"/>
                <w:szCs w:val="21"/>
              </w:rPr>
            </w:pPr>
            <w:r>
              <w:rPr>
                <w:rFonts w:hint="eastAsia"/>
                <w:color w:val="auto"/>
                <w:spacing w:val="4"/>
                <w:sz w:val="21"/>
                <w:szCs w:val="21"/>
              </w:rPr>
              <w:t>本项目拟采用“技术开发委托”合作方式，通过比质比价，选定专业研发机构承担知识图谱构建、语义模型开发、演示系统开发集成与性能优化等任务。该方式能够充分利用外协单位在知识工程、运维智能化、大模型应用及软件研发等方面的成熟技术体系和工程团队，通过按任务约定的开发模式提升研发效率、降低试错成本，确保成果按标准交付。相比采购成品系统或通用服务，委托研发方式更能满足本项目的定制化科研需求和技术创新要求。</w:t>
            </w:r>
          </w:p>
          <w:p w14:paraId="2B5977E9">
            <w:pPr>
              <w:spacing w:before="65" w:line="223" w:lineRule="auto"/>
              <w:rPr>
                <w:rFonts w:hint="eastAsia"/>
                <w:color w:val="auto"/>
                <w:spacing w:val="4"/>
                <w:sz w:val="21"/>
                <w:szCs w:val="21"/>
              </w:rPr>
            </w:pPr>
          </w:p>
          <w:p w14:paraId="5D645E88">
            <w:pPr>
              <w:spacing w:before="65" w:line="223" w:lineRule="auto"/>
              <w:rPr>
                <w:rFonts w:hint="eastAsia"/>
                <w:color w:val="auto"/>
                <w:spacing w:val="4"/>
                <w:sz w:val="21"/>
                <w:szCs w:val="21"/>
              </w:rPr>
            </w:pPr>
            <w:r>
              <w:rPr>
                <w:rFonts w:hint="eastAsia"/>
                <w:color w:val="auto"/>
                <w:spacing w:val="4"/>
                <w:sz w:val="21"/>
                <w:szCs w:val="21"/>
              </w:rPr>
              <w:t>（三）委外合作内容、经济技术指标和成果交付物：</w:t>
            </w:r>
          </w:p>
          <w:p w14:paraId="774D3007">
            <w:pPr>
              <w:keepNext w:val="0"/>
              <w:keepLines w:val="0"/>
              <w:widowControl/>
              <w:suppressLineNumbers w:val="0"/>
              <w:spacing w:before="0" w:beforeAutospacing="0" w:after="0" w:afterAutospacing="0" w:line="261" w:lineRule="auto"/>
              <w:ind w:left="0" w:right="0" w:firstLine="438" w:firstLineChars="200"/>
              <w:jc w:val="left"/>
              <w:rPr>
                <w:rFonts w:hint="default" w:ascii="宋体" w:hAnsi="宋体" w:eastAsia="宋体" w:cs="宋体"/>
                <w:color w:val="auto"/>
                <w:spacing w:val="4"/>
                <w:kern w:val="0"/>
                <w:sz w:val="21"/>
                <w:szCs w:val="21"/>
                <w:lang w:val="en-US" w:eastAsia="zh-CN" w:bidi="ar"/>
              </w:rPr>
            </w:pPr>
            <w:r>
              <w:rPr>
                <w:rFonts w:hint="eastAsia" w:cs="宋体"/>
                <w:b/>
                <w:bCs/>
                <w:color w:val="auto"/>
                <w:spacing w:val="4"/>
                <w:kern w:val="0"/>
                <w:sz w:val="21"/>
                <w:szCs w:val="21"/>
                <w:lang w:val="en-US" w:eastAsia="zh-CN" w:bidi="ar"/>
              </w:rPr>
              <w:t>1.合作内容及经济指标</w:t>
            </w:r>
          </w:p>
          <w:p w14:paraId="2F95243B">
            <w:pPr>
              <w:keepNext w:val="0"/>
              <w:keepLines w:val="0"/>
              <w:widowControl/>
              <w:suppressLineNumbers w:val="0"/>
              <w:spacing w:before="0" w:beforeAutospacing="0" w:after="0" w:afterAutospacing="0" w:line="261" w:lineRule="auto"/>
              <w:ind w:left="0" w:right="0" w:firstLine="436" w:firstLineChars="200"/>
              <w:jc w:val="left"/>
              <w:rPr>
                <w:rFonts w:hint="default" w:cs="宋体"/>
                <w:color w:val="auto"/>
                <w:spacing w:val="4"/>
                <w:kern w:val="0"/>
                <w:sz w:val="21"/>
                <w:szCs w:val="21"/>
                <w:lang w:val="en-US" w:eastAsia="zh-CN" w:bidi="ar"/>
              </w:rPr>
            </w:pPr>
            <w:r>
              <w:rPr>
                <w:rFonts w:hint="eastAsia" w:ascii="宋体" w:hAnsi="宋体" w:eastAsia="宋体" w:cs="宋体"/>
                <w:color w:val="auto"/>
                <w:spacing w:val="4"/>
                <w:kern w:val="0"/>
                <w:sz w:val="21"/>
                <w:szCs w:val="21"/>
                <w:lang w:val="en-US" w:eastAsia="zh-CN" w:bidi="ar"/>
              </w:rPr>
              <w:t>本项目的委外合作，旨在依托合作方在知识图谱与自然语言处理领域的技术优势，共同完成以下核心研发内容，并确保达成如下</w:t>
            </w:r>
            <w:r>
              <w:rPr>
                <w:rFonts w:hint="eastAsia" w:cs="宋体"/>
                <w:color w:val="auto"/>
                <w:spacing w:val="4"/>
                <w:kern w:val="0"/>
                <w:sz w:val="21"/>
                <w:szCs w:val="21"/>
                <w:lang w:val="en-US" w:eastAsia="zh-CN" w:bidi="ar"/>
              </w:rPr>
              <w:t>具体、可验证</w:t>
            </w:r>
            <w:r>
              <w:rPr>
                <w:rFonts w:hint="eastAsia" w:ascii="宋体" w:hAnsi="宋体" w:eastAsia="宋体" w:cs="宋体"/>
                <w:color w:val="auto"/>
                <w:spacing w:val="4"/>
                <w:kern w:val="0"/>
                <w:sz w:val="21"/>
                <w:szCs w:val="21"/>
                <w:lang w:val="en-US" w:eastAsia="zh-CN" w:bidi="ar"/>
              </w:rPr>
              <w:t>的经济技术指标</w:t>
            </w:r>
            <w:r>
              <w:rPr>
                <w:rFonts w:hint="eastAsia" w:cs="宋体"/>
                <w:color w:val="auto"/>
                <w:spacing w:val="4"/>
                <w:kern w:val="0"/>
                <w:sz w:val="21"/>
                <w:szCs w:val="21"/>
                <w:lang w:val="en-US" w:eastAsia="zh-CN" w:bidi="ar"/>
              </w:rPr>
              <w:t>,</w:t>
            </w:r>
            <w:r>
              <w:rPr>
                <w:rFonts w:hint="eastAsia"/>
                <w:color w:val="auto"/>
                <w:sz w:val="21"/>
                <w:szCs w:val="21"/>
              </w:rPr>
              <w:t>以交付一个高性能、可解释的工单智能审查示范系统</w:t>
            </w:r>
            <w:r>
              <w:rPr>
                <w:rFonts w:hint="eastAsia" w:cs="宋体"/>
                <w:color w:val="auto"/>
                <w:spacing w:val="4"/>
                <w:kern w:val="0"/>
                <w:sz w:val="21"/>
                <w:szCs w:val="21"/>
                <w:lang w:val="en-US" w:eastAsia="zh-CN" w:bidi="ar"/>
              </w:rPr>
              <w:t>:</w:t>
            </w:r>
          </w:p>
          <w:p w14:paraId="70B71D6E">
            <w:pPr>
              <w:keepNext w:val="0"/>
              <w:keepLines w:val="0"/>
              <w:widowControl/>
              <w:suppressLineNumbers w:val="0"/>
              <w:spacing w:before="0" w:beforeAutospacing="0" w:after="0" w:afterAutospacing="0" w:line="261" w:lineRule="auto"/>
              <w:ind w:left="0" w:right="0" w:firstLine="436" w:firstLineChars="200"/>
              <w:jc w:val="left"/>
              <w:rPr>
                <w:rFonts w:hint="eastAsia"/>
                <w:color w:val="auto"/>
                <w:spacing w:val="4"/>
                <w:sz w:val="21"/>
                <w:szCs w:val="21"/>
                <w:lang w:val="en-US"/>
              </w:rPr>
            </w:pPr>
            <w:r>
              <w:rPr>
                <w:rFonts w:hint="eastAsia" w:ascii="宋体" w:hAnsi="宋体" w:eastAsia="宋体" w:cs="宋体"/>
                <w:b w:val="0"/>
                <w:bCs w:val="0"/>
                <w:color w:val="auto"/>
                <w:spacing w:val="4"/>
                <w:kern w:val="0"/>
                <w:sz w:val="21"/>
                <w:szCs w:val="21"/>
                <w:lang w:val="en-US" w:eastAsia="zh-CN" w:bidi="ar"/>
              </w:rPr>
              <w:t>（1）</w:t>
            </w:r>
            <w:r>
              <w:rPr>
                <w:rFonts w:hint="eastAsia" w:ascii="宋体" w:hAnsi="宋体" w:eastAsia="宋体" w:cs="宋体"/>
                <w:b/>
                <w:bCs/>
                <w:color w:val="auto"/>
                <w:spacing w:val="4"/>
                <w:kern w:val="0"/>
                <w:sz w:val="21"/>
                <w:szCs w:val="21"/>
                <w:lang w:val="en-US" w:eastAsia="zh-CN" w:bidi="ar"/>
              </w:rPr>
              <w:t>运维知识图谱构建</w:t>
            </w:r>
            <w:r>
              <w:rPr>
                <w:rFonts w:hint="eastAsia" w:cs="宋体"/>
                <w:b/>
                <w:bCs/>
                <w:color w:val="auto"/>
                <w:spacing w:val="4"/>
                <w:kern w:val="0"/>
                <w:sz w:val="21"/>
                <w:szCs w:val="21"/>
                <w:lang w:val="en-US" w:eastAsia="zh-CN" w:bidi="ar"/>
              </w:rPr>
              <w:t>与指标体系</w:t>
            </w:r>
            <w:r>
              <w:rPr>
                <w:rFonts w:hint="eastAsia" w:ascii="宋体" w:hAnsi="宋体" w:eastAsia="宋体" w:cs="宋体"/>
                <w:color w:val="auto"/>
                <w:spacing w:val="4"/>
                <w:kern w:val="0"/>
                <w:sz w:val="21"/>
                <w:szCs w:val="21"/>
                <w:lang w:val="en-US" w:eastAsia="zh-CN" w:bidi="ar"/>
              </w:rPr>
              <w:t>：由合作方主导，基于我方提供的业务数据与文档，构建覆盖</w:t>
            </w:r>
            <w:r>
              <w:rPr>
                <w:rFonts w:hint="eastAsia" w:cs="宋体"/>
                <w:color w:val="auto"/>
                <w:spacing w:val="4"/>
                <w:kern w:val="0"/>
                <w:sz w:val="21"/>
                <w:szCs w:val="21"/>
                <w:lang w:val="en-US" w:eastAsia="zh-CN" w:bidi="ar"/>
              </w:rPr>
              <w:t>5个核心</w:t>
            </w:r>
            <w:r>
              <w:rPr>
                <w:rFonts w:hint="eastAsia" w:ascii="宋体" w:hAnsi="宋体" w:eastAsia="宋体" w:cs="宋体"/>
                <w:color w:val="auto"/>
                <w:spacing w:val="4"/>
                <w:kern w:val="0"/>
                <w:sz w:val="21"/>
                <w:szCs w:val="21"/>
                <w:lang w:val="en-US" w:eastAsia="zh-CN" w:bidi="ar"/>
              </w:rPr>
              <w:t>网信</w:t>
            </w:r>
            <w:r>
              <w:rPr>
                <w:rFonts w:hint="eastAsia" w:cs="宋体"/>
                <w:color w:val="auto"/>
                <w:spacing w:val="4"/>
                <w:kern w:val="0"/>
                <w:sz w:val="21"/>
                <w:szCs w:val="21"/>
                <w:lang w:val="en-US" w:eastAsia="zh-CN" w:bidi="ar"/>
              </w:rPr>
              <w:t>场景（</w:t>
            </w:r>
            <w:r>
              <w:rPr>
                <w:rFonts w:hint="eastAsia" w:ascii="宋体" w:hAnsi="宋体" w:eastAsia="宋体" w:cs="宋体"/>
                <w:color w:val="auto"/>
                <w:spacing w:val="4"/>
                <w:kern w:val="0"/>
                <w:sz w:val="21"/>
                <w:szCs w:val="21"/>
                <w:lang w:val="en-US" w:eastAsia="zh-CN" w:bidi="ar"/>
              </w:rPr>
              <w:t>如</w:t>
            </w:r>
            <w:r>
              <w:rPr>
                <w:rFonts w:hint="eastAsia" w:ascii="宋体" w:hAnsi="宋体" w:eastAsia="宋体" w:cs="宋体"/>
                <w:b w:val="0"/>
                <w:bCs w:val="0"/>
                <w:color w:val="auto"/>
                <w:spacing w:val="4"/>
                <w:kern w:val="0"/>
                <w:sz w:val="21"/>
                <w:szCs w:val="21"/>
                <w:lang w:val="en-US" w:eastAsia="zh-CN" w:bidi="ar"/>
              </w:rPr>
              <w:t>硬件、操作系统、数据库、网络、安全等</w:t>
            </w:r>
            <w:r>
              <w:rPr>
                <w:rFonts w:hint="eastAsia" w:cs="宋体"/>
                <w:b w:val="0"/>
                <w:bCs w:val="0"/>
                <w:color w:val="auto"/>
                <w:spacing w:val="4"/>
                <w:kern w:val="0"/>
                <w:sz w:val="21"/>
                <w:szCs w:val="21"/>
                <w:lang w:val="en-US" w:eastAsia="zh-CN" w:bidi="ar"/>
              </w:rPr>
              <w:t>）</w:t>
            </w:r>
            <w:r>
              <w:rPr>
                <w:rFonts w:hint="eastAsia" w:ascii="宋体" w:hAnsi="宋体" w:eastAsia="宋体" w:cs="宋体"/>
                <w:color w:val="auto"/>
                <w:spacing w:val="4"/>
                <w:kern w:val="0"/>
                <w:sz w:val="21"/>
                <w:szCs w:val="21"/>
                <w:lang w:val="en-US" w:eastAsia="zh-CN" w:bidi="ar"/>
              </w:rPr>
              <w:t>的</w:t>
            </w:r>
            <w:r>
              <w:rPr>
                <w:rFonts w:hint="eastAsia" w:cs="宋体"/>
                <w:color w:val="auto"/>
                <w:spacing w:val="4"/>
                <w:kern w:val="0"/>
                <w:sz w:val="21"/>
                <w:szCs w:val="21"/>
                <w:lang w:val="en-US" w:eastAsia="zh-CN" w:bidi="ar"/>
              </w:rPr>
              <w:t>统一运维</w:t>
            </w:r>
            <w:r>
              <w:rPr>
                <w:rFonts w:hint="eastAsia" w:ascii="宋体" w:hAnsi="宋体" w:eastAsia="宋体" w:cs="宋体"/>
                <w:color w:val="auto"/>
                <w:spacing w:val="4"/>
                <w:kern w:val="0"/>
                <w:sz w:val="21"/>
                <w:szCs w:val="21"/>
                <w:lang w:val="en-US" w:eastAsia="zh-CN" w:bidi="ar"/>
              </w:rPr>
              <w:t>知识</w:t>
            </w:r>
            <w:r>
              <w:rPr>
                <w:rFonts w:hint="eastAsia" w:cs="宋体"/>
                <w:color w:val="auto"/>
                <w:spacing w:val="4"/>
                <w:kern w:val="0"/>
                <w:sz w:val="21"/>
                <w:szCs w:val="21"/>
                <w:lang w:val="en-US" w:eastAsia="zh-CN" w:bidi="ar"/>
              </w:rPr>
              <w:t>图谱</w:t>
            </w:r>
            <w:r>
              <w:rPr>
                <w:rFonts w:hint="eastAsia" w:ascii="宋体" w:hAnsi="宋体" w:eastAsia="宋体" w:cs="宋体"/>
                <w:color w:val="auto"/>
                <w:spacing w:val="4"/>
                <w:kern w:val="0"/>
                <w:sz w:val="21"/>
                <w:szCs w:val="21"/>
                <w:lang w:val="en-US" w:eastAsia="zh-CN" w:bidi="ar"/>
              </w:rPr>
              <w:t>。实体规模</w:t>
            </w:r>
            <w:r>
              <w:rPr>
                <w:rFonts w:hint="eastAsia" w:ascii="宋体" w:hAnsi="宋体" w:eastAsia="宋体" w:cs="宋体"/>
                <w:b w:val="0"/>
                <w:bCs w:val="0"/>
                <w:color w:val="auto"/>
                <w:spacing w:val="4"/>
                <w:kern w:val="0"/>
                <w:sz w:val="21"/>
                <w:szCs w:val="21"/>
                <w:lang w:val="en-US" w:eastAsia="zh-CN" w:bidi="ar"/>
              </w:rPr>
              <w:t>不低于500个</w:t>
            </w:r>
            <w:r>
              <w:rPr>
                <w:rFonts w:hint="eastAsia" w:ascii="宋体" w:hAnsi="宋体" w:eastAsia="宋体" w:cs="宋体"/>
                <w:color w:val="auto"/>
                <w:spacing w:val="4"/>
                <w:kern w:val="0"/>
                <w:sz w:val="21"/>
                <w:szCs w:val="21"/>
                <w:lang w:val="en-US" w:eastAsia="zh-CN" w:bidi="ar"/>
              </w:rPr>
              <w:t>，关系规模</w:t>
            </w:r>
            <w:r>
              <w:rPr>
                <w:rFonts w:hint="eastAsia" w:ascii="宋体" w:hAnsi="宋体" w:eastAsia="宋体" w:cs="宋体"/>
                <w:b w:val="0"/>
                <w:bCs w:val="0"/>
                <w:color w:val="auto"/>
                <w:spacing w:val="4"/>
                <w:kern w:val="0"/>
                <w:sz w:val="21"/>
                <w:szCs w:val="21"/>
                <w:lang w:val="en-US" w:eastAsia="zh-CN" w:bidi="ar"/>
              </w:rPr>
              <w:t>不低于50条</w:t>
            </w:r>
            <w:r>
              <w:rPr>
                <w:rFonts w:hint="eastAsia" w:ascii="宋体" w:hAnsi="宋体" w:eastAsia="宋体" w:cs="宋体"/>
                <w:color w:val="auto"/>
                <w:spacing w:val="4"/>
                <w:kern w:val="0"/>
                <w:sz w:val="21"/>
                <w:szCs w:val="21"/>
                <w:lang w:val="en-US" w:eastAsia="zh-CN" w:bidi="ar"/>
              </w:rPr>
              <w:t>，核心实体属性填充完整度</w:t>
            </w:r>
            <w:r>
              <w:rPr>
                <w:rFonts w:hint="eastAsia" w:ascii="宋体" w:hAnsi="宋体" w:eastAsia="宋体" w:cs="宋体"/>
                <w:b w:val="0"/>
                <w:bCs w:val="0"/>
                <w:color w:val="auto"/>
                <w:spacing w:val="4"/>
                <w:kern w:val="0"/>
                <w:sz w:val="21"/>
                <w:szCs w:val="21"/>
                <w:lang w:val="en-US" w:eastAsia="zh-CN" w:bidi="ar"/>
              </w:rPr>
              <w:t>不低于90%</w:t>
            </w:r>
            <w:r>
              <w:rPr>
                <w:rFonts w:hint="eastAsia" w:ascii="宋体" w:hAnsi="宋体" w:eastAsia="宋体" w:cs="宋体"/>
                <w:color w:val="auto"/>
                <w:spacing w:val="4"/>
                <w:kern w:val="0"/>
                <w:sz w:val="21"/>
                <w:szCs w:val="21"/>
                <w:lang w:val="en-US" w:eastAsia="zh-CN" w:bidi="ar"/>
              </w:rPr>
              <w:t>。</w:t>
            </w:r>
          </w:p>
          <w:p w14:paraId="1D72C130">
            <w:pPr>
              <w:keepNext w:val="0"/>
              <w:keepLines w:val="0"/>
              <w:widowControl/>
              <w:suppressLineNumbers w:val="0"/>
              <w:spacing w:before="0" w:beforeAutospacing="0" w:after="0" w:afterAutospacing="0" w:line="261" w:lineRule="auto"/>
              <w:ind w:left="0" w:right="0" w:firstLine="436" w:firstLineChars="200"/>
              <w:jc w:val="left"/>
              <w:rPr>
                <w:rFonts w:hint="eastAsia" w:ascii="宋体" w:hAnsi="宋体" w:eastAsia="宋体" w:cs="宋体"/>
                <w:b w:val="0"/>
                <w:bCs w:val="0"/>
                <w:color w:val="auto"/>
                <w:spacing w:val="4"/>
                <w:kern w:val="0"/>
                <w:sz w:val="21"/>
                <w:szCs w:val="21"/>
                <w:lang w:val="en-US" w:eastAsia="zh-CN" w:bidi="ar"/>
              </w:rPr>
            </w:pPr>
            <w:r>
              <w:rPr>
                <w:rFonts w:hint="eastAsia" w:ascii="宋体" w:hAnsi="宋体" w:eastAsia="宋体" w:cs="宋体"/>
                <w:b w:val="0"/>
                <w:bCs w:val="0"/>
                <w:color w:val="auto"/>
                <w:spacing w:val="4"/>
                <w:kern w:val="0"/>
                <w:sz w:val="21"/>
                <w:szCs w:val="21"/>
                <w:lang w:val="en-US" w:eastAsia="zh-CN" w:bidi="ar"/>
              </w:rPr>
              <w:t>（2）</w:t>
            </w:r>
            <w:r>
              <w:rPr>
                <w:rFonts w:hint="eastAsia" w:cs="宋体"/>
                <w:b/>
                <w:bCs/>
                <w:color w:val="auto"/>
                <w:spacing w:val="4"/>
                <w:kern w:val="0"/>
                <w:sz w:val="21"/>
                <w:szCs w:val="21"/>
                <w:lang w:val="en-US" w:eastAsia="zh-CN" w:bidi="ar"/>
              </w:rPr>
              <w:t>系统核心性能指标</w:t>
            </w:r>
            <w:r>
              <w:rPr>
                <w:rFonts w:hint="eastAsia" w:cs="宋体"/>
                <w:b w:val="0"/>
                <w:bCs w:val="0"/>
                <w:color w:val="auto"/>
                <w:spacing w:val="4"/>
                <w:kern w:val="0"/>
                <w:sz w:val="21"/>
                <w:szCs w:val="21"/>
                <w:lang w:val="en-US" w:eastAsia="zh-CN" w:bidi="ar"/>
              </w:rPr>
              <w:t>：</w:t>
            </w:r>
            <w:r>
              <w:rPr>
                <w:rFonts w:hint="eastAsia" w:ascii="宋体" w:hAnsi="宋体" w:eastAsia="宋体" w:cs="宋体"/>
                <w:b w:val="0"/>
                <w:bCs w:val="0"/>
                <w:color w:val="auto"/>
                <w:spacing w:val="4"/>
                <w:kern w:val="0"/>
                <w:sz w:val="21"/>
                <w:szCs w:val="21"/>
                <w:lang w:val="en-US" w:eastAsia="zh-CN" w:bidi="ar"/>
              </w:rPr>
              <w:t>工单智能审查由合作方负责，开发基于知识图谱与GraphRAG的“湖北烟草网信智能运维”演示系统。该系统需集成三大核心能力，提供拟人化交互界面：</w:t>
            </w:r>
          </w:p>
          <w:p w14:paraId="1E18A091">
            <w:pPr>
              <w:keepNext w:val="0"/>
              <w:keepLines w:val="0"/>
              <w:widowControl/>
              <w:suppressLineNumbers w:val="0"/>
              <w:spacing w:before="0" w:beforeAutospacing="0" w:after="0" w:afterAutospacing="0" w:line="261" w:lineRule="auto"/>
              <w:ind w:left="0" w:right="0" w:firstLine="436" w:firstLineChars="200"/>
              <w:jc w:val="left"/>
              <w:rPr>
                <w:rFonts w:hint="eastAsia" w:ascii="宋体" w:hAnsi="宋体" w:eastAsia="宋体" w:cs="宋体"/>
                <w:b w:val="0"/>
                <w:bCs w:val="0"/>
                <w:color w:val="auto"/>
                <w:spacing w:val="4"/>
                <w:kern w:val="0"/>
                <w:sz w:val="21"/>
                <w:szCs w:val="21"/>
                <w:lang w:val="en-US" w:eastAsia="zh-CN" w:bidi="ar"/>
              </w:rPr>
            </w:pPr>
            <w:r>
              <w:rPr>
                <w:rFonts w:hint="eastAsia" w:ascii="宋体" w:hAnsi="宋体" w:eastAsia="宋体" w:cs="宋体"/>
                <w:b w:val="0"/>
                <w:bCs w:val="0"/>
                <w:color w:val="auto"/>
                <w:spacing w:val="4"/>
                <w:kern w:val="0"/>
                <w:sz w:val="21"/>
                <w:szCs w:val="21"/>
                <w:lang w:val="en-US" w:eastAsia="zh-CN" w:bidi="ar"/>
              </w:rPr>
              <w:t>故障辅助诊断（运维专家）：基于知识图谱进行资产关联、故障推理与处置建议。</w:t>
            </w:r>
          </w:p>
          <w:p w14:paraId="1F43C3EB">
            <w:pPr>
              <w:keepNext w:val="0"/>
              <w:keepLines w:val="0"/>
              <w:widowControl/>
              <w:suppressLineNumbers w:val="0"/>
              <w:spacing w:before="0" w:beforeAutospacing="0" w:after="0" w:afterAutospacing="0" w:line="261" w:lineRule="auto"/>
              <w:ind w:left="0" w:right="0" w:firstLine="436" w:firstLineChars="200"/>
              <w:jc w:val="left"/>
              <w:rPr>
                <w:rFonts w:hint="eastAsia" w:ascii="宋体" w:hAnsi="宋体" w:eastAsia="宋体" w:cs="宋体"/>
                <w:b w:val="0"/>
                <w:bCs w:val="0"/>
                <w:color w:val="auto"/>
                <w:spacing w:val="4"/>
                <w:kern w:val="0"/>
                <w:sz w:val="21"/>
                <w:szCs w:val="21"/>
                <w:lang w:val="en-US" w:eastAsia="zh-CN" w:bidi="ar"/>
              </w:rPr>
            </w:pPr>
            <w:r>
              <w:rPr>
                <w:rFonts w:hint="eastAsia" w:ascii="宋体" w:hAnsi="宋体" w:eastAsia="宋体" w:cs="宋体"/>
                <w:b w:val="0"/>
                <w:bCs w:val="0"/>
                <w:color w:val="auto"/>
                <w:spacing w:val="4"/>
                <w:kern w:val="0"/>
                <w:sz w:val="21"/>
                <w:szCs w:val="21"/>
                <w:lang w:val="en-US" w:eastAsia="zh-CN" w:bidi="ar"/>
              </w:rPr>
              <w:t>工单智能审查（工单审查）：基于规则引擎与语义理解，实现工单的规范校核、风险识别与修正建议。</w:t>
            </w:r>
          </w:p>
          <w:p w14:paraId="52503048">
            <w:pPr>
              <w:keepNext w:val="0"/>
              <w:keepLines w:val="0"/>
              <w:widowControl/>
              <w:suppressLineNumbers w:val="0"/>
              <w:spacing w:before="0" w:beforeAutospacing="0" w:after="0" w:afterAutospacing="0" w:line="261" w:lineRule="auto"/>
              <w:ind w:left="0" w:right="0" w:firstLine="436" w:firstLineChars="200"/>
              <w:jc w:val="left"/>
              <w:rPr>
                <w:rFonts w:hint="eastAsia" w:ascii="宋体" w:hAnsi="宋体" w:eastAsia="宋体" w:cs="宋体"/>
                <w:b w:val="0"/>
                <w:bCs w:val="0"/>
                <w:color w:val="auto"/>
                <w:spacing w:val="4"/>
                <w:kern w:val="0"/>
                <w:sz w:val="21"/>
                <w:szCs w:val="21"/>
                <w:lang w:val="en-US" w:eastAsia="zh-CN" w:bidi="ar"/>
              </w:rPr>
            </w:pPr>
            <w:r>
              <w:rPr>
                <w:rFonts w:hint="eastAsia" w:ascii="宋体" w:hAnsi="宋体" w:eastAsia="宋体" w:cs="宋体"/>
                <w:b w:val="0"/>
                <w:bCs w:val="0"/>
                <w:color w:val="auto"/>
                <w:spacing w:val="4"/>
                <w:kern w:val="0"/>
                <w:sz w:val="21"/>
                <w:szCs w:val="21"/>
                <w:lang w:val="en-US" w:eastAsia="zh-CN" w:bidi="ar"/>
              </w:rPr>
              <w:t>流程规范问答（网信治理）：基于检索增强生成技术，对运维管理制度、流程规范进行精准解读与答疑。</w:t>
            </w:r>
          </w:p>
          <w:p w14:paraId="139BA06E">
            <w:pPr>
              <w:keepNext w:val="0"/>
              <w:keepLines w:val="0"/>
              <w:widowControl/>
              <w:suppressLineNumbers w:val="0"/>
              <w:spacing w:before="0" w:beforeAutospacing="0" w:after="0" w:afterAutospacing="0" w:line="261" w:lineRule="auto"/>
              <w:ind w:left="0" w:right="0" w:firstLine="436" w:firstLineChars="200"/>
              <w:jc w:val="left"/>
              <w:rPr>
                <w:rFonts w:hint="eastAsia" w:cs="宋体"/>
                <w:b w:val="0"/>
                <w:bCs w:val="0"/>
                <w:color w:val="auto"/>
                <w:spacing w:val="4"/>
                <w:kern w:val="0"/>
                <w:sz w:val="21"/>
                <w:szCs w:val="21"/>
                <w:lang w:val="en-US" w:eastAsia="zh-CN" w:bidi="ar"/>
              </w:rPr>
            </w:pPr>
            <w:r>
              <w:rPr>
                <w:rFonts w:hint="eastAsia" w:ascii="宋体" w:hAnsi="宋体" w:eastAsia="宋体" w:cs="宋体"/>
                <w:b w:val="0"/>
                <w:bCs w:val="0"/>
                <w:color w:val="auto"/>
                <w:spacing w:val="4"/>
                <w:kern w:val="0"/>
                <w:sz w:val="21"/>
                <w:szCs w:val="21"/>
                <w:lang w:val="en-US" w:eastAsia="zh-CN" w:bidi="ar"/>
              </w:rPr>
              <w:t>所构建的审查范式/模型需实现：</w:t>
            </w:r>
            <w:r>
              <w:rPr>
                <w:rFonts w:hint="eastAsia" w:cs="宋体"/>
                <w:b w:val="0"/>
                <w:bCs w:val="0"/>
                <w:color w:val="auto"/>
                <w:spacing w:val="4"/>
                <w:kern w:val="0"/>
                <w:sz w:val="21"/>
                <w:szCs w:val="21"/>
                <w:lang w:val="en-US" w:eastAsia="zh-CN" w:bidi="ar"/>
              </w:rPr>
              <w:t>对单次查询的</w:t>
            </w:r>
            <w:r>
              <w:rPr>
                <w:rFonts w:hint="eastAsia" w:ascii="宋体" w:hAnsi="宋体" w:eastAsia="宋体" w:cs="宋体"/>
                <w:b w:val="0"/>
                <w:bCs w:val="0"/>
                <w:color w:val="auto"/>
                <w:spacing w:val="4"/>
                <w:kern w:val="0"/>
                <w:sz w:val="21"/>
                <w:szCs w:val="21"/>
                <w:lang w:val="en-US" w:eastAsia="zh-CN" w:bidi="ar"/>
              </w:rPr>
              <w:t>混合检索平均响应时间≤2秒；在专用测试集上，对工单规范性问题的自动识别召回率不低于80%</w:t>
            </w:r>
            <w:r>
              <w:rPr>
                <w:rFonts w:hint="eastAsia" w:cs="宋体"/>
                <w:b w:val="0"/>
                <w:bCs w:val="0"/>
                <w:color w:val="auto"/>
                <w:spacing w:val="4"/>
                <w:kern w:val="0"/>
                <w:sz w:val="21"/>
                <w:szCs w:val="21"/>
                <w:lang w:val="en-US" w:eastAsia="zh-CN" w:bidi="ar"/>
              </w:rPr>
              <w:t>。</w:t>
            </w:r>
          </w:p>
          <w:p w14:paraId="3FC72A3C">
            <w:pPr>
              <w:keepNext w:val="0"/>
              <w:keepLines w:val="0"/>
              <w:widowControl/>
              <w:numPr>
                <w:ilvl w:val="0"/>
                <w:numId w:val="1"/>
              </w:numPr>
              <w:suppressLineNumbers w:val="0"/>
              <w:spacing w:before="0" w:beforeAutospacing="0" w:after="0" w:afterAutospacing="0" w:line="261" w:lineRule="auto"/>
              <w:ind w:left="0" w:right="0" w:firstLine="438" w:firstLineChars="200"/>
              <w:jc w:val="left"/>
              <w:rPr>
                <w:rFonts w:hint="eastAsia" w:ascii="宋体" w:hAnsi="宋体" w:eastAsia="宋体" w:cs="宋体"/>
                <w:b w:val="0"/>
                <w:bCs w:val="0"/>
                <w:color w:val="auto"/>
                <w:spacing w:val="4"/>
                <w:kern w:val="0"/>
                <w:sz w:val="21"/>
                <w:szCs w:val="21"/>
                <w:lang w:val="en-US" w:eastAsia="zh-CN" w:bidi="ar"/>
              </w:rPr>
            </w:pPr>
            <w:r>
              <w:rPr>
                <w:rFonts w:hint="eastAsia" w:cs="宋体"/>
                <w:b/>
                <w:bCs/>
                <w:color w:val="auto"/>
                <w:spacing w:val="4"/>
                <w:kern w:val="0"/>
                <w:sz w:val="21"/>
                <w:szCs w:val="21"/>
                <w:lang w:val="en-US" w:eastAsia="zh-CN" w:bidi="ar"/>
              </w:rPr>
              <w:t>智能化与自动化能力指标</w:t>
            </w:r>
            <w:r>
              <w:rPr>
                <w:rFonts w:hint="eastAsia" w:cs="宋体"/>
                <w:b w:val="0"/>
                <w:bCs w:val="0"/>
                <w:color w:val="auto"/>
                <w:spacing w:val="4"/>
                <w:kern w:val="0"/>
                <w:sz w:val="21"/>
                <w:szCs w:val="21"/>
                <w:lang w:val="en-US" w:eastAsia="zh-CN" w:bidi="ar"/>
              </w:rPr>
              <w:t>：</w:t>
            </w:r>
            <w:r>
              <w:rPr>
                <w:rFonts w:hint="eastAsia" w:ascii="宋体" w:hAnsi="宋体" w:eastAsia="宋体" w:cs="宋体"/>
                <w:b w:val="0"/>
                <w:bCs w:val="0"/>
                <w:color w:val="auto"/>
                <w:spacing w:val="4"/>
                <w:kern w:val="0"/>
                <w:sz w:val="21"/>
                <w:szCs w:val="21"/>
                <w:lang w:val="en-US" w:eastAsia="zh-CN" w:bidi="ar"/>
              </w:rPr>
              <w:t>系统内嵌可执行的数字化</w:t>
            </w:r>
            <w:r>
              <w:rPr>
                <w:rFonts w:hint="eastAsia" w:cs="宋体"/>
                <w:b w:val="0"/>
                <w:bCs w:val="0"/>
                <w:color w:val="auto"/>
                <w:spacing w:val="4"/>
                <w:kern w:val="0"/>
                <w:sz w:val="21"/>
                <w:szCs w:val="21"/>
                <w:lang w:val="en-US" w:eastAsia="zh-CN" w:bidi="ar"/>
              </w:rPr>
              <w:t>核心运维</w:t>
            </w:r>
            <w:r>
              <w:rPr>
                <w:rFonts w:hint="eastAsia" w:ascii="宋体" w:hAnsi="宋体" w:eastAsia="宋体" w:cs="宋体"/>
                <w:b w:val="0"/>
                <w:bCs w:val="0"/>
                <w:color w:val="auto"/>
                <w:spacing w:val="4"/>
                <w:kern w:val="0"/>
                <w:sz w:val="21"/>
                <w:szCs w:val="21"/>
                <w:lang w:val="en-US" w:eastAsia="zh-CN" w:bidi="ar"/>
              </w:rPr>
              <w:t>规则不少于50条，</w:t>
            </w:r>
            <w:r>
              <w:rPr>
                <w:rFonts w:hint="eastAsia" w:cs="宋体"/>
                <w:b w:val="0"/>
                <w:bCs w:val="0"/>
                <w:color w:val="auto"/>
                <w:spacing w:val="4"/>
                <w:kern w:val="0"/>
                <w:sz w:val="21"/>
                <w:szCs w:val="21"/>
                <w:lang w:val="en-US" w:eastAsia="zh-CN" w:bidi="ar"/>
              </w:rPr>
              <w:t>实现规则覆盖场景下</w:t>
            </w:r>
            <w:r>
              <w:rPr>
                <w:rFonts w:hint="eastAsia" w:ascii="宋体" w:hAnsi="宋体" w:eastAsia="宋体" w:cs="宋体"/>
                <w:b w:val="0"/>
                <w:bCs w:val="0"/>
                <w:color w:val="auto"/>
                <w:spacing w:val="4"/>
                <w:kern w:val="0"/>
                <w:sz w:val="21"/>
                <w:szCs w:val="21"/>
                <w:lang w:val="en-US" w:eastAsia="zh-CN" w:bidi="ar"/>
              </w:rPr>
              <w:t>100%</w:t>
            </w:r>
            <w:r>
              <w:rPr>
                <w:rFonts w:hint="eastAsia" w:cs="宋体"/>
                <w:b w:val="0"/>
                <w:bCs w:val="0"/>
                <w:color w:val="auto"/>
                <w:spacing w:val="4"/>
                <w:kern w:val="0"/>
                <w:sz w:val="21"/>
                <w:szCs w:val="21"/>
                <w:lang w:val="en-US" w:eastAsia="zh-CN" w:bidi="ar"/>
              </w:rPr>
              <w:t>的审查触发，且审查结论</w:t>
            </w:r>
            <w:r>
              <w:rPr>
                <w:rFonts w:hint="eastAsia" w:ascii="宋体" w:hAnsi="宋体" w:eastAsia="宋体" w:cs="宋体"/>
                <w:b w:val="0"/>
                <w:bCs w:val="0"/>
                <w:color w:val="auto"/>
                <w:spacing w:val="4"/>
                <w:kern w:val="0"/>
                <w:sz w:val="21"/>
                <w:szCs w:val="21"/>
                <w:lang w:val="en-US" w:eastAsia="zh-CN" w:bidi="ar"/>
              </w:rPr>
              <w:t>附带</w:t>
            </w:r>
            <w:r>
              <w:rPr>
                <w:rFonts w:hint="eastAsia" w:cs="宋体"/>
                <w:b w:val="0"/>
                <w:bCs w:val="0"/>
                <w:color w:val="auto"/>
                <w:spacing w:val="4"/>
                <w:kern w:val="0"/>
                <w:sz w:val="21"/>
                <w:szCs w:val="21"/>
                <w:lang w:val="en-US" w:eastAsia="zh-CN" w:bidi="ar"/>
              </w:rPr>
              <w:t>可追溯的</w:t>
            </w:r>
            <w:r>
              <w:rPr>
                <w:rFonts w:hint="eastAsia" w:ascii="宋体" w:hAnsi="宋体" w:eastAsia="宋体" w:cs="宋体"/>
                <w:b w:val="0"/>
                <w:bCs w:val="0"/>
                <w:color w:val="auto"/>
                <w:spacing w:val="4"/>
                <w:kern w:val="0"/>
                <w:sz w:val="21"/>
                <w:szCs w:val="21"/>
                <w:lang w:val="en-US" w:eastAsia="zh-CN" w:bidi="ar"/>
              </w:rPr>
              <w:t>推理路径</w:t>
            </w:r>
            <w:r>
              <w:rPr>
                <w:rFonts w:hint="eastAsia" w:cs="宋体"/>
                <w:b w:val="0"/>
                <w:bCs w:val="0"/>
                <w:color w:val="auto"/>
                <w:spacing w:val="4"/>
                <w:kern w:val="0"/>
                <w:sz w:val="21"/>
                <w:szCs w:val="21"/>
                <w:lang w:val="en-US" w:eastAsia="zh-CN" w:bidi="ar"/>
              </w:rPr>
              <w:t>说明</w:t>
            </w:r>
            <w:r>
              <w:rPr>
                <w:rFonts w:hint="eastAsia" w:ascii="宋体" w:hAnsi="宋体" w:eastAsia="宋体" w:cs="宋体"/>
                <w:b w:val="0"/>
                <w:bCs w:val="0"/>
                <w:color w:val="auto"/>
                <w:spacing w:val="4"/>
                <w:kern w:val="0"/>
                <w:sz w:val="21"/>
                <w:szCs w:val="21"/>
                <w:lang w:val="en-US" w:eastAsia="zh-CN" w:bidi="ar"/>
              </w:rPr>
              <w:t>。</w:t>
            </w:r>
          </w:p>
          <w:p w14:paraId="220952C9">
            <w:pPr>
              <w:keepNext w:val="0"/>
              <w:keepLines w:val="0"/>
              <w:widowControl/>
              <w:numPr>
                <w:ilvl w:val="0"/>
                <w:numId w:val="1"/>
              </w:numPr>
              <w:suppressLineNumbers w:val="0"/>
              <w:spacing w:before="0" w:beforeAutospacing="0" w:after="0" w:afterAutospacing="0" w:line="261" w:lineRule="auto"/>
              <w:ind w:left="0" w:right="0" w:firstLine="422" w:firstLineChars="200"/>
              <w:jc w:val="left"/>
              <w:rPr>
                <w:rFonts w:hint="eastAsia" w:ascii="宋体" w:hAnsi="宋体" w:eastAsia="宋体" w:cs="宋体"/>
                <w:b w:val="0"/>
                <w:bCs w:val="0"/>
                <w:color w:val="auto"/>
                <w:spacing w:val="4"/>
                <w:kern w:val="0"/>
                <w:sz w:val="21"/>
                <w:szCs w:val="21"/>
                <w:lang w:val="en-US" w:eastAsia="zh-CN" w:bidi="ar"/>
              </w:rPr>
            </w:pPr>
            <w:r>
              <w:rPr>
                <w:rFonts w:hint="eastAsia"/>
                <w:b/>
                <w:bCs/>
                <w:color w:val="auto"/>
                <w:sz w:val="21"/>
                <w:szCs w:val="21"/>
              </w:rPr>
              <w:t>成果固化与范式输出指标：</w:t>
            </w:r>
            <w:r>
              <w:rPr>
                <w:rFonts w:hint="eastAsia"/>
                <w:color w:val="auto"/>
                <w:sz w:val="21"/>
                <w:szCs w:val="21"/>
              </w:rPr>
              <w:t>形成</w:t>
            </w:r>
            <w:r>
              <w:rPr>
                <w:rFonts w:hint="eastAsia"/>
                <w:color w:val="auto"/>
                <w:sz w:val="21"/>
                <w:szCs w:val="21"/>
                <w:lang w:val="en-US" w:eastAsia="zh-CN"/>
              </w:rPr>
              <w:t>1</w:t>
            </w:r>
            <w:r>
              <w:rPr>
                <w:rFonts w:hint="eastAsia"/>
                <w:color w:val="auto"/>
                <w:sz w:val="21"/>
                <w:szCs w:val="21"/>
              </w:rPr>
              <w:t>套完整的《运维工单智能校核与审查范式》方法论文档</w:t>
            </w:r>
            <w:r>
              <w:rPr>
                <w:rFonts w:hint="eastAsia"/>
                <w:color w:val="auto"/>
                <w:sz w:val="21"/>
                <w:szCs w:val="21"/>
                <w:lang w:val="en-US" w:eastAsia="zh-CN"/>
              </w:rPr>
              <w:t>.</w:t>
            </w:r>
          </w:p>
          <w:p w14:paraId="5E801237">
            <w:pPr>
              <w:keepNext w:val="0"/>
              <w:keepLines w:val="0"/>
              <w:widowControl/>
              <w:suppressLineNumbers w:val="0"/>
              <w:spacing w:before="0" w:beforeAutospacing="0" w:after="0" w:afterAutospacing="0" w:line="261" w:lineRule="auto"/>
              <w:ind w:left="0" w:right="0" w:firstLine="438" w:firstLineChars="200"/>
              <w:jc w:val="left"/>
              <w:rPr>
                <w:rFonts w:hint="eastAsia" w:ascii="宋体" w:hAnsi="宋体" w:eastAsia="宋体" w:cs="宋体"/>
                <w:b/>
                <w:bCs/>
                <w:color w:val="auto"/>
                <w:spacing w:val="4"/>
                <w:kern w:val="0"/>
                <w:sz w:val="21"/>
                <w:szCs w:val="21"/>
                <w:lang w:val="en-US" w:eastAsia="zh-CN" w:bidi="ar"/>
              </w:rPr>
            </w:pPr>
          </w:p>
          <w:p w14:paraId="6101261A">
            <w:pPr>
              <w:keepNext w:val="0"/>
              <w:keepLines w:val="0"/>
              <w:widowControl/>
              <w:suppressLineNumbers w:val="0"/>
              <w:spacing w:before="0" w:beforeAutospacing="0" w:after="0" w:afterAutospacing="0" w:line="261" w:lineRule="auto"/>
              <w:ind w:left="0" w:right="0" w:firstLine="438" w:firstLineChars="200"/>
              <w:jc w:val="left"/>
              <w:rPr>
                <w:rFonts w:hint="eastAsia"/>
                <w:color w:val="auto"/>
                <w:spacing w:val="4"/>
                <w:sz w:val="21"/>
                <w:szCs w:val="21"/>
                <w:lang w:val="en-US" w:bidi="ar"/>
              </w:rPr>
            </w:pPr>
            <w:r>
              <w:rPr>
                <w:rFonts w:hint="eastAsia" w:ascii="宋体" w:hAnsi="宋体" w:eastAsia="宋体" w:cs="宋体"/>
                <w:b/>
                <w:bCs/>
                <w:color w:val="auto"/>
                <w:spacing w:val="4"/>
                <w:kern w:val="0"/>
                <w:sz w:val="21"/>
                <w:szCs w:val="21"/>
                <w:lang w:val="en-US" w:eastAsia="zh-CN" w:bidi="ar"/>
              </w:rPr>
              <w:t>2.交付成果</w:t>
            </w:r>
          </w:p>
          <w:p w14:paraId="35A21846">
            <w:pPr>
              <w:keepNext w:val="0"/>
              <w:keepLines w:val="0"/>
              <w:widowControl/>
              <w:suppressLineNumbers w:val="0"/>
              <w:spacing w:before="0" w:beforeAutospacing="0" w:after="0" w:afterAutospacing="0" w:line="261" w:lineRule="auto"/>
              <w:ind w:left="0" w:right="0" w:firstLine="436" w:firstLineChars="2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项目完成后，合作方需向本项目交付如下成果，所有成果的所有权及知识产权归属本项目承担单位：</w:t>
            </w:r>
          </w:p>
          <w:p w14:paraId="4D9C7A8E">
            <w:pPr>
              <w:keepNext w:val="0"/>
              <w:keepLines w:val="0"/>
              <w:widowControl/>
              <w:suppressLineNumbers w:val="0"/>
              <w:spacing w:before="0" w:beforeAutospacing="0" w:after="0" w:afterAutospacing="0" w:line="261" w:lineRule="auto"/>
              <w:ind w:left="0" w:right="0" w:firstLine="436" w:firstLineChars="200"/>
              <w:jc w:val="left"/>
              <w:rPr>
                <w:rFonts w:hint="eastAsia"/>
                <w:color w:val="auto"/>
                <w:spacing w:val="4"/>
                <w:sz w:val="21"/>
                <w:szCs w:val="21"/>
                <w:lang w:val="en-US" w:bidi="ar"/>
              </w:rPr>
            </w:pPr>
            <w:r>
              <w:rPr>
                <w:rFonts w:hint="eastAsia" w:ascii="宋体" w:hAnsi="宋体" w:eastAsia="宋体" w:cs="宋体"/>
                <w:b w:val="0"/>
                <w:bCs w:val="0"/>
                <w:color w:val="auto"/>
                <w:spacing w:val="4"/>
                <w:kern w:val="0"/>
                <w:sz w:val="21"/>
                <w:szCs w:val="21"/>
                <w:lang w:val="en-US" w:eastAsia="zh-CN" w:bidi="ar"/>
              </w:rPr>
              <w:t>（1）范式与规范文档</w:t>
            </w:r>
            <w:r>
              <w:rPr>
                <w:rFonts w:hint="eastAsia" w:ascii="宋体" w:hAnsi="宋体" w:eastAsia="宋体" w:cs="宋体"/>
                <w:color w:val="auto"/>
                <w:spacing w:val="4"/>
                <w:kern w:val="0"/>
                <w:sz w:val="21"/>
                <w:szCs w:val="21"/>
                <w:lang w:val="en-US" w:eastAsia="zh-CN" w:bidi="ar"/>
              </w:rPr>
              <w:t>：</w:t>
            </w:r>
          </w:p>
          <w:p w14:paraId="5A5C5F0A">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① 《</w:t>
            </w:r>
            <w:r>
              <w:rPr>
                <w:rFonts w:hint="eastAsia"/>
                <w:color w:val="auto"/>
                <w:sz w:val="21"/>
                <w:szCs w:val="21"/>
              </w:rPr>
              <w:t>运维工单智能校核与审查范式白皮书</w:t>
            </w:r>
            <w:r>
              <w:rPr>
                <w:rFonts w:hint="eastAsia" w:ascii="宋体" w:hAnsi="宋体" w:eastAsia="宋体" w:cs="宋体"/>
                <w:color w:val="auto"/>
                <w:spacing w:val="4"/>
                <w:kern w:val="0"/>
                <w:sz w:val="21"/>
                <w:szCs w:val="21"/>
                <w:lang w:val="en-US" w:eastAsia="zh-CN" w:bidi="ar"/>
              </w:rPr>
              <w:t>》</w:t>
            </w:r>
            <w:r>
              <w:rPr>
                <w:rFonts w:hint="eastAsia" w:cs="宋体"/>
                <w:color w:val="auto"/>
                <w:spacing w:val="4"/>
                <w:kern w:val="0"/>
                <w:sz w:val="21"/>
                <w:szCs w:val="21"/>
                <w:lang w:val="en-US" w:eastAsia="zh-CN" w:bidi="ar"/>
              </w:rPr>
              <w:t>V1.O</w:t>
            </w:r>
            <w:r>
              <w:rPr>
                <w:rFonts w:hint="eastAsia"/>
                <w:color w:val="auto"/>
                <w:sz w:val="21"/>
                <w:szCs w:val="21"/>
                <w:lang w:val="en-US" w:eastAsia="zh-CN"/>
              </w:rPr>
              <w:t>方法论文档</w:t>
            </w:r>
            <w:r>
              <w:rPr>
                <w:rFonts w:hint="eastAsia" w:ascii="宋体" w:hAnsi="宋体" w:eastAsia="宋体" w:cs="宋体"/>
                <w:color w:val="auto"/>
                <w:spacing w:val="4"/>
                <w:kern w:val="0"/>
                <w:sz w:val="21"/>
                <w:szCs w:val="21"/>
                <w:lang w:val="en-US" w:eastAsia="zh-CN" w:bidi="ar"/>
              </w:rPr>
              <w:t>；</w:t>
            </w:r>
          </w:p>
          <w:p w14:paraId="4F0DA134">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② 《湖北烟草网信运维知识图谱本体设计规范》V1.0；</w:t>
            </w:r>
          </w:p>
          <w:p w14:paraId="622F4D93">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③ 《运维规则数字化转换指南》V1.0。</w:t>
            </w:r>
          </w:p>
          <w:p w14:paraId="4629DFA9">
            <w:pPr>
              <w:keepNext w:val="0"/>
              <w:keepLines w:val="0"/>
              <w:widowControl/>
              <w:suppressLineNumbers w:val="0"/>
              <w:spacing w:before="0" w:beforeAutospacing="0" w:after="0" w:afterAutospacing="0" w:line="261" w:lineRule="auto"/>
              <w:ind w:left="0" w:right="0" w:firstLine="436" w:firstLineChars="200"/>
              <w:jc w:val="left"/>
              <w:rPr>
                <w:rFonts w:hint="eastAsia"/>
                <w:color w:val="auto"/>
                <w:spacing w:val="4"/>
                <w:sz w:val="21"/>
                <w:szCs w:val="21"/>
                <w:lang w:val="en-US" w:bidi="ar"/>
              </w:rPr>
            </w:pPr>
            <w:r>
              <w:rPr>
                <w:rFonts w:hint="eastAsia" w:ascii="宋体" w:hAnsi="宋体" w:eastAsia="宋体" w:cs="宋体"/>
                <w:b w:val="0"/>
                <w:bCs w:val="0"/>
                <w:color w:val="auto"/>
                <w:spacing w:val="4"/>
                <w:kern w:val="0"/>
                <w:sz w:val="21"/>
                <w:szCs w:val="21"/>
                <w:lang w:val="en-US" w:eastAsia="zh-CN" w:bidi="ar"/>
              </w:rPr>
              <w:t>（2）软件与数据资产</w:t>
            </w:r>
            <w:r>
              <w:rPr>
                <w:rFonts w:hint="eastAsia" w:ascii="宋体" w:hAnsi="宋体" w:eastAsia="宋体" w:cs="宋体"/>
                <w:color w:val="auto"/>
                <w:spacing w:val="4"/>
                <w:kern w:val="0"/>
                <w:sz w:val="21"/>
                <w:szCs w:val="21"/>
                <w:lang w:val="en-US" w:eastAsia="zh-CN" w:bidi="ar"/>
              </w:rPr>
              <w:t>：</w:t>
            </w:r>
          </w:p>
          <w:p w14:paraId="7C671F93">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④ “工单智能审查（湖北烟草网信智能运维）”演示系统可执行程序及全部源代码；</w:t>
            </w:r>
          </w:p>
          <w:p w14:paraId="5F4CEB25">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⑤ 运维知识图谱数据库文件；</w:t>
            </w:r>
          </w:p>
          <w:p w14:paraId="25805BB0">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⑥ 领域优化的语义理解模型文件。</w:t>
            </w:r>
          </w:p>
          <w:p w14:paraId="73EAEE2F">
            <w:pPr>
              <w:keepNext w:val="0"/>
              <w:keepLines w:val="0"/>
              <w:widowControl/>
              <w:suppressLineNumbers w:val="0"/>
              <w:spacing w:before="0" w:beforeAutospacing="0" w:after="0" w:afterAutospacing="0" w:line="261" w:lineRule="auto"/>
              <w:ind w:left="0" w:right="0" w:firstLine="436" w:firstLineChars="200"/>
              <w:jc w:val="left"/>
              <w:rPr>
                <w:rFonts w:hint="eastAsia"/>
                <w:color w:val="auto"/>
                <w:spacing w:val="4"/>
                <w:sz w:val="21"/>
                <w:szCs w:val="21"/>
                <w:lang w:val="en-US" w:bidi="ar"/>
              </w:rPr>
            </w:pPr>
            <w:r>
              <w:rPr>
                <w:rFonts w:hint="eastAsia" w:ascii="宋体" w:hAnsi="宋体" w:eastAsia="宋体" w:cs="宋体"/>
                <w:b w:val="0"/>
                <w:bCs w:val="0"/>
                <w:color w:val="auto"/>
                <w:spacing w:val="4"/>
                <w:kern w:val="0"/>
                <w:sz w:val="21"/>
                <w:szCs w:val="21"/>
                <w:lang w:val="en-US" w:eastAsia="zh-CN" w:bidi="ar"/>
              </w:rPr>
              <w:t>（3）技术文档与报告</w:t>
            </w:r>
            <w:r>
              <w:rPr>
                <w:rFonts w:hint="eastAsia" w:ascii="宋体" w:hAnsi="宋体" w:eastAsia="宋体" w:cs="宋体"/>
                <w:color w:val="auto"/>
                <w:spacing w:val="4"/>
                <w:kern w:val="0"/>
                <w:sz w:val="21"/>
                <w:szCs w:val="21"/>
                <w:lang w:val="en-US" w:eastAsia="zh-CN" w:bidi="ar"/>
              </w:rPr>
              <w:t>：</w:t>
            </w:r>
          </w:p>
          <w:p w14:paraId="42EE4A4C">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⑦ 系统全套技术文档（设计、部署、用户、API手册）；</w:t>
            </w:r>
          </w:p>
          <w:p w14:paraId="45D8F93A">
            <w:pPr>
              <w:keepNext w:val="0"/>
              <w:keepLines w:val="0"/>
              <w:widowControl/>
              <w:suppressLineNumbers w:val="0"/>
              <w:spacing w:before="0" w:beforeAutospacing="0" w:after="0" w:afterAutospacing="0" w:line="261" w:lineRule="auto"/>
              <w:ind w:left="0" w:right="0" w:firstLine="654" w:firstLineChars="300"/>
              <w:jc w:val="left"/>
              <w:rPr>
                <w:rFonts w:hint="eastAsia" w:ascii="宋体" w:hAnsi="宋体" w:eastAsia="宋体" w:cs="宋体"/>
                <w:color w:val="auto"/>
                <w:spacing w:val="4"/>
                <w:kern w:val="0"/>
                <w:sz w:val="21"/>
                <w:szCs w:val="21"/>
                <w:lang w:val="en-US" w:eastAsia="zh-CN" w:bidi="ar"/>
              </w:rPr>
            </w:pPr>
            <w:r>
              <w:rPr>
                <w:rFonts w:hint="eastAsia" w:ascii="宋体" w:hAnsi="宋体" w:eastAsia="宋体" w:cs="宋体"/>
                <w:color w:val="auto"/>
                <w:spacing w:val="4"/>
                <w:kern w:val="0"/>
                <w:sz w:val="21"/>
                <w:szCs w:val="21"/>
                <w:lang w:val="en-US" w:eastAsia="zh-CN" w:bidi="ar"/>
              </w:rPr>
              <w:t>⑧ 覆盖不少于5个</w:t>
            </w:r>
            <w:r>
              <w:rPr>
                <w:rFonts w:hint="eastAsia" w:cs="宋体"/>
                <w:color w:val="auto"/>
                <w:spacing w:val="4"/>
                <w:kern w:val="0"/>
                <w:sz w:val="21"/>
                <w:szCs w:val="21"/>
                <w:lang w:val="en-US" w:eastAsia="zh-CN" w:bidi="ar"/>
              </w:rPr>
              <w:t>业务</w:t>
            </w:r>
            <w:r>
              <w:rPr>
                <w:rFonts w:hint="eastAsia" w:ascii="宋体" w:hAnsi="宋体" w:eastAsia="宋体" w:cs="宋体"/>
                <w:color w:val="auto"/>
                <w:spacing w:val="4"/>
                <w:kern w:val="0"/>
                <w:sz w:val="21"/>
                <w:szCs w:val="21"/>
                <w:lang w:val="en-US" w:eastAsia="zh-CN" w:bidi="ar"/>
              </w:rPr>
              <w:t>场景的《</w:t>
            </w:r>
            <w:r>
              <w:rPr>
                <w:rFonts w:hint="eastAsia"/>
                <w:b/>
                <w:bCs/>
                <w:color w:val="auto"/>
                <w:sz w:val="21"/>
                <w:szCs w:val="21"/>
              </w:rPr>
              <w:t>基于知识图谱的工单智能审查</w:t>
            </w:r>
            <w:r>
              <w:rPr>
                <w:rFonts w:hint="eastAsia" w:ascii="宋体" w:hAnsi="宋体" w:eastAsia="宋体" w:cs="宋体"/>
                <w:color w:val="auto"/>
                <w:spacing w:val="4"/>
                <w:kern w:val="0"/>
                <w:sz w:val="21"/>
                <w:szCs w:val="21"/>
                <w:lang w:val="en-US" w:eastAsia="zh-CN" w:bidi="ar"/>
              </w:rPr>
              <w:t>示范应用案例验证报告》。</w:t>
            </w:r>
          </w:p>
          <w:p w14:paraId="5612DFC2">
            <w:pPr>
              <w:keepNext w:val="0"/>
              <w:keepLines w:val="0"/>
              <w:widowControl/>
              <w:suppressLineNumbers w:val="0"/>
              <w:spacing w:before="0" w:beforeAutospacing="0" w:after="0" w:afterAutospacing="0" w:line="261" w:lineRule="auto"/>
              <w:ind w:left="0" w:right="0" w:firstLine="0" w:firstLineChars="0"/>
              <w:jc w:val="left"/>
              <w:rPr>
                <w:rFonts w:hint="default" w:ascii="宋体" w:hAnsi="宋体" w:eastAsia="宋体" w:cs="宋体"/>
                <w:color w:val="auto"/>
                <w:spacing w:val="4"/>
                <w:kern w:val="0"/>
                <w:sz w:val="21"/>
                <w:szCs w:val="21"/>
                <w:lang w:val="en-US" w:eastAsia="zh-CN" w:bidi="ar"/>
              </w:rPr>
            </w:pPr>
          </w:p>
          <w:p w14:paraId="4BDD008F">
            <w:pPr>
              <w:spacing w:line="263" w:lineRule="auto"/>
              <w:ind w:firstLine="436" w:firstLineChars="200"/>
              <w:rPr>
                <w:rFonts w:hint="eastAsia"/>
                <w:color w:val="auto"/>
                <w:spacing w:val="4"/>
                <w:sz w:val="21"/>
                <w:szCs w:val="21"/>
                <w:lang w:val="en-US" w:eastAsia="zh-CN"/>
              </w:rPr>
            </w:pPr>
          </w:p>
          <w:p w14:paraId="4818C4AC">
            <w:pPr>
              <w:spacing w:before="66" w:line="223" w:lineRule="auto"/>
              <w:rPr>
                <w:rFonts w:hint="eastAsia"/>
                <w:color w:val="auto"/>
                <w:spacing w:val="4"/>
                <w:sz w:val="21"/>
                <w:szCs w:val="21"/>
              </w:rPr>
            </w:pPr>
          </w:p>
          <w:p w14:paraId="54B07AC9">
            <w:pPr>
              <w:spacing w:before="65" w:line="223" w:lineRule="auto"/>
              <w:ind w:left="111"/>
              <w:rPr>
                <w:rFonts w:hint="eastAsia"/>
                <w:color w:val="auto"/>
                <w:spacing w:val="8"/>
                <w:sz w:val="21"/>
                <w:szCs w:val="21"/>
              </w:rPr>
            </w:pPr>
          </w:p>
          <w:p w14:paraId="7D5DB8D8">
            <w:pPr>
              <w:spacing w:before="65" w:line="223" w:lineRule="auto"/>
              <w:ind w:left="0"/>
              <w:rPr>
                <w:rFonts w:hint="eastAsia"/>
                <w:color w:val="auto"/>
                <w:spacing w:val="8"/>
                <w:sz w:val="21"/>
                <w:szCs w:val="21"/>
              </w:rPr>
            </w:pPr>
            <w:r>
              <w:rPr>
                <w:rFonts w:hint="eastAsia"/>
                <w:color w:val="auto"/>
                <w:spacing w:val="8"/>
                <w:sz w:val="21"/>
                <w:szCs w:val="21"/>
              </w:rPr>
              <w:t>（五）委外合作启动时间：</w:t>
            </w:r>
          </w:p>
          <w:p w14:paraId="5FF69099">
            <w:pPr>
              <w:spacing w:before="66" w:line="223" w:lineRule="auto"/>
              <w:ind w:left="111" w:firstLine="436" w:firstLineChars="200"/>
              <w:rPr>
                <w:rFonts w:hint="eastAsia"/>
                <w:color w:val="auto"/>
                <w:sz w:val="21"/>
                <w:szCs w:val="21"/>
              </w:rPr>
            </w:pPr>
            <w:r>
              <w:rPr>
                <w:rFonts w:hint="eastAsia"/>
                <w:color w:val="auto"/>
                <w:spacing w:val="4"/>
                <w:sz w:val="21"/>
                <w:szCs w:val="21"/>
              </w:rPr>
              <w:t>预计2026年5月份</w:t>
            </w:r>
          </w:p>
        </w:tc>
      </w:tr>
      <w:tr w14:paraId="61ADA3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39" w:hRule="atLeast"/>
        </w:trPr>
        <w:tc>
          <w:tcPr>
            <w:tcW w:w="9676" w:type="dxa"/>
            <w:gridSpan w:val="5"/>
          </w:tcPr>
          <w:p w14:paraId="11F42732">
            <w:pPr>
              <w:spacing w:before="180" w:line="223" w:lineRule="auto"/>
              <w:ind w:left="111"/>
              <w:rPr>
                <w:rFonts w:hint="eastAsia"/>
                <w:color w:val="auto"/>
                <w:sz w:val="21"/>
                <w:szCs w:val="21"/>
              </w:rPr>
            </w:pPr>
            <w:r>
              <w:rPr>
                <w:rFonts w:hint="eastAsia"/>
                <w:color w:val="auto"/>
                <w:spacing w:val="8"/>
                <w:sz w:val="21"/>
                <w:szCs w:val="21"/>
              </w:rPr>
              <w:t>（</w:t>
            </w:r>
            <w:r>
              <w:rPr>
                <w:rFonts w:hint="eastAsia"/>
                <w:color w:val="auto"/>
                <w:spacing w:val="-38"/>
                <w:sz w:val="21"/>
                <w:szCs w:val="21"/>
              </w:rPr>
              <w:t xml:space="preserve"> </w:t>
            </w:r>
            <w:r>
              <w:rPr>
                <w:rFonts w:hint="eastAsia"/>
                <w:color w:val="auto"/>
                <w:spacing w:val="8"/>
                <w:sz w:val="21"/>
                <w:szCs w:val="21"/>
              </w:rPr>
              <w:t>六）承担单位和委外合作单位任务分工和经济技术指标及成果交付物分解表</w:t>
            </w:r>
          </w:p>
        </w:tc>
      </w:tr>
      <w:tr w14:paraId="2F2076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2215" w:type="dxa"/>
            <w:gridSpan w:val="2"/>
            <w:tcBorders>
              <w:bottom w:val="single" w:color="auto" w:sz="4" w:space="0"/>
            </w:tcBorders>
          </w:tcPr>
          <w:p w14:paraId="544F32B5">
            <w:pPr>
              <w:pStyle w:val="17"/>
              <w:spacing w:before="182" w:line="228" w:lineRule="auto"/>
              <w:jc w:val="center"/>
              <w:rPr>
                <w:rFonts w:hint="eastAsia"/>
                <w:color w:val="auto"/>
                <w:sz w:val="21"/>
                <w:szCs w:val="21"/>
              </w:rPr>
            </w:pPr>
            <w:r>
              <w:rPr>
                <w:rFonts w:hint="eastAsia"/>
                <w:color w:val="auto"/>
                <w:spacing w:val="6"/>
                <w:sz w:val="21"/>
                <w:szCs w:val="21"/>
              </w:rPr>
              <w:t>单位名称</w:t>
            </w:r>
          </w:p>
        </w:tc>
        <w:tc>
          <w:tcPr>
            <w:tcW w:w="2655" w:type="dxa"/>
            <w:tcBorders>
              <w:bottom w:val="single" w:color="auto" w:sz="4" w:space="0"/>
            </w:tcBorders>
          </w:tcPr>
          <w:p w14:paraId="0EE3490D">
            <w:pPr>
              <w:pStyle w:val="17"/>
              <w:spacing w:before="182" w:line="228" w:lineRule="auto"/>
              <w:ind w:left="779"/>
              <w:rPr>
                <w:rFonts w:hint="eastAsia"/>
                <w:color w:val="auto"/>
                <w:sz w:val="21"/>
                <w:szCs w:val="21"/>
              </w:rPr>
            </w:pPr>
            <w:r>
              <w:rPr>
                <w:rFonts w:hint="eastAsia"/>
                <w:color w:val="auto"/>
                <w:spacing w:val="7"/>
                <w:sz w:val="21"/>
                <w:szCs w:val="21"/>
              </w:rPr>
              <w:t>任务分工</w:t>
            </w:r>
          </w:p>
        </w:tc>
        <w:tc>
          <w:tcPr>
            <w:tcW w:w="2670" w:type="dxa"/>
          </w:tcPr>
          <w:p w14:paraId="319F8D12">
            <w:pPr>
              <w:pStyle w:val="17"/>
              <w:spacing w:before="182" w:line="228" w:lineRule="auto"/>
              <w:ind w:left="228"/>
              <w:rPr>
                <w:rFonts w:hint="eastAsia"/>
                <w:color w:val="auto"/>
                <w:sz w:val="21"/>
                <w:szCs w:val="21"/>
              </w:rPr>
            </w:pPr>
            <w:r>
              <w:rPr>
                <w:rFonts w:hint="eastAsia"/>
                <w:color w:val="auto"/>
                <w:spacing w:val="7"/>
                <w:sz w:val="21"/>
                <w:szCs w:val="21"/>
              </w:rPr>
              <w:t>经济技术指标</w:t>
            </w:r>
          </w:p>
        </w:tc>
        <w:tc>
          <w:tcPr>
            <w:tcW w:w="2136" w:type="dxa"/>
          </w:tcPr>
          <w:p w14:paraId="1B71B379">
            <w:pPr>
              <w:pStyle w:val="17"/>
              <w:spacing w:before="182" w:line="228" w:lineRule="auto"/>
              <w:ind w:left="316"/>
              <w:rPr>
                <w:rFonts w:hint="eastAsia"/>
                <w:color w:val="auto"/>
                <w:sz w:val="21"/>
                <w:szCs w:val="21"/>
              </w:rPr>
            </w:pPr>
            <w:r>
              <w:rPr>
                <w:rFonts w:hint="eastAsia"/>
                <w:color w:val="auto"/>
                <w:spacing w:val="7"/>
                <w:sz w:val="21"/>
                <w:szCs w:val="21"/>
              </w:rPr>
              <w:t>成果交付物</w:t>
            </w:r>
          </w:p>
        </w:tc>
      </w:tr>
      <w:tr w14:paraId="4C5C65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3" w:hRule="atLeast"/>
        </w:trPr>
        <w:tc>
          <w:tcPr>
            <w:tcW w:w="1045" w:type="dxa"/>
            <w:vMerge w:val="restart"/>
            <w:tcBorders>
              <w:top w:val="single" w:color="auto" w:sz="4" w:space="0"/>
              <w:left w:val="single" w:color="auto" w:sz="4" w:space="0"/>
              <w:right w:val="single" w:color="auto" w:sz="4" w:space="0"/>
            </w:tcBorders>
          </w:tcPr>
          <w:p w14:paraId="59CCB647">
            <w:pPr>
              <w:spacing w:line="286" w:lineRule="auto"/>
              <w:rPr>
                <w:rFonts w:hint="eastAsia"/>
                <w:color w:val="auto"/>
                <w:sz w:val="21"/>
                <w:szCs w:val="21"/>
              </w:rPr>
            </w:pPr>
          </w:p>
          <w:p w14:paraId="7AF8183E">
            <w:pPr>
              <w:spacing w:line="287" w:lineRule="auto"/>
              <w:rPr>
                <w:rFonts w:hint="eastAsia"/>
                <w:color w:val="auto"/>
                <w:sz w:val="21"/>
                <w:szCs w:val="21"/>
              </w:rPr>
            </w:pPr>
          </w:p>
          <w:p w14:paraId="4D953C35">
            <w:pPr>
              <w:spacing w:line="287" w:lineRule="auto"/>
              <w:rPr>
                <w:rFonts w:hint="eastAsia"/>
                <w:color w:val="auto"/>
                <w:sz w:val="21"/>
                <w:szCs w:val="21"/>
              </w:rPr>
            </w:pPr>
          </w:p>
          <w:p w14:paraId="3B5FD528">
            <w:pPr>
              <w:spacing w:line="287" w:lineRule="auto"/>
              <w:rPr>
                <w:rFonts w:hint="eastAsia"/>
                <w:color w:val="auto"/>
                <w:sz w:val="21"/>
                <w:szCs w:val="21"/>
              </w:rPr>
            </w:pPr>
          </w:p>
          <w:p w14:paraId="47550D85">
            <w:pPr>
              <w:pStyle w:val="17"/>
              <w:spacing w:before="65" w:line="254" w:lineRule="auto"/>
              <w:ind w:left="684" w:right="676" w:hanging="1"/>
              <w:rPr>
                <w:rFonts w:hint="eastAsia"/>
                <w:color w:val="auto"/>
                <w:sz w:val="21"/>
                <w:szCs w:val="21"/>
              </w:rPr>
            </w:pPr>
            <w:r>
              <w:rPr>
                <w:rFonts w:hint="eastAsia"/>
                <w:color w:val="auto"/>
                <w:spacing w:val="4"/>
                <w:sz w:val="21"/>
                <w:szCs w:val="21"/>
              </w:rPr>
              <w:t>承担</w:t>
            </w:r>
            <w:r>
              <w:rPr>
                <w:rFonts w:hint="eastAsia"/>
                <w:color w:val="auto"/>
                <w:spacing w:val="3"/>
                <w:sz w:val="21"/>
                <w:szCs w:val="21"/>
              </w:rPr>
              <w:t>单位</w:t>
            </w:r>
          </w:p>
        </w:tc>
        <w:tc>
          <w:tcPr>
            <w:tcW w:w="1170" w:type="dxa"/>
            <w:tcBorders>
              <w:top w:val="single" w:color="auto" w:sz="4" w:space="0"/>
              <w:left w:val="single" w:color="auto" w:sz="4" w:space="0"/>
              <w:bottom w:val="single" w:color="auto" w:sz="4" w:space="0"/>
              <w:right w:val="single" w:color="auto" w:sz="4" w:space="0"/>
            </w:tcBorders>
          </w:tcPr>
          <w:p w14:paraId="1535516E">
            <w:pPr>
              <w:pStyle w:val="17"/>
              <w:spacing w:before="182" w:line="219" w:lineRule="auto"/>
              <w:rPr>
                <w:rFonts w:hint="eastAsia"/>
                <w:color w:val="auto"/>
                <w:sz w:val="21"/>
                <w:szCs w:val="21"/>
                <w:lang w:eastAsia="zh-CN"/>
              </w:rPr>
            </w:pPr>
            <w:r>
              <w:rPr>
                <w:rFonts w:hint="eastAsia"/>
                <w:color w:val="auto"/>
                <w:spacing w:val="-2"/>
                <w:sz w:val="21"/>
                <w:szCs w:val="21"/>
                <w:lang w:eastAsia="zh-CN"/>
              </w:rPr>
              <w:t>中国烟草总公司湖北省公司信息中心</w:t>
            </w:r>
          </w:p>
        </w:tc>
        <w:tc>
          <w:tcPr>
            <w:tcW w:w="2655" w:type="dxa"/>
            <w:tcBorders>
              <w:top w:val="single" w:color="auto" w:sz="4" w:space="0"/>
              <w:left w:val="single" w:color="auto" w:sz="4" w:space="0"/>
              <w:bottom w:val="single" w:color="auto" w:sz="4" w:space="0"/>
              <w:right w:val="single" w:color="auto" w:sz="4" w:space="0"/>
            </w:tcBorders>
          </w:tcPr>
          <w:p w14:paraId="4235F2E3">
            <w:pPr>
              <w:rPr>
                <w:rFonts w:hint="eastAsia"/>
                <w:color w:val="auto"/>
                <w:sz w:val="21"/>
                <w:szCs w:val="21"/>
              </w:rPr>
            </w:pPr>
            <w:r>
              <w:rPr>
                <w:rFonts w:hint="eastAsia"/>
                <w:color w:val="auto"/>
                <w:sz w:val="21"/>
                <w:szCs w:val="21"/>
              </w:rPr>
              <w:t>负责项目总体管理与需求提出；</w:t>
            </w:r>
          </w:p>
          <w:p w14:paraId="4695F1B4">
            <w:pPr>
              <w:rPr>
                <w:rFonts w:hint="eastAsia"/>
                <w:color w:val="auto"/>
                <w:sz w:val="21"/>
                <w:szCs w:val="21"/>
              </w:rPr>
            </w:pPr>
            <w:r>
              <w:rPr>
                <w:rFonts w:hint="eastAsia"/>
                <w:color w:val="auto"/>
                <w:sz w:val="21"/>
                <w:szCs w:val="21"/>
              </w:rPr>
              <w:t>提供业务数据、制度流程与运维场景；</w:t>
            </w:r>
          </w:p>
          <w:p w14:paraId="71CCDCD7">
            <w:pPr>
              <w:rPr>
                <w:rFonts w:hint="eastAsia"/>
                <w:color w:val="auto"/>
                <w:sz w:val="21"/>
                <w:szCs w:val="21"/>
              </w:rPr>
            </w:pPr>
            <w:r>
              <w:rPr>
                <w:rFonts w:hint="eastAsia"/>
                <w:color w:val="auto"/>
                <w:sz w:val="21"/>
                <w:szCs w:val="21"/>
              </w:rPr>
              <w:t>参与知识体系设计与校核规则制定；</w:t>
            </w:r>
          </w:p>
          <w:p w14:paraId="6F0B1A53">
            <w:pPr>
              <w:rPr>
                <w:rFonts w:hint="eastAsia"/>
                <w:color w:val="auto"/>
                <w:sz w:val="21"/>
                <w:szCs w:val="21"/>
              </w:rPr>
            </w:pPr>
            <w:r>
              <w:rPr>
                <w:rFonts w:hint="eastAsia"/>
                <w:color w:val="auto"/>
                <w:sz w:val="21"/>
                <w:szCs w:val="21"/>
              </w:rPr>
              <w:t>完成应用测试、业务验证与成果验收；</w:t>
            </w:r>
          </w:p>
          <w:p w14:paraId="0FE36EE7">
            <w:pPr>
              <w:rPr>
                <w:rFonts w:hint="eastAsia"/>
                <w:color w:val="auto"/>
                <w:sz w:val="21"/>
                <w:szCs w:val="21"/>
              </w:rPr>
            </w:pPr>
            <w:r>
              <w:rPr>
                <w:rFonts w:hint="eastAsia"/>
                <w:color w:val="auto"/>
                <w:sz w:val="21"/>
                <w:szCs w:val="21"/>
              </w:rPr>
              <w:t>参与科研论文撰写与专利申请；</w:t>
            </w:r>
          </w:p>
          <w:p w14:paraId="2159DF5A">
            <w:pPr>
              <w:rPr>
                <w:rFonts w:hint="eastAsia"/>
                <w:color w:val="auto"/>
                <w:sz w:val="21"/>
                <w:szCs w:val="21"/>
              </w:rPr>
            </w:pPr>
            <w:r>
              <w:rPr>
                <w:rFonts w:hint="eastAsia"/>
                <w:color w:val="auto"/>
                <w:sz w:val="21"/>
                <w:szCs w:val="21"/>
              </w:rPr>
              <w:t>推动成果在实际业务中的落地应用。</w:t>
            </w:r>
          </w:p>
        </w:tc>
        <w:tc>
          <w:tcPr>
            <w:tcW w:w="2670" w:type="dxa"/>
            <w:tcBorders>
              <w:left w:val="single" w:color="auto" w:sz="4" w:space="0"/>
            </w:tcBorders>
          </w:tcPr>
          <w:p w14:paraId="5FC4BC02">
            <w:pPr>
              <w:rPr>
                <w:rFonts w:hint="eastAsia"/>
                <w:color w:val="auto"/>
                <w:sz w:val="21"/>
                <w:szCs w:val="21"/>
              </w:rPr>
            </w:pPr>
            <w:r>
              <w:rPr>
                <w:rFonts w:hint="eastAsia"/>
                <w:color w:val="auto"/>
                <w:sz w:val="21"/>
                <w:szCs w:val="21"/>
              </w:rPr>
              <w:t>知识构建：提供不少于 5个网信领域业务场景资料与制度规范；参与本体体系审核；</w:t>
            </w:r>
          </w:p>
          <w:p w14:paraId="373C31DB">
            <w:pPr>
              <w:rPr>
                <w:rFonts w:hint="eastAsia"/>
                <w:color w:val="auto"/>
                <w:sz w:val="21"/>
                <w:szCs w:val="21"/>
              </w:rPr>
            </w:pPr>
            <w:r>
              <w:rPr>
                <w:rFonts w:hint="eastAsia"/>
                <w:color w:val="auto"/>
                <w:sz w:val="21"/>
                <w:szCs w:val="21"/>
              </w:rPr>
              <w:t>语义解析：提供工单样本标注与业务知识支撑；</w:t>
            </w:r>
          </w:p>
          <w:p w14:paraId="3CC06AE3">
            <w:pPr>
              <w:rPr>
                <w:rFonts w:hint="eastAsia"/>
                <w:color w:val="auto"/>
                <w:sz w:val="21"/>
                <w:szCs w:val="21"/>
              </w:rPr>
            </w:pPr>
            <w:r>
              <w:rPr>
                <w:rFonts w:hint="eastAsia"/>
                <w:color w:val="auto"/>
                <w:sz w:val="21"/>
                <w:szCs w:val="21"/>
              </w:rPr>
              <w:t>审查能力：确定制度规则、流程规范与审查逻辑；</w:t>
            </w:r>
          </w:p>
          <w:p w14:paraId="45A79BDE">
            <w:pPr>
              <w:rPr>
                <w:rFonts w:hint="eastAsia"/>
                <w:color w:val="auto"/>
                <w:sz w:val="21"/>
                <w:szCs w:val="21"/>
              </w:rPr>
            </w:pPr>
            <w:r>
              <w:rPr>
                <w:rFonts w:hint="eastAsia"/>
                <w:color w:val="auto"/>
                <w:sz w:val="21"/>
                <w:szCs w:val="21"/>
              </w:rPr>
              <w:t>方法集成：完成业务测试、验收与上线测试。</w:t>
            </w:r>
          </w:p>
          <w:p w14:paraId="6E114615">
            <w:pPr>
              <w:rPr>
                <w:rFonts w:hint="eastAsia"/>
                <w:color w:val="auto"/>
                <w:sz w:val="21"/>
                <w:szCs w:val="21"/>
              </w:rPr>
            </w:pPr>
          </w:p>
        </w:tc>
        <w:tc>
          <w:tcPr>
            <w:tcW w:w="2136" w:type="dxa"/>
          </w:tcPr>
          <w:p w14:paraId="28DDEF5B">
            <w:pPr>
              <w:rPr>
                <w:rFonts w:hint="eastAsia"/>
                <w:color w:val="auto"/>
                <w:sz w:val="21"/>
                <w:szCs w:val="21"/>
              </w:rPr>
            </w:pPr>
            <w:r>
              <w:rPr>
                <w:rFonts w:hint="eastAsia"/>
                <w:color w:val="auto"/>
                <w:sz w:val="21"/>
                <w:szCs w:val="21"/>
              </w:rPr>
              <w:t>运维知识图谱体系：提供数据、制度、流程与业务知识校验；</w:t>
            </w:r>
          </w:p>
          <w:p w14:paraId="4C7AA319">
            <w:pPr>
              <w:rPr>
                <w:rFonts w:hint="eastAsia"/>
                <w:color w:val="auto"/>
                <w:sz w:val="21"/>
                <w:szCs w:val="21"/>
              </w:rPr>
            </w:pPr>
            <w:r>
              <w:rPr>
                <w:rFonts w:hint="eastAsia"/>
                <w:color w:val="auto"/>
                <w:sz w:val="21"/>
                <w:szCs w:val="21"/>
              </w:rPr>
              <w:t>工单语义理解模型：提供标注数据与业务校验；</w:t>
            </w:r>
          </w:p>
          <w:p w14:paraId="4194EE19">
            <w:pPr>
              <w:rPr>
                <w:rFonts w:hint="eastAsia"/>
                <w:color w:val="auto"/>
                <w:sz w:val="21"/>
                <w:szCs w:val="21"/>
              </w:rPr>
            </w:pPr>
            <w:r>
              <w:rPr>
                <w:rFonts w:hint="eastAsia"/>
                <w:color w:val="auto"/>
                <w:sz w:val="21"/>
                <w:szCs w:val="21"/>
              </w:rPr>
              <w:t>示范应用与测试报告：组织业务测试、编写应用报告；</w:t>
            </w:r>
          </w:p>
          <w:p w14:paraId="683191AF">
            <w:pPr>
              <w:rPr>
                <w:rFonts w:hint="eastAsia"/>
                <w:color w:val="auto"/>
                <w:sz w:val="21"/>
                <w:szCs w:val="21"/>
              </w:rPr>
            </w:pPr>
            <w:r>
              <w:rPr>
                <w:rFonts w:hint="eastAsia"/>
                <w:color w:val="auto"/>
                <w:sz w:val="21"/>
                <w:szCs w:val="21"/>
              </w:rPr>
              <w:t>科研成果：共同完成2篇论文与1项国家发明专利的技术内容撰写、实验数据处理与技术验证。</w:t>
            </w:r>
          </w:p>
          <w:p w14:paraId="5AD3C13C">
            <w:pPr>
              <w:pStyle w:val="10"/>
              <w:ind w:firstLine="0" w:firstLineChars="0"/>
              <w:rPr>
                <w:rFonts w:hint="eastAsia"/>
                <w:color w:val="auto"/>
                <w:sz w:val="21"/>
                <w:szCs w:val="21"/>
              </w:rPr>
            </w:pPr>
            <w:r>
              <w:rPr>
                <w:rFonts w:hint="eastAsia"/>
                <w:color w:val="auto"/>
              </w:rPr>
              <w:t>演示DEMO：验证原型功能，开展集成方案验证和测试。</w:t>
            </w:r>
          </w:p>
        </w:tc>
      </w:tr>
      <w:tr w14:paraId="2D5E8F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6" w:hRule="atLeast"/>
        </w:trPr>
        <w:tc>
          <w:tcPr>
            <w:tcW w:w="1045" w:type="dxa"/>
            <w:vMerge w:val="continue"/>
            <w:tcBorders>
              <w:left w:val="single" w:color="auto" w:sz="4" w:space="0"/>
              <w:right w:val="single" w:color="auto" w:sz="4" w:space="0"/>
            </w:tcBorders>
          </w:tcPr>
          <w:p w14:paraId="34F564B0">
            <w:pPr>
              <w:rPr>
                <w:rFonts w:hint="eastAsia"/>
                <w:color w:val="auto"/>
                <w:sz w:val="21"/>
                <w:szCs w:val="21"/>
              </w:rPr>
            </w:pPr>
          </w:p>
        </w:tc>
        <w:tc>
          <w:tcPr>
            <w:tcW w:w="1170" w:type="dxa"/>
            <w:tcBorders>
              <w:top w:val="single" w:color="auto" w:sz="4" w:space="0"/>
              <w:left w:val="single" w:color="auto" w:sz="4" w:space="0"/>
              <w:bottom w:val="single" w:color="auto" w:sz="4" w:space="0"/>
              <w:right w:val="single" w:color="auto" w:sz="4" w:space="0"/>
            </w:tcBorders>
          </w:tcPr>
          <w:p w14:paraId="3678F5FE">
            <w:pPr>
              <w:pStyle w:val="17"/>
              <w:spacing w:before="182" w:line="219" w:lineRule="auto"/>
              <w:rPr>
                <w:rFonts w:hint="eastAsia"/>
                <w:color w:val="auto"/>
                <w:sz w:val="21"/>
                <w:szCs w:val="21"/>
                <w:lang w:eastAsia="zh-CN"/>
              </w:rPr>
            </w:pPr>
            <w:r>
              <w:rPr>
                <w:rFonts w:hint="eastAsia"/>
                <w:color w:val="auto"/>
                <w:sz w:val="21"/>
                <w:szCs w:val="21"/>
                <w:lang w:eastAsia="zh-CN"/>
              </w:rPr>
              <w:t>湖北省公司黄冈市公司</w:t>
            </w:r>
          </w:p>
        </w:tc>
        <w:tc>
          <w:tcPr>
            <w:tcW w:w="2655" w:type="dxa"/>
            <w:tcBorders>
              <w:top w:val="single" w:color="auto" w:sz="4" w:space="0"/>
              <w:left w:val="single" w:color="auto" w:sz="4" w:space="0"/>
              <w:bottom w:val="single" w:color="auto" w:sz="4" w:space="0"/>
              <w:right w:val="single" w:color="auto" w:sz="4" w:space="0"/>
            </w:tcBorders>
          </w:tcPr>
          <w:p w14:paraId="1C3AB54D">
            <w:pPr>
              <w:rPr>
                <w:rFonts w:hint="eastAsia"/>
                <w:color w:val="auto"/>
                <w:sz w:val="21"/>
                <w:szCs w:val="21"/>
              </w:rPr>
            </w:pPr>
            <w:r>
              <w:rPr>
                <w:rFonts w:hint="eastAsia"/>
                <w:color w:val="auto"/>
                <w:sz w:val="21"/>
                <w:szCs w:val="21"/>
              </w:rPr>
              <w:t>负责根据项目需要，提供相关业务数据与运维场景；</w:t>
            </w:r>
          </w:p>
          <w:p w14:paraId="5D1A8222">
            <w:pPr>
              <w:pStyle w:val="10"/>
              <w:ind w:firstLine="0" w:firstLineChars="0"/>
              <w:rPr>
                <w:rFonts w:hint="eastAsia"/>
                <w:color w:val="auto"/>
              </w:rPr>
            </w:pPr>
            <w:r>
              <w:rPr>
                <w:rFonts w:hint="eastAsia"/>
                <w:color w:val="auto"/>
              </w:rPr>
              <w:t>参与</w:t>
            </w:r>
            <w:r>
              <w:rPr>
                <w:rFonts w:hint="eastAsia"/>
                <w:color w:val="auto"/>
                <w:sz w:val="21"/>
                <w:szCs w:val="21"/>
              </w:rPr>
              <w:t>知识体系设计与校核规则制定；</w:t>
            </w:r>
          </w:p>
          <w:p w14:paraId="69CE7B36">
            <w:pPr>
              <w:rPr>
                <w:rFonts w:hint="eastAsia"/>
                <w:color w:val="auto"/>
              </w:rPr>
            </w:pPr>
            <w:r>
              <w:rPr>
                <w:rFonts w:hint="eastAsia"/>
                <w:color w:val="auto"/>
                <w:sz w:val="21"/>
                <w:szCs w:val="21"/>
              </w:rPr>
              <w:t>协助完成应用测试与效果评估；</w:t>
            </w:r>
          </w:p>
          <w:p w14:paraId="36C5232C">
            <w:pPr>
              <w:rPr>
                <w:rFonts w:hint="eastAsia"/>
                <w:color w:val="auto"/>
                <w:sz w:val="21"/>
                <w:szCs w:val="21"/>
              </w:rPr>
            </w:pPr>
            <w:r>
              <w:rPr>
                <w:rFonts w:hint="eastAsia"/>
                <w:color w:val="auto"/>
                <w:sz w:val="21"/>
                <w:szCs w:val="21"/>
              </w:rPr>
              <w:t>参与并推动成果在实际业务中的实施验证和落地应用。</w:t>
            </w:r>
          </w:p>
        </w:tc>
        <w:tc>
          <w:tcPr>
            <w:tcW w:w="2670" w:type="dxa"/>
            <w:tcBorders>
              <w:left w:val="single" w:color="auto" w:sz="4" w:space="0"/>
            </w:tcBorders>
          </w:tcPr>
          <w:p w14:paraId="0E406A85">
            <w:pPr>
              <w:rPr>
                <w:rFonts w:hint="eastAsia"/>
                <w:color w:val="auto"/>
                <w:sz w:val="21"/>
                <w:szCs w:val="21"/>
              </w:rPr>
            </w:pPr>
            <w:r>
              <w:rPr>
                <w:rFonts w:hint="eastAsia"/>
                <w:color w:val="auto"/>
                <w:sz w:val="21"/>
                <w:szCs w:val="21"/>
              </w:rPr>
              <w:t>知识支撑：提供不少于2 项网信领域细分场景的实操案例与技术规范补充。</w:t>
            </w:r>
          </w:p>
          <w:p w14:paraId="5F22D1E5">
            <w:pPr>
              <w:rPr>
                <w:rFonts w:hint="eastAsia"/>
                <w:color w:val="auto"/>
                <w:sz w:val="21"/>
                <w:szCs w:val="21"/>
              </w:rPr>
            </w:pPr>
            <w:r>
              <w:rPr>
                <w:rFonts w:hint="eastAsia"/>
                <w:color w:val="auto"/>
                <w:sz w:val="21"/>
                <w:szCs w:val="21"/>
              </w:rPr>
              <w:t>协助审查：参与制度规则与审查逻辑的适用性验证，提出优化建议，完善审查标准体系。</w:t>
            </w:r>
          </w:p>
          <w:p w14:paraId="5E2391D2">
            <w:pPr>
              <w:pStyle w:val="10"/>
              <w:ind w:firstLine="0" w:firstLineChars="0"/>
              <w:rPr>
                <w:rFonts w:hint="eastAsia"/>
                <w:color w:val="auto"/>
              </w:rPr>
            </w:pPr>
            <w:r>
              <w:rPr>
                <w:rFonts w:hint="eastAsia"/>
                <w:color w:val="auto"/>
                <w:sz w:val="21"/>
                <w:szCs w:val="21"/>
              </w:rPr>
              <w:t>集成测试：参与跨环境兼容性测试，输出测试报告并完成问题整改。</w:t>
            </w:r>
          </w:p>
        </w:tc>
        <w:tc>
          <w:tcPr>
            <w:tcW w:w="2136" w:type="dxa"/>
          </w:tcPr>
          <w:p w14:paraId="69C36E89">
            <w:pPr>
              <w:rPr>
                <w:rFonts w:hint="eastAsia"/>
                <w:color w:val="auto"/>
                <w:sz w:val="21"/>
                <w:szCs w:val="21"/>
              </w:rPr>
            </w:pPr>
            <w:r>
              <w:rPr>
                <w:rFonts w:hint="eastAsia"/>
                <w:color w:val="auto"/>
                <w:sz w:val="21"/>
                <w:szCs w:val="21"/>
              </w:rPr>
              <w:t>运维知识图谱体系：提供细分场景数据补充与业务知识校核报告。</w:t>
            </w:r>
          </w:p>
          <w:p w14:paraId="6B33497D">
            <w:pPr>
              <w:pStyle w:val="10"/>
              <w:ind w:firstLine="0" w:firstLineChars="0"/>
              <w:rPr>
                <w:rFonts w:hint="eastAsia"/>
                <w:color w:val="auto"/>
                <w:sz w:val="21"/>
                <w:szCs w:val="21"/>
              </w:rPr>
            </w:pPr>
            <w:r>
              <w:rPr>
                <w:rFonts w:hint="eastAsia"/>
                <w:color w:val="auto"/>
                <w:sz w:val="21"/>
                <w:szCs w:val="21"/>
              </w:rPr>
              <w:t>工单语义理解模型：输出标注数据检验结果与适配优化建议。</w:t>
            </w:r>
          </w:p>
          <w:p w14:paraId="106CE779">
            <w:pPr>
              <w:rPr>
                <w:rFonts w:hint="eastAsia"/>
                <w:color w:val="auto"/>
              </w:rPr>
            </w:pPr>
            <w:r>
              <w:rPr>
                <w:rFonts w:hint="eastAsia"/>
                <w:color w:val="auto"/>
              </w:rPr>
              <w:t>科研成果支撑：提供论文实验数据补充与专利技术点验证。</w:t>
            </w:r>
          </w:p>
        </w:tc>
      </w:tr>
      <w:tr w14:paraId="0AB4D1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6" w:hRule="atLeast"/>
        </w:trPr>
        <w:tc>
          <w:tcPr>
            <w:tcW w:w="1045" w:type="dxa"/>
            <w:vMerge w:val="continue"/>
            <w:tcBorders>
              <w:left w:val="single" w:color="auto" w:sz="4" w:space="0"/>
              <w:bottom w:val="single" w:color="auto" w:sz="4" w:space="0"/>
              <w:right w:val="single" w:color="auto" w:sz="4" w:space="0"/>
            </w:tcBorders>
          </w:tcPr>
          <w:p w14:paraId="649A0D36">
            <w:pPr>
              <w:rPr>
                <w:rFonts w:hint="eastAsia"/>
                <w:color w:val="auto"/>
                <w:sz w:val="21"/>
                <w:szCs w:val="21"/>
              </w:rPr>
            </w:pPr>
          </w:p>
        </w:tc>
        <w:tc>
          <w:tcPr>
            <w:tcW w:w="1170" w:type="dxa"/>
            <w:tcBorders>
              <w:top w:val="single" w:color="auto" w:sz="4" w:space="0"/>
              <w:left w:val="single" w:color="auto" w:sz="4" w:space="0"/>
              <w:bottom w:val="single" w:color="auto" w:sz="4" w:space="0"/>
              <w:right w:val="single" w:color="auto" w:sz="4" w:space="0"/>
            </w:tcBorders>
          </w:tcPr>
          <w:p w14:paraId="305893B7">
            <w:pPr>
              <w:pStyle w:val="17"/>
              <w:spacing w:before="182" w:line="219" w:lineRule="auto"/>
              <w:rPr>
                <w:rFonts w:hint="eastAsia"/>
                <w:color w:val="auto"/>
                <w:sz w:val="21"/>
                <w:szCs w:val="21"/>
                <w:lang w:eastAsia="zh-CN"/>
              </w:rPr>
            </w:pPr>
            <w:r>
              <w:rPr>
                <w:rFonts w:hint="eastAsia"/>
                <w:color w:val="auto"/>
                <w:sz w:val="21"/>
                <w:szCs w:val="21"/>
                <w:lang w:eastAsia="zh-CN"/>
              </w:rPr>
              <w:t>湖北省公司随州市公司</w:t>
            </w:r>
          </w:p>
        </w:tc>
        <w:tc>
          <w:tcPr>
            <w:tcW w:w="2655" w:type="dxa"/>
            <w:tcBorders>
              <w:top w:val="single" w:color="auto" w:sz="4" w:space="0"/>
              <w:left w:val="single" w:color="auto" w:sz="4" w:space="0"/>
              <w:bottom w:val="single" w:color="auto" w:sz="4" w:space="0"/>
              <w:right w:val="single" w:color="auto" w:sz="4" w:space="0"/>
            </w:tcBorders>
          </w:tcPr>
          <w:p w14:paraId="269EC6E7">
            <w:pPr>
              <w:rPr>
                <w:rFonts w:hint="eastAsia"/>
                <w:color w:val="auto"/>
                <w:sz w:val="21"/>
                <w:szCs w:val="21"/>
              </w:rPr>
            </w:pPr>
            <w:r>
              <w:rPr>
                <w:rFonts w:hint="eastAsia"/>
                <w:color w:val="auto"/>
                <w:sz w:val="21"/>
                <w:szCs w:val="21"/>
              </w:rPr>
              <w:t>负责根据项目需要，提供相关业务数据与运维场景；</w:t>
            </w:r>
          </w:p>
          <w:p w14:paraId="03A50DBC">
            <w:pPr>
              <w:pStyle w:val="10"/>
              <w:ind w:firstLine="0" w:firstLineChars="0"/>
              <w:rPr>
                <w:rFonts w:hint="eastAsia"/>
                <w:color w:val="auto"/>
              </w:rPr>
            </w:pPr>
            <w:r>
              <w:rPr>
                <w:rFonts w:hint="eastAsia"/>
                <w:color w:val="auto"/>
              </w:rPr>
              <w:t>参与</w:t>
            </w:r>
            <w:r>
              <w:rPr>
                <w:rFonts w:hint="eastAsia"/>
                <w:color w:val="auto"/>
                <w:sz w:val="21"/>
                <w:szCs w:val="21"/>
              </w:rPr>
              <w:t>知识体系设计与校核规则制定；</w:t>
            </w:r>
          </w:p>
          <w:p w14:paraId="1D01B630">
            <w:pPr>
              <w:rPr>
                <w:rFonts w:hint="eastAsia"/>
                <w:color w:val="auto"/>
              </w:rPr>
            </w:pPr>
            <w:r>
              <w:rPr>
                <w:rFonts w:hint="eastAsia"/>
                <w:color w:val="auto"/>
                <w:sz w:val="21"/>
                <w:szCs w:val="21"/>
              </w:rPr>
              <w:t>协助完成应用测试与效果评估；</w:t>
            </w:r>
          </w:p>
          <w:p w14:paraId="39BEF33D">
            <w:pPr>
              <w:rPr>
                <w:rFonts w:hint="eastAsia"/>
                <w:color w:val="auto"/>
                <w:sz w:val="21"/>
                <w:szCs w:val="21"/>
              </w:rPr>
            </w:pPr>
            <w:r>
              <w:rPr>
                <w:rFonts w:hint="eastAsia"/>
                <w:color w:val="auto"/>
                <w:sz w:val="21"/>
                <w:szCs w:val="21"/>
              </w:rPr>
              <w:t>参与并推动成果在实际业务中的实施验证和落地应用。</w:t>
            </w:r>
          </w:p>
        </w:tc>
        <w:tc>
          <w:tcPr>
            <w:tcW w:w="2670" w:type="dxa"/>
            <w:tcBorders>
              <w:left w:val="single" w:color="auto" w:sz="4" w:space="0"/>
            </w:tcBorders>
          </w:tcPr>
          <w:p w14:paraId="14D47D2E">
            <w:pPr>
              <w:rPr>
                <w:rFonts w:hint="eastAsia"/>
                <w:color w:val="auto"/>
                <w:sz w:val="21"/>
                <w:szCs w:val="21"/>
              </w:rPr>
            </w:pPr>
            <w:r>
              <w:rPr>
                <w:rFonts w:hint="eastAsia"/>
                <w:color w:val="auto"/>
                <w:sz w:val="21"/>
                <w:szCs w:val="21"/>
              </w:rPr>
              <w:t>知识支撑：提供不少于2 项网信领域细分场景的实操案例与技术规范补充。</w:t>
            </w:r>
          </w:p>
          <w:p w14:paraId="21B80C52">
            <w:pPr>
              <w:rPr>
                <w:rFonts w:hint="eastAsia"/>
                <w:color w:val="auto"/>
                <w:sz w:val="21"/>
                <w:szCs w:val="21"/>
              </w:rPr>
            </w:pPr>
            <w:r>
              <w:rPr>
                <w:rFonts w:hint="eastAsia"/>
                <w:color w:val="auto"/>
                <w:sz w:val="21"/>
                <w:szCs w:val="21"/>
              </w:rPr>
              <w:t>协助审查：参与制度规则与审查逻辑的适用性验证，提出优化建议，完善审查标准体系。</w:t>
            </w:r>
          </w:p>
          <w:p w14:paraId="6914AF36">
            <w:pPr>
              <w:pStyle w:val="10"/>
              <w:ind w:firstLine="0" w:firstLineChars="0"/>
              <w:rPr>
                <w:rFonts w:hint="eastAsia"/>
                <w:color w:val="auto"/>
              </w:rPr>
            </w:pPr>
            <w:r>
              <w:rPr>
                <w:rFonts w:hint="eastAsia"/>
                <w:color w:val="auto"/>
                <w:sz w:val="21"/>
                <w:szCs w:val="21"/>
              </w:rPr>
              <w:t>集成测试：参与跨环境兼容性测试，输出测试报告并完成问题整改。</w:t>
            </w:r>
          </w:p>
        </w:tc>
        <w:tc>
          <w:tcPr>
            <w:tcW w:w="2136" w:type="dxa"/>
          </w:tcPr>
          <w:p w14:paraId="0F60F82A">
            <w:pPr>
              <w:rPr>
                <w:rFonts w:hint="eastAsia"/>
                <w:color w:val="auto"/>
                <w:sz w:val="21"/>
                <w:szCs w:val="21"/>
              </w:rPr>
            </w:pPr>
            <w:r>
              <w:rPr>
                <w:rFonts w:hint="eastAsia"/>
                <w:color w:val="auto"/>
                <w:sz w:val="21"/>
                <w:szCs w:val="21"/>
              </w:rPr>
              <w:t>运维知识图谱体系：提供细分场景数据补充与业务知识校核报告。</w:t>
            </w:r>
          </w:p>
          <w:p w14:paraId="69412675">
            <w:pPr>
              <w:pStyle w:val="10"/>
              <w:ind w:firstLine="0" w:firstLineChars="0"/>
              <w:rPr>
                <w:rFonts w:hint="eastAsia"/>
                <w:color w:val="auto"/>
                <w:sz w:val="21"/>
                <w:szCs w:val="21"/>
              </w:rPr>
            </w:pPr>
            <w:r>
              <w:rPr>
                <w:rFonts w:hint="eastAsia"/>
                <w:color w:val="auto"/>
                <w:sz w:val="21"/>
                <w:szCs w:val="21"/>
              </w:rPr>
              <w:t>工单语义理解模型：输出标注数据检验结果与适配优化建议。</w:t>
            </w:r>
          </w:p>
          <w:p w14:paraId="4730EA8D">
            <w:pPr>
              <w:rPr>
                <w:rFonts w:hint="eastAsia"/>
                <w:color w:val="auto"/>
              </w:rPr>
            </w:pPr>
            <w:r>
              <w:rPr>
                <w:rFonts w:hint="eastAsia"/>
                <w:color w:val="auto"/>
              </w:rPr>
              <w:t>科研成果支撑：提供论文实验数据补充与专利技术点验证。</w:t>
            </w:r>
          </w:p>
        </w:tc>
      </w:tr>
      <w:tr w14:paraId="42938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045" w:type="dxa"/>
            <w:vMerge w:val="restart"/>
            <w:tcBorders>
              <w:top w:val="single" w:color="auto" w:sz="4" w:space="0"/>
              <w:left w:val="single" w:color="auto" w:sz="4" w:space="0"/>
              <w:bottom w:val="single" w:color="auto" w:sz="4" w:space="0"/>
              <w:right w:val="single" w:color="auto" w:sz="4" w:space="0"/>
            </w:tcBorders>
          </w:tcPr>
          <w:p w14:paraId="446A818D">
            <w:pPr>
              <w:spacing w:line="347" w:lineRule="auto"/>
              <w:rPr>
                <w:rFonts w:hint="eastAsia"/>
                <w:color w:val="auto"/>
                <w:sz w:val="21"/>
                <w:szCs w:val="21"/>
              </w:rPr>
            </w:pPr>
          </w:p>
          <w:p w14:paraId="121FADF5">
            <w:pPr>
              <w:spacing w:line="347" w:lineRule="auto"/>
              <w:rPr>
                <w:rFonts w:hint="eastAsia"/>
                <w:color w:val="auto"/>
                <w:sz w:val="21"/>
                <w:szCs w:val="21"/>
              </w:rPr>
            </w:pPr>
          </w:p>
          <w:p w14:paraId="24F4CBCF">
            <w:pPr>
              <w:pStyle w:val="17"/>
              <w:spacing w:before="65" w:line="228" w:lineRule="auto"/>
              <w:ind w:left="262"/>
              <w:rPr>
                <w:rFonts w:hint="eastAsia"/>
                <w:color w:val="auto"/>
                <w:sz w:val="21"/>
                <w:szCs w:val="21"/>
              </w:rPr>
            </w:pPr>
            <w:r>
              <w:rPr>
                <w:rFonts w:hint="eastAsia"/>
                <w:color w:val="auto"/>
                <w:spacing w:val="8"/>
                <w:sz w:val="21"/>
                <w:szCs w:val="21"/>
              </w:rPr>
              <w:t>委外合作单位</w:t>
            </w:r>
          </w:p>
        </w:tc>
        <w:tc>
          <w:tcPr>
            <w:tcW w:w="1170" w:type="dxa"/>
            <w:tcBorders>
              <w:top w:val="single" w:color="auto" w:sz="4" w:space="0"/>
              <w:left w:val="single" w:color="auto" w:sz="4" w:space="0"/>
              <w:bottom w:val="single" w:color="auto" w:sz="4" w:space="0"/>
              <w:right w:val="single" w:color="auto" w:sz="4" w:space="0"/>
            </w:tcBorders>
          </w:tcPr>
          <w:p w14:paraId="3ADF5471">
            <w:pPr>
              <w:pStyle w:val="17"/>
              <w:spacing w:before="182" w:line="219" w:lineRule="auto"/>
              <w:rPr>
                <w:rFonts w:hint="eastAsia"/>
                <w:color w:val="auto"/>
                <w:sz w:val="21"/>
                <w:szCs w:val="21"/>
                <w:lang w:eastAsia="zh-CN"/>
              </w:rPr>
            </w:pPr>
            <w:r>
              <w:rPr>
                <w:rFonts w:hint="eastAsia"/>
                <w:color w:val="auto"/>
                <w:spacing w:val="-2"/>
                <w:sz w:val="21"/>
                <w:szCs w:val="21"/>
                <w:lang w:eastAsia="zh-CN"/>
              </w:rPr>
              <w:t>外协单位（比质比价，待定）</w:t>
            </w:r>
          </w:p>
        </w:tc>
        <w:tc>
          <w:tcPr>
            <w:tcW w:w="2655" w:type="dxa"/>
            <w:tcBorders>
              <w:top w:val="single" w:color="auto" w:sz="4" w:space="0"/>
              <w:left w:val="single" w:color="auto" w:sz="4" w:space="0"/>
              <w:bottom w:val="single" w:color="auto" w:sz="4" w:space="0"/>
              <w:right w:val="single" w:color="auto" w:sz="4" w:space="0"/>
            </w:tcBorders>
          </w:tcPr>
          <w:p w14:paraId="0322DD70">
            <w:pPr>
              <w:rPr>
                <w:rFonts w:hint="eastAsia"/>
                <w:color w:val="auto"/>
                <w:sz w:val="21"/>
                <w:szCs w:val="21"/>
              </w:rPr>
            </w:pPr>
            <w:r>
              <w:rPr>
                <w:rFonts w:hint="eastAsia"/>
                <w:color w:val="auto"/>
                <w:sz w:val="21"/>
                <w:szCs w:val="21"/>
              </w:rPr>
              <w:t>负责知识图谱构建、数据清洗治理、本体建模、实体消歧与关系抽取；</w:t>
            </w:r>
          </w:p>
          <w:p w14:paraId="46EEDCD1">
            <w:pPr>
              <w:rPr>
                <w:rFonts w:hint="eastAsia"/>
                <w:color w:val="auto"/>
                <w:sz w:val="21"/>
                <w:szCs w:val="21"/>
              </w:rPr>
            </w:pPr>
            <w:r>
              <w:rPr>
                <w:rFonts w:hint="eastAsia"/>
                <w:color w:val="auto"/>
                <w:sz w:val="21"/>
                <w:szCs w:val="21"/>
              </w:rPr>
              <w:t>负责工单语义理解模型、GraphRAG检索推理方法开发；</w:t>
            </w:r>
          </w:p>
          <w:p w14:paraId="3950B862">
            <w:pPr>
              <w:rPr>
                <w:rFonts w:hint="eastAsia"/>
                <w:color w:val="auto"/>
                <w:sz w:val="21"/>
                <w:szCs w:val="21"/>
              </w:rPr>
            </w:pPr>
            <w:r>
              <w:rPr>
                <w:rFonts w:hint="eastAsia"/>
                <w:color w:val="auto"/>
                <w:sz w:val="21"/>
                <w:szCs w:val="21"/>
              </w:rPr>
              <w:t>负责智能审查引擎研发、方法集成与性能优化；</w:t>
            </w:r>
          </w:p>
          <w:p w14:paraId="360BE759">
            <w:pPr>
              <w:rPr>
                <w:rFonts w:hint="eastAsia"/>
                <w:color w:val="auto"/>
                <w:sz w:val="21"/>
                <w:szCs w:val="21"/>
              </w:rPr>
            </w:pPr>
            <w:r>
              <w:rPr>
                <w:rFonts w:hint="eastAsia"/>
                <w:color w:val="auto"/>
                <w:sz w:val="21"/>
                <w:szCs w:val="21"/>
              </w:rPr>
              <w:t>支持技术文档、源代码；</w:t>
            </w:r>
          </w:p>
          <w:p w14:paraId="576C0CF3">
            <w:pPr>
              <w:rPr>
                <w:rFonts w:hint="eastAsia"/>
                <w:color w:val="auto"/>
                <w:sz w:val="21"/>
                <w:szCs w:val="21"/>
              </w:rPr>
            </w:pPr>
            <w:r>
              <w:rPr>
                <w:rFonts w:hint="eastAsia"/>
                <w:color w:val="auto"/>
                <w:sz w:val="21"/>
                <w:szCs w:val="21"/>
              </w:rPr>
              <w:t>参与科研论文撰写与专利技术实现。</w:t>
            </w:r>
          </w:p>
        </w:tc>
        <w:tc>
          <w:tcPr>
            <w:tcW w:w="2670" w:type="dxa"/>
            <w:tcBorders>
              <w:left w:val="single" w:color="auto" w:sz="4" w:space="0"/>
            </w:tcBorders>
          </w:tcPr>
          <w:p w14:paraId="0243C341">
            <w:pPr>
              <w:spacing w:line="276" w:lineRule="auto"/>
              <w:ind w:firstLine="0" w:firstLineChars="0"/>
              <w:rPr>
                <w:rFonts w:hint="eastAsia"/>
                <w:color w:val="auto"/>
                <w:sz w:val="21"/>
                <w:szCs w:val="21"/>
              </w:rPr>
            </w:pPr>
            <w:r>
              <w:rPr>
                <w:rFonts w:hint="eastAsia"/>
                <w:b/>
                <w:bCs/>
                <w:color w:val="auto"/>
                <w:sz w:val="21"/>
                <w:szCs w:val="21"/>
              </w:rPr>
              <w:t>知识图谱构建质量与规模指标：</w:t>
            </w:r>
            <w:r>
              <w:rPr>
                <w:rFonts w:hint="eastAsia"/>
                <w:b w:val="0"/>
                <w:bCs w:val="0"/>
                <w:color w:val="auto"/>
                <w:sz w:val="21"/>
                <w:szCs w:val="21"/>
              </w:rPr>
              <w:t>构</w:t>
            </w:r>
            <w:r>
              <w:rPr>
                <w:rFonts w:hint="eastAsia"/>
                <w:color w:val="auto"/>
                <w:sz w:val="21"/>
                <w:szCs w:val="21"/>
              </w:rPr>
              <w:t>建一个覆盖5个核心网信场景（</w:t>
            </w:r>
            <w:r>
              <w:rPr>
                <w:rFonts w:hint="eastAsia"/>
                <w:color w:val="auto"/>
                <w:sz w:val="21"/>
                <w:szCs w:val="21"/>
                <w:lang w:val="en-US" w:eastAsia="zh-CN"/>
              </w:rPr>
              <w:t>如</w:t>
            </w:r>
            <w:r>
              <w:rPr>
                <w:rFonts w:hint="eastAsia"/>
                <w:color w:val="auto"/>
                <w:sz w:val="21"/>
                <w:szCs w:val="21"/>
              </w:rPr>
              <w:t>硬件、系统、数据库、网络、安全</w:t>
            </w:r>
            <w:r>
              <w:rPr>
                <w:rFonts w:hint="eastAsia"/>
                <w:color w:val="auto"/>
                <w:sz w:val="21"/>
                <w:szCs w:val="21"/>
                <w:lang w:val="en-US" w:eastAsia="zh-CN"/>
              </w:rPr>
              <w:t>等</w:t>
            </w:r>
            <w:r>
              <w:rPr>
                <w:rFonts w:hint="eastAsia"/>
                <w:color w:val="auto"/>
                <w:sz w:val="21"/>
                <w:szCs w:val="21"/>
              </w:rPr>
              <w:t>）的统一运维知识图谱，实体规模不低于500个，核心关系规模不低于50条，核心实体属性填充完整度不低于9</w:t>
            </w:r>
            <w:r>
              <w:rPr>
                <w:rFonts w:hint="eastAsia"/>
                <w:color w:val="auto"/>
                <w:sz w:val="21"/>
                <w:szCs w:val="21"/>
                <w:lang w:val="en-US" w:eastAsia="zh-CN"/>
              </w:rPr>
              <w:t>0</w:t>
            </w:r>
            <w:r>
              <w:rPr>
                <w:rFonts w:hint="eastAsia"/>
                <w:color w:val="auto"/>
                <w:sz w:val="21"/>
                <w:szCs w:val="21"/>
              </w:rPr>
              <w:t>%。</w:t>
            </w:r>
          </w:p>
          <w:p w14:paraId="0AC1E714">
            <w:pPr>
              <w:spacing w:line="276" w:lineRule="auto"/>
              <w:ind w:firstLine="413" w:firstLineChars="196"/>
              <w:rPr>
                <w:rFonts w:hint="eastAsia"/>
                <w:color w:val="auto"/>
                <w:sz w:val="21"/>
                <w:szCs w:val="21"/>
              </w:rPr>
            </w:pPr>
            <w:r>
              <w:rPr>
                <w:rFonts w:hint="eastAsia"/>
                <w:b/>
                <w:bCs/>
                <w:color w:val="auto"/>
                <w:sz w:val="21"/>
                <w:szCs w:val="21"/>
              </w:rPr>
              <w:t>系统核心性能指标：</w:t>
            </w:r>
            <w:r>
              <w:rPr>
                <w:rFonts w:hint="eastAsia"/>
                <w:color w:val="auto"/>
                <w:sz w:val="21"/>
                <w:szCs w:val="21"/>
              </w:rPr>
              <w:t>工单智能审查系统对单次查询的混合检索平均响应时间不超过2秒。在专用测试集上，对工单规范性问题的自动识别召回率不低于80%。</w:t>
            </w:r>
          </w:p>
          <w:p w14:paraId="64ECAC81">
            <w:pPr>
              <w:spacing w:line="276" w:lineRule="auto"/>
              <w:ind w:firstLine="413" w:firstLineChars="196"/>
              <w:rPr>
                <w:rFonts w:hint="eastAsia"/>
                <w:color w:val="auto"/>
                <w:sz w:val="21"/>
                <w:szCs w:val="21"/>
              </w:rPr>
            </w:pPr>
            <w:r>
              <w:rPr>
                <w:rFonts w:hint="eastAsia"/>
                <w:b/>
                <w:bCs/>
                <w:color w:val="auto"/>
                <w:sz w:val="21"/>
                <w:szCs w:val="21"/>
              </w:rPr>
              <w:t>智能化与自动化能力指标：</w:t>
            </w:r>
            <w:r>
              <w:rPr>
                <w:rFonts w:hint="eastAsia"/>
                <w:color w:val="auto"/>
                <w:sz w:val="21"/>
                <w:szCs w:val="21"/>
              </w:rPr>
              <w:t>完成不少于50条核心运维规则的数字化与入库，实现规则覆盖场景下100%的自动审查触发，且所有结论均附带可追溯的推理路径说明。</w:t>
            </w:r>
          </w:p>
          <w:p w14:paraId="1B10D6CF">
            <w:pPr>
              <w:spacing w:line="276" w:lineRule="auto"/>
              <w:ind w:firstLine="413" w:firstLineChars="196"/>
              <w:rPr>
                <w:rFonts w:hint="eastAsia"/>
                <w:color w:val="auto"/>
                <w:sz w:val="21"/>
                <w:szCs w:val="21"/>
              </w:rPr>
            </w:pPr>
            <w:r>
              <w:rPr>
                <w:rFonts w:hint="eastAsia"/>
                <w:b/>
                <w:bCs/>
                <w:color w:val="auto"/>
                <w:sz w:val="21"/>
                <w:szCs w:val="21"/>
              </w:rPr>
              <w:t>成果固化与范式输出指标：</w:t>
            </w:r>
            <w:r>
              <w:rPr>
                <w:rFonts w:hint="eastAsia"/>
                <w:color w:val="auto"/>
                <w:sz w:val="21"/>
                <w:szCs w:val="21"/>
              </w:rPr>
              <w:t>形成一套完整的《运维工单智能校核与审查范式》方法论文档；完成1项发明专利的申请与2篇高水平学术论文的发表。</w:t>
            </w:r>
          </w:p>
          <w:p w14:paraId="61AFD7E3">
            <w:pPr>
              <w:rPr>
                <w:rFonts w:hint="eastAsia"/>
                <w:color w:val="auto"/>
                <w:sz w:val="21"/>
                <w:szCs w:val="21"/>
              </w:rPr>
            </w:pPr>
          </w:p>
        </w:tc>
        <w:tc>
          <w:tcPr>
            <w:tcW w:w="2136" w:type="dxa"/>
          </w:tcPr>
          <w:p w14:paraId="4150900F">
            <w:pPr>
              <w:keepNext w:val="0"/>
              <w:keepLines w:val="0"/>
              <w:widowControl/>
              <w:suppressLineNumbers w:val="0"/>
              <w:spacing w:before="0" w:beforeAutospacing="0" w:after="0" w:afterAutospacing="0" w:line="261" w:lineRule="auto"/>
              <w:ind w:left="0" w:right="0" w:firstLine="0" w:firstLineChars="0"/>
              <w:jc w:val="left"/>
              <w:rPr>
                <w:rFonts w:hint="eastAsia"/>
                <w:color w:val="auto"/>
                <w:spacing w:val="4"/>
                <w:sz w:val="21"/>
                <w:szCs w:val="21"/>
                <w:lang w:val="en-US" w:bidi="ar"/>
              </w:rPr>
            </w:pPr>
            <w:r>
              <w:rPr>
                <w:rFonts w:hint="eastAsia" w:ascii="宋体" w:hAnsi="宋体" w:eastAsia="宋体" w:cs="宋体"/>
                <w:b w:val="0"/>
                <w:bCs w:val="0"/>
                <w:color w:val="auto"/>
                <w:spacing w:val="4"/>
                <w:kern w:val="0"/>
                <w:sz w:val="21"/>
                <w:szCs w:val="21"/>
                <w:lang w:val="en-US" w:eastAsia="zh-CN" w:bidi="ar"/>
              </w:rPr>
              <w:t>（1）范式与规范文档</w:t>
            </w:r>
            <w:r>
              <w:rPr>
                <w:rFonts w:hint="eastAsia" w:ascii="宋体" w:hAnsi="宋体" w:eastAsia="宋体" w:cs="宋体"/>
                <w:color w:val="auto"/>
                <w:spacing w:val="4"/>
                <w:kern w:val="0"/>
                <w:sz w:val="21"/>
                <w:szCs w:val="21"/>
                <w:lang w:val="en-US" w:eastAsia="zh-CN" w:bidi="ar"/>
              </w:rPr>
              <w:t>：</w:t>
            </w:r>
          </w:p>
          <w:p w14:paraId="6EA112C7">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① 《</w:t>
            </w:r>
            <w:r>
              <w:rPr>
                <w:rFonts w:hint="eastAsia"/>
                <w:color w:val="auto"/>
                <w:sz w:val="21"/>
                <w:szCs w:val="21"/>
              </w:rPr>
              <w:t>运维工单智能校核与审查范式白皮书</w:t>
            </w:r>
            <w:r>
              <w:rPr>
                <w:rFonts w:hint="eastAsia" w:ascii="宋体" w:hAnsi="宋体" w:eastAsia="宋体" w:cs="宋体"/>
                <w:color w:val="auto"/>
                <w:spacing w:val="4"/>
                <w:kern w:val="0"/>
                <w:sz w:val="21"/>
                <w:szCs w:val="21"/>
                <w:lang w:val="en-US" w:eastAsia="zh-CN" w:bidi="ar"/>
              </w:rPr>
              <w:t>》</w:t>
            </w:r>
            <w:r>
              <w:rPr>
                <w:rFonts w:hint="eastAsia" w:cs="宋体"/>
                <w:color w:val="auto"/>
                <w:spacing w:val="4"/>
                <w:kern w:val="0"/>
                <w:sz w:val="21"/>
                <w:szCs w:val="21"/>
                <w:lang w:val="en-US" w:eastAsia="zh-CN" w:bidi="ar"/>
              </w:rPr>
              <w:t>V1.O</w:t>
            </w:r>
            <w:r>
              <w:rPr>
                <w:rFonts w:hint="eastAsia"/>
                <w:color w:val="auto"/>
                <w:sz w:val="21"/>
                <w:szCs w:val="21"/>
                <w:lang w:val="en-US" w:eastAsia="zh-CN"/>
              </w:rPr>
              <w:t>方法论文档</w:t>
            </w:r>
            <w:r>
              <w:rPr>
                <w:rFonts w:hint="eastAsia" w:ascii="宋体" w:hAnsi="宋体" w:eastAsia="宋体" w:cs="宋体"/>
                <w:color w:val="auto"/>
                <w:spacing w:val="4"/>
                <w:kern w:val="0"/>
                <w:sz w:val="21"/>
                <w:szCs w:val="21"/>
                <w:lang w:val="en-US" w:eastAsia="zh-CN" w:bidi="ar"/>
              </w:rPr>
              <w:t>；</w:t>
            </w:r>
          </w:p>
          <w:p w14:paraId="4A130B4D">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② 《湖北烟草网信运维知识图谱本体设计规范》V1.0；</w:t>
            </w:r>
          </w:p>
          <w:p w14:paraId="228E3500">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③ 《运维规则数字化转换指南》V1.0。</w:t>
            </w:r>
          </w:p>
          <w:p w14:paraId="579BA912">
            <w:pPr>
              <w:keepNext w:val="0"/>
              <w:keepLines w:val="0"/>
              <w:widowControl/>
              <w:suppressLineNumbers w:val="0"/>
              <w:spacing w:before="0" w:beforeAutospacing="0" w:after="0" w:afterAutospacing="0" w:line="261" w:lineRule="auto"/>
              <w:ind w:left="0" w:right="0" w:firstLine="436" w:firstLineChars="200"/>
              <w:jc w:val="left"/>
              <w:rPr>
                <w:rFonts w:hint="eastAsia"/>
                <w:color w:val="auto"/>
                <w:spacing w:val="4"/>
                <w:sz w:val="21"/>
                <w:szCs w:val="21"/>
                <w:lang w:val="en-US" w:bidi="ar"/>
              </w:rPr>
            </w:pPr>
            <w:r>
              <w:rPr>
                <w:rFonts w:hint="eastAsia" w:ascii="宋体" w:hAnsi="宋体" w:eastAsia="宋体" w:cs="宋体"/>
                <w:b w:val="0"/>
                <w:bCs w:val="0"/>
                <w:color w:val="auto"/>
                <w:spacing w:val="4"/>
                <w:kern w:val="0"/>
                <w:sz w:val="21"/>
                <w:szCs w:val="21"/>
                <w:lang w:val="en-US" w:eastAsia="zh-CN" w:bidi="ar"/>
              </w:rPr>
              <w:t>（2）软件与数据资产</w:t>
            </w:r>
            <w:r>
              <w:rPr>
                <w:rFonts w:hint="eastAsia" w:ascii="宋体" w:hAnsi="宋体" w:eastAsia="宋体" w:cs="宋体"/>
                <w:color w:val="auto"/>
                <w:spacing w:val="4"/>
                <w:kern w:val="0"/>
                <w:sz w:val="21"/>
                <w:szCs w:val="21"/>
                <w:lang w:val="en-US" w:eastAsia="zh-CN" w:bidi="ar"/>
              </w:rPr>
              <w:t>：</w:t>
            </w:r>
          </w:p>
          <w:p w14:paraId="6AE3F043">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④ “工单智能审查（湖北烟草网信智能运维）”演示系统可执行程序及全部源代码；</w:t>
            </w:r>
          </w:p>
          <w:p w14:paraId="43619FDE">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⑤ 运维知识图谱数据库文件；</w:t>
            </w:r>
          </w:p>
          <w:p w14:paraId="2804245C">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⑥ 领域优化的语义理解模型文件。</w:t>
            </w:r>
          </w:p>
          <w:p w14:paraId="40B4A7D2">
            <w:pPr>
              <w:keepNext w:val="0"/>
              <w:keepLines w:val="0"/>
              <w:widowControl/>
              <w:suppressLineNumbers w:val="0"/>
              <w:spacing w:before="0" w:beforeAutospacing="0" w:after="0" w:afterAutospacing="0" w:line="261" w:lineRule="auto"/>
              <w:ind w:left="0" w:right="0" w:firstLine="436" w:firstLineChars="200"/>
              <w:jc w:val="left"/>
              <w:rPr>
                <w:rFonts w:hint="eastAsia"/>
                <w:color w:val="auto"/>
                <w:spacing w:val="4"/>
                <w:sz w:val="21"/>
                <w:szCs w:val="21"/>
                <w:lang w:val="en-US" w:bidi="ar"/>
              </w:rPr>
            </w:pPr>
            <w:r>
              <w:rPr>
                <w:rFonts w:hint="eastAsia" w:ascii="宋体" w:hAnsi="宋体" w:eastAsia="宋体" w:cs="宋体"/>
                <w:b w:val="0"/>
                <w:bCs w:val="0"/>
                <w:color w:val="auto"/>
                <w:spacing w:val="4"/>
                <w:kern w:val="0"/>
                <w:sz w:val="21"/>
                <w:szCs w:val="21"/>
                <w:lang w:val="en-US" w:eastAsia="zh-CN" w:bidi="ar"/>
              </w:rPr>
              <w:t>（3）技术文档与报告</w:t>
            </w:r>
            <w:r>
              <w:rPr>
                <w:rFonts w:hint="eastAsia" w:ascii="宋体" w:hAnsi="宋体" w:eastAsia="宋体" w:cs="宋体"/>
                <w:color w:val="auto"/>
                <w:spacing w:val="4"/>
                <w:kern w:val="0"/>
                <w:sz w:val="21"/>
                <w:szCs w:val="21"/>
                <w:lang w:val="en-US" w:eastAsia="zh-CN" w:bidi="ar"/>
              </w:rPr>
              <w:t>：</w:t>
            </w:r>
          </w:p>
          <w:p w14:paraId="0E102520">
            <w:pPr>
              <w:keepNext w:val="0"/>
              <w:keepLines w:val="0"/>
              <w:widowControl/>
              <w:suppressLineNumbers w:val="0"/>
              <w:spacing w:before="0" w:beforeAutospacing="0" w:after="0" w:afterAutospacing="0" w:line="261" w:lineRule="auto"/>
              <w:ind w:left="0" w:right="0" w:firstLine="654" w:firstLineChars="300"/>
              <w:jc w:val="left"/>
              <w:rPr>
                <w:rFonts w:hint="eastAsia"/>
                <w:color w:val="auto"/>
                <w:spacing w:val="4"/>
                <w:sz w:val="21"/>
                <w:szCs w:val="21"/>
                <w:lang w:val="en-US" w:bidi="ar"/>
              </w:rPr>
            </w:pPr>
            <w:r>
              <w:rPr>
                <w:rFonts w:hint="eastAsia" w:ascii="宋体" w:hAnsi="宋体" w:eastAsia="宋体" w:cs="宋体"/>
                <w:color w:val="auto"/>
                <w:spacing w:val="4"/>
                <w:kern w:val="0"/>
                <w:sz w:val="21"/>
                <w:szCs w:val="21"/>
                <w:lang w:val="en-US" w:eastAsia="zh-CN" w:bidi="ar"/>
              </w:rPr>
              <w:t>⑦ 系统全套技术文档（设计、部署、用户、API手册）；</w:t>
            </w:r>
          </w:p>
          <w:p w14:paraId="0466BB0A">
            <w:pPr>
              <w:keepNext w:val="0"/>
              <w:keepLines w:val="0"/>
              <w:widowControl/>
              <w:suppressLineNumbers w:val="0"/>
              <w:spacing w:before="0" w:beforeAutospacing="0" w:after="0" w:afterAutospacing="0" w:line="261" w:lineRule="auto"/>
              <w:ind w:left="0" w:right="0" w:firstLine="654" w:firstLineChars="300"/>
              <w:jc w:val="left"/>
              <w:rPr>
                <w:rFonts w:hint="eastAsia" w:ascii="宋体" w:hAnsi="宋体" w:eastAsia="宋体" w:cs="宋体"/>
                <w:color w:val="auto"/>
                <w:spacing w:val="4"/>
                <w:kern w:val="0"/>
                <w:sz w:val="21"/>
                <w:szCs w:val="21"/>
                <w:lang w:val="en-US" w:eastAsia="zh-CN" w:bidi="ar"/>
              </w:rPr>
            </w:pPr>
            <w:r>
              <w:rPr>
                <w:rFonts w:hint="eastAsia" w:ascii="宋体" w:hAnsi="宋体" w:eastAsia="宋体" w:cs="宋体"/>
                <w:color w:val="auto"/>
                <w:spacing w:val="4"/>
                <w:kern w:val="0"/>
                <w:sz w:val="21"/>
                <w:szCs w:val="21"/>
                <w:lang w:val="en-US" w:eastAsia="zh-CN" w:bidi="ar"/>
              </w:rPr>
              <w:t>⑧ 覆盖不少于5个</w:t>
            </w:r>
            <w:r>
              <w:rPr>
                <w:rFonts w:hint="eastAsia" w:cs="宋体"/>
                <w:color w:val="auto"/>
                <w:spacing w:val="4"/>
                <w:kern w:val="0"/>
                <w:sz w:val="21"/>
                <w:szCs w:val="21"/>
                <w:lang w:val="en-US" w:eastAsia="zh-CN" w:bidi="ar"/>
              </w:rPr>
              <w:t>业务</w:t>
            </w:r>
            <w:r>
              <w:rPr>
                <w:rFonts w:hint="eastAsia" w:ascii="宋体" w:hAnsi="宋体" w:eastAsia="宋体" w:cs="宋体"/>
                <w:color w:val="auto"/>
                <w:spacing w:val="4"/>
                <w:kern w:val="0"/>
                <w:sz w:val="21"/>
                <w:szCs w:val="21"/>
                <w:lang w:val="en-US" w:eastAsia="zh-CN" w:bidi="ar"/>
              </w:rPr>
              <w:t>场景的《</w:t>
            </w:r>
            <w:r>
              <w:rPr>
                <w:rFonts w:hint="eastAsia"/>
                <w:b/>
                <w:bCs/>
                <w:color w:val="auto"/>
                <w:sz w:val="21"/>
                <w:szCs w:val="21"/>
              </w:rPr>
              <w:t>基于知识图谱的工单智能审查</w:t>
            </w:r>
            <w:r>
              <w:rPr>
                <w:rFonts w:hint="eastAsia" w:ascii="宋体" w:hAnsi="宋体" w:eastAsia="宋体" w:cs="宋体"/>
                <w:color w:val="auto"/>
                <w:spacing w:val="4"/>
                <w:kern w:val="0"/>
                <w:sz w:val="21"/>
                <w:szCs w:val="21"/>
                <w:lang w:val="en-US" w:eastAsia="zh-CN" w:bidi="ar"/>
              </w:rPr>
              <w:t>示范应用案例验证报告》。</w:t>
            </w:r>
          </w:p>
          <w:p w14:paraId="35D85F07">
            <w:pPr>
              <w:ind w:firstLineChars="0"/>
              <w:rPr>
                <w:rFonts w:hint="eastAsia"/>
                <w:color w:val="auto"/>
                <w:sz w:val="21"/>
                <w:szCs w:val="21"/>
              </w:rPr>
            </w:pPr>
          </w:p>
        </w:tc>
      </w:tr>
      <w:tr w14:paraId="752077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 w:hRule="atLeast"/>
        </w:trPr>
        <w:tc>
          <w:tcPr>
            <w:tcW w:w="1045" w:type="dxa"/>
            <w:vMerge w:val="continue"/>
            <w:tcBorders>
              <w:top w:val="single" w:color="auto" w:sz="4" w:space="0"/>
              <w:left w:val="single" w:color="auto" w:sz="4" w:space="0"/>
              <w:bottom w:val="nil"/>
            </w:tcBorders>
          </w:tcPr>
          <w:p w14:paraId="50FCF4B7">
            <w:pPr>
              <w:rPr>
                <w:rFonts w:hint="eastAsia"/>
                <w:color w:val="auto"/>
                <w:sz w:val="21"/>
                <w:szCs w:val="21"/>
              </w:rPr>
            </w:pPr>
          </w:p>
        </w:tc>
        <w:tc>
          <w:tcPr>
            <w:tcW w:w="1170" w:type="dxa"/>
            <w:tcBorders>
              <w:top w:val="single" w:color="auto" w:sz="4" w:space="0"/>
            </w:tcBorders>
          </w:tcPr>
          <w:p w14:paraId="4799A359">
            <w:pPr>
              <w:pStyle w:val="17"/>
              <w:spacing w:before="184" w:line="219" w:lineRule="auto"/>
              <w:ind w:left="838"/>
              <w:rPr>
                <w:rFonts w:hint="eastAsia"/>
                <w:color w:val="auto"/>
                <w:sz w:val="21"/>
                <w:szCs w:val="21"/>
                <w:lang w:eastAsia="zh-CN"/>
              </w:rPr>
            </w:pPr>
          </w:p>
        </w:tc>
        <w:tc>
          <w:tcPr>
            <w:tcW w:w="2655" w:type="dxa"/>
            <w:tcBorders>
              <w:top w:val="single" w:color="auto" w:sz="4" w:space="0"/>
            </w:tcBorders>
          </w:tcPr>
          <w:p w14:paraId="32A493BA">
            <w:pPr>
              <w:rPr>
                <w:rFonts w:hint="eastAsia"/>
                <w:color w:val="auto"/>
                <w:sz w:val="21"/>
                <w:szCs w:val="21"/>
              </w:rPr>
            </w:pPr>
          </w:p>
        </w:tc>
        <w:tc>
          <w:tcPr>
            <w:tcW w:w="2670" w:type="dxa"/>
          </w:tcPr>
          <w:p w14:paraId="6D05CDFB">
            <w:pPr>
              <w:rPr>
                <w:rFonts w:hint="eastAsia"/>
                <w:color w:val="auto"/>
                <w:sz w:val="21"/>
                <w:szCs w:val="21"/>
              </w:rPr>
            </w:pPr>
          </w:p>
        </w:tc>
        <w:tc>
          <w:tcPr>
            <w:tcW w:w="2136" w:type="dxa"/>
          </w:tcPr>
          <w:p w14:paraId="59564A31">
            <w:pPr>
              <w:rPr>
                <w:rFonts w:hint="eastAsia"/>
                <w:color w:val="auto"/>
                <w:sz w:val="21"/>
                <w:szCs w:val="21"/>
              </w:rPr>
            </w:pPr>
          </w:p>
        </w:tc>
      </w:tr>
    </w:tbl>
    <w:p w14:paraId="3AF7B6E4">
      <w:pPr>
        <w:spacing w:line="195" w:lineRule="exact"/>
        <w:rPr>
          <w:rFonts w:hint="eastAsia"/>
          <w:color w:val="auto"/>
          <w:sz w:val="17"/>
        </w:rPr>
      </w:pPr>
    </w:p>
    <w:p w14:paraId="470FF150">
      <w:pPr>
        <w:spacing w:line="195" w:lineRule="exact"/>
        <w:rPr>
          <w:rFonts w:hint="eastAsia"/>
          <w:color w:val="auto"/>
          <w:sz w:val="17"/>
          <w:szCs w:val="17"/>
        </w:rPr>
        <w:sectPr>
          <w:headerReference r:id="rId7" w:type="default"/>
          <w:footerReference r:id="rId8" w:type="default"/>
          <w:pgSz w:w="11910" w:h="16850"/>
          <w:pgMar w:top="1715" w:right="972" w:bottom="1055" w:left="1256" w:header="1393" w:footer="822" w:gutter="0"/>
          <w:cols w:space="720" w:num="1"/>
        </w:sectPr>
      </w:pPr>
    </w:p>
    <w:p w14:paraId="5F90A1AB">
      <w:pPr>
        <w:spacing w:line="120" w:lineRule="auto"/>
        <w:rPr>
          <w:rFonts w:hint="eastAsia"/>
          <w:color w:val="auto"/>
          <w:sz w:val="2"/>
        </w:rPr>
      </w:pPr>
    </w:p>
    <w:tbl>
      <w:tblPr>
        <w:tblStyle w:val="16"/>
        <w:tblW w:w="96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26"/>
      </w:tblGrid>
      <w:tr w14:paraId="02CF67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2" w:hRule="atLeast"/>
        </w:trPr>
        <w:tc>
          <w:tcPr>
            <w:tcW w:w="9626" w:type="dxa"/>
          </w:tcPr>
          <w:p w14:paraId="7F11D58B">
            <w:pPr>
              <w:spacing w:before="40" w:line="213" w:lineRule="auto"/>
              <w:ind w:left="20"/>
              <w:rPr>
                <w:rFonts w:hint="eastAsia" w:ascii="黑体" w:hAnsi="黑体" w:eastAsia="黑体" w:cs="黑体"/>
                <w:color w:val="auto"/>
                <w:sz w:val="24"/>
                <w:szCs w:val="24"/>
              </w:rPr>
            </w:pPr>
            <w:r>
              <w:rPr>
                <w:rFonts w:ascii="黑体" w:hAnsi="黑体" w:eastAsia="黑体" w:cs="黑体"/>
                <w:color w:val="auto"/>
                <w:sz w:val="24"/>
                <w:szCs w:val="24"/>
              </w:rPr>
              <w:t>九、项目内容摘要</w:t>
            </w:r>
            <w:r>
              <w:rPr>
                <w:rFonts w:ascii="黑体" w:hAnsi="黑体" w:eastAsia="黑体" w:cs="黑体"/>
                <w:color w:val="auto"/>
                <w:spacing w:val="-9"/>
                <w:sz w:val="24"/>
                <w:szCs w:val="24"/>
              </w:rPr>
              <w:t>（＜</w:t>
            </w:r>
            <w:r>
              <w:rPr>
                <w:rFonts w:ascii="黑体" w:hAnsi="黑体" w:eastAsia="黑体" w:cs="黑体"/>
                <w:color w:val="auto"/>
                <w:sz w:val="24"/>
                <w:szCs w:val="24"/>
              </w:rPr>
              <w:t>200字，阐明项目研究意义、目标、应用前景、经费）</w:t>
            </w:r>
          </w:p>
          <w:p w14:paraId="320C23A1">
            <w:pPr>
              <w:spacing w:line="276" w:lineRule="auto"/>
              <w:ind w:left="17" w:firstLine="420" w:firstLineChars="200"/>
              <w:rPr>
                <w:rFonts w:hint="eastAsia" w:ascii="仿宋_GB2312" w:hAnsi="仿宋_GB2312" w:eastAsia="仿宋_GB2312" w:cs="黑体"/>
                <w:color w:val="auto"/>
                <w:sz w:val="24"/>
                <w:szCs w:val="24"/>
              </w:rPr>
            </w:pPr>
            <w:r>
              <w:rPr>
                <w:rFonts w:hint="eastAsia"/>
                <w:color w:val="auto"/>
                <w:sz w:val="21"/>
                <w:szCs w:val="21"/>
              </w:rPr>
              <w:t>本项目针对湖北烟草商业系统网信战线在日常运维工作中面临的工单处理难题，研究基于知识图谱的工单语义校核与智能审查新范式。项目通过构建以工单为发起点，贯穿运维领域相关知识域的知识图谱（Graph）与知识库（RAG），融合形成GraphRAG方法，攻克运维</w:t>
            </w:r>
            <w:bookmarkStart w:id="1" w:name="_Hlk216068445"/>
            <w:r>
              <w:rPr>
                <w:rFonts w:hint="eastAsia"/>
                <w:color w:val="auto"/>
                <w:sz w:val="21"/>
                <w:szCs w:val="21"/>
              </w:rPr>
              <w:t>知识壁垒</w:t>
            </w:r>
            <w:bookmarkEnd w:id="1"/>
            <w:r>
              <w:rPr>
                <w:rFonts w:hint="eastAsia"/>
                <w:color w:val="auto"/>
                <w:sz w:val="21"/>
                <w:szCs w:val="21"/>
              </w:rPr>
              <w:t>、工单</w:t>
            </w:r>
            <w:bookmarkStart w:id="2" w:name="_Hlk216068460"/>
            <w:r>
              <w:rPr>
                <w:rFonts w:hint="eastAsia"/>
                <w:color w:val="auto"/>
                <w:sz w:val="21"/>
                <w:szCs w:val="21"/>
              </w:rPr>
              <w:t>语义鸿沟</w:t>
            </w:r>
            <w:bookmarkEnd w:id="2"/>
            <w:r>
              <w:rPr>
                <w:rFonts w:hint="eastAsia"/>
                <w:color w:val="auto"/>
                <w:sz w:val="21"/>
                <w:szCs w:val="21"/>
              </w:rPr>
              <w:t>及审查规则僵化三大瓶颈。研究成果将实现工单的自动化合规校核与智能推理，有效提升湖北烟草</w:t>
            </w:r>
            <w:bookmarkStart w:id="3" w:name="_Hlk216068310"/>
            <w:r>
              <w:rPr>
                <w:rFonts w:hint="eastAsia"/>
                <w:color w:val="auto"/>
                <w:sz w:val="21"/>
                <w:szCs w:val="21"/>
              </w:rPr>
              <w:t>在系统运维、设备运维、服务保障等方面的智能化水平</w:t>
            </w:r>
            <w:bookmarkEnd w:id="3"/>
            <w:r>
              <w:rPr>
                <w:rFonts w:hint="eastAsia"/>
                <w:color w:val="auto"/>
                <w:sz w:val="21"/>
                <w:szCs w:val="21"/>
              </w:rPr>
              <w:t>，为企业运维数字化转型及智能化创新探索一条可行路径。</w:t>
            </w:r>
          </w:p>
        </w:tc>
      </w:tr>
      <w:tr w14:paraId="4DA56F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7" w:hRule="atLeast"/>
        </w:trPr>
        <w:tc>
          <w:tcPr>
            <w:tcW w:w="9626" w:type="dxa"/>
          </w:tcPr>
          <w:p w14:paraId="760ADEA6">
            <w:pPr>
              <w:spacing w:before="37" w:line="213" w:lineRule="auto"/>
              <w:ind w:left="17"/>
              <w:rPr>
                <w:rFonts w:hint="eastAsia" w:ascii="黑体" w:hAnsi="黑体" w:eastAsia="黑体" w:cs="黑体"/>
                <w:color w:val="auto"/>
                <w:spacing w:val="-1"/>
                <w:sz w:val="24"/>
                <w:szCs w:val="24"/>
              </w:rPr>
            </w:pPr>
            <w:r>
              <w:rPr>
                <w:rFonts w:ascii="黑体" w:hAnsi="黑体" w:eastAsia="黑体" w:cs="黑体"/>
                <w:color w:val="auto"/>
                <w:spacing w:val="-1"/>
                <w:sz w:val="24"/>
                <w:szCs w:val="24"/>
              </w:rPr>
              <w:t>十、项目意义简述(重点阐述研究的必要性，解决当前存在的什么问题)</w:t>
            </w:r>
          </w:p>
          <w:p w14:paraId="76406574">
            <w:pPr>
              <w:spacing w:line="276" w:lineRule="auto"/>
              <w:ind w:firstLine="420" w:firstLineChars="200"/>
              <w:rPr>
                <w:rFonts w:hint="eastAsia" w:ascii="仿宋_GB2312" w:hAnsi="仿宋_GB2312" w:eastAsia="仿宋_GB2312" w:cs="黑体"/>
                <w:color w:val="auto"/>
                <w:sz w:val="24"/>
                <w:szCs w:val="24"/>
              </w:rPr>
            </w:pPr>
            <w:r>
              <w:rPr>
                <w:rFonts w:hint="eastAsia"/>
                <w:color w:val="auto"/>
                <w:sz w:val="21"/>
                <w:szCs w:val="21"/>
              </w:rPr>
              <w:t>在烟草行业一体化平台深度建设及信息化、数字化基础设施日益集中的背景下，全省系统网信运维体系（涵盖卷烟营销、烟叶生产、物流配送、专卖执法、云平台、大数据中心、各业务应用系统等）日趋复杂，工单作为运维工作闭环的核心载体，其处理效率、语义准确性与合规性直接关联企业生产经营的连续性、网信资产的安全性及管理流程的规范性。本项目研究聚焦网信领域的运维工单，就其当前面临人机协同机制不健全、知识资源利用低效（知识壁垒）、语义解析精度不足（语义鸿沟）、合规审查自动化程度低（规则僵化）、过度依赖第三方信息化公司的各类瓶颈，探索在省级商业企业网信领域运维管理规范化、标准化、智能化场景的数字化转型需求新形势下，提出建立智能化工单处理人机协同的新范式，并以此为基础探索全省系统运维数智化管理新模式。</w:t>
            </w:r>
          </w:p>
        </w:tc>
      </w:tr>
      <w:tr w14:paraId="74A8EE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40" w:hRule="atLeast"/>
        </w:trPr>
        <w:tc>
          <w:tcPr>
            <w:tcW w:w="9626" w:type="dxa"/>
          </w:tcPr>
          <w:p w14:paraId="7C78334F">
            <w:pPr>
              <w:spacing w:before="38" w:line="241" w:lineRule="auto"/>
              <w:ind w:left="18" w:right="53" w:hanging="1"/>
              <w:rPr>
                <w:rFonts w:hint="eastAsia" w:ascii="黑体" w:hAnsi="黑体" w:eastAsia="黑体" w:cs="黑体"/>
                <w:color w:val="auto"/>
                <w:spacing w:val="-1"/>
                <w:sz w:val="24"/>
                <w:szCs w:val="24"/>
              </w:rPr>
            </w:pPr>
            <w:r>
              <w:rPr>
                <w:rFonts w:ascii="黑体" w:hAnsi="黑体" w:eastAsia="黑体" w:cs="黑体"/>
                <w:color w:val="auto"/>
                <w:spacing w:val="-1"/>
                <w:sz w:val="24"/>
                <w:szCs w:val="24"/>
              </w:rPr>
              <w:t>十一、国内外同类研究现状与发展趋势（分析国内外或全省系统</w:t>
            </w:r>
            <w:r>
              <w:rPr>
                <w:rFonts w:ascii="黑体" w:hAnsi="黑体" w:eastAsia="黑体" w:cs="黑体"/>
                <w:color w:val="auto"/>
                <w:spacing w:val="-2"/>
                <w:sz w:val="24"/>
                <w:szCs w:val="24"/>
              </w:rPr>
              <w:t>同类研究现状与发展趋势、</w:t>
            </w:r>
            <w:r>
              <w:rPr>
                <w:rFonts w:ascii="黑体" w:hAnsi="黑体" w:eastAsia="黑体" w:cs="黑体"/>
                <w:color w:val="auto"/>
                <w:spacing w:val="-1"/>
                <w:sz w:val="24"/>
                <w:szCs w:val="24"/>
              </w:rPr>
              <w:t>是否响应支撑全省系统科技创新发展规划）</w:t>
            </w:r>
          </w:p>
          <w:p w14:paraId="1690EB9D">
            <w:pPr>
              <w:spacing w:line="440" w:lineRule="exact"/>
              <w:rPr>
                <w:rFonts w:hint="eastAsia"/>
                <w:b/>
                <w:bCs/>
                <w:color w:val="auto"/>
                <w:sz w:val="21"/>
                <w:szCs w:val="21"/>
              </w:rPr>
            </w:pPr>
            <w:r>
              <w:rPr>
                <w:rFonts w:hint="eastAsia"/>
                <w:b/>
                <w:bCs/>
                <w:color w:val="auto"/>
                <w:sz w:val="21"/>
                <w:szCs w:val="21"/>
              </w:rPr>
              <w:t>11.1 国内外同类研究现状</w:t>
            </w:r>
          </w:p>
          <w:p w14:paraId="0166DFD1">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随着信息系统规模持续扩大和业务运行复杂度不断提升，运维管理正从以人工经验和事后处置为主的传统方式，逐步向依托制度规范、数据支撑和智能辅助的精细化管理模式演进。在这一过程中，运维活动的规范执行、过程可追溯以及结果可审计，逐渐成为与效率提升同等重要的管理目标。工单作为连接运维执行、制度落实和管理评价的重要载体，其文本语义的规范性、完整性和一致性，直接影响运维管理的治理效果和风险防控能力。围绕如何提升工单语义质量、强化制度规则在运维执行层面的落地能力，国内外学术界和产业界从多个技术与方法方向开展了相关研究，形成了一定的研究基础和实践积累。</w:t>
            </w:r>
          </w:p>
          <w:p w14:paraId="53AFFC06">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从相关研究内容看，现有成果主要分布在知识建模与推理、工单智能处理以及审查与合规智能化等方向。在工业与运维领域，知识图谱作为结构化知识表示和推理的重要技术手段，已被广泛应用于设备管理和运维决策支持。相关研究普遍认为，知识图谱的核心价值在于通过统一的语义建模方式，实现跨设备、跨状态和跨处置行为的关联分析与推理支持。围绕工业设备结构、运行状态、维护行为与故障模式构建知识体系，国内外在钢铁、石化、电力等行业中已形成较为成熟的应用范式，研究结论表明，知识图谱有助于提升复杂运维问题处理的一致性和经验复用水平。</w:t>
            </w:r>
          </w:p>
          <w:p w14:paraId="056A9243">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在工单智能处理方向，现有研究主要集中于自然语言处理与信息抽取技术的应用，研究目标多聚焦于工单自动分类、优先级判断、关键要素抽取以及派单优化等问题。相关研究通过引入预训练语言模型和文本表示方法，在提高工单处理效率和降低人工成本方面取得了积极成效。在产业实践层面，不少运维系统已实现工单流程线上化和一定程度的智能辅助处理，为运维管理效率提升提供了技术支撑。</w:t>
            </w:r>
          </w:p>
          <w:p w14:paraId="0EF1C20A">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在审查与合规智能化方向，随着监管要求和制度复杂度不断提升，相关研究逐步从早期的规则匹配方法，向语义理解与推理相结合的技术路线演进。研究普遍指出，在强制度约束场景中，仅依赖统计模型难以满足对审查结论可解释性和可追溯性的要求，需要通过结构化知识表示和显式推理机制，对规则执行过程进行清晰刻画。现有成果主要集中于工程审查、合同审查和法规一致性校验等领域，为复杂规则条件下的智能审查提供了方法论参考。</w:t>
            </w:r>
          </w:p>
          <w:p w14:paraId="34FA8576">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总体来看，国内外在知识图谱、工单智能处理以及合规审查智能化等方面已形成较为丰富的研究成果和实践积累，为运维管理智能化提供了重要技术支撑。但相关研究在研究对象、研究重点和成果形态等方面，也呈现出较为明确的侧重点，其对工单语义质量与制度符合性问题的覆盖仍然有限。</w:t>
            </w:r>
          </w:p>
          <w:p w14:paraId="15759AE5">
            <w:pPr>
              <w:pStyle w:val="10"/>
              <w:ind w:firstLine="420"/>
              <w:rPr>
                <w:rFonts w:hint="eastAsia"/>
                <w:color w:val="auto"/>
                <w:sz w:val="21"/>
                <w:szCs w:val="21"/>
              </w:rPr>
            </w:pPr>
          </w:p>
          <w:p w14:paraId="1847197F">
            <w:pPr>
              <w:spacing w:line="440" w:lineRule="exact"/>
              <w:rPr>
                <w:rFonts w:hint="eastAsia"/>
                <w:b/>
                <w:bCs/>
                <w:color w:val="auto"/>
                <w:sz w:val="21"/>
                <w:szCs w:val="21"/>
              </w:rPr>
            </w:pPr>
            <w:r>
              <w:rPr>
                <w:rFonts w:hint="eastAsia"/>
                <w:b/>
                <w:bCs/>
                <w:color w:val="auto"/>
                <w:sz w:val="21"/>
                <w:szCs w:val="21"/>
              </w:rPr>
              <w:t>11.2 发展趋势及创新规划</w:t>
            </w:r>
          </w:p>
          <w:p w14:paraId="2AD70088">
            <w:pPr>
              <w:pStyle w:val="6"/>
              <w:rPr>
                <w:rFonts w:asciiTheme="minorHAnsi" w:hAnsiTheme="minorHAnsi" w:eastAsiaTheme="minorEastAsia" w:cstheme="minorBidi"/>
                <w:color w:val="auto"/>
                <w:szCs w:val="24"/>
                <w:lang w:val="zh-CN" w:eastAsia="zh-CN"/>
              </w:rPr>
            </w:pPr>
            <w:r>
              <w:rPr>
                <w:rFonts w:hint="eastAsia" w:asciiTheme="minorHAnsi" w:hAnsiTheme="minorHAnsi" w:eastAsiaTheme="minorEastAsia" w:cstheme="minorBidi"/>
                <w:b/>
                <w:bCs/>
                <w:color w:val="auto"/>
                <w:kern w:val="2"/>
                <w:sz w:val="21"/>
                <w:szCs w:val="24"/>
                <w:lang w:val="zh-CN" w:eastAsia="zh-CN"/>
              </w:rPr>
              <w:t>11.2.1 相关技术与方法的发展趋势</w:t>
            </w:r>
          </w:p>
          <w:p w14:paraId="180AD284">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综合国内外研究进展可以看出，围绕复杂业务文本与制度规则的智能处理技术，正在从以单一模型和局部任务为导向的研究范式，逐步向“多源知识融合、语义结构化表达与可解释推理”并重的方法体系演进。特别是在运维管理和合规要求较高的应用场景中，研究重点已不再局限于文本分类或要素抽取等基础任务，而是转向如何将非结构化文本转化为可计算、可推理、可审查的知识对象，以支撑更高层次的管理决策和制度执行。</w:t>
            </w:r>
          </w:p>
          <w:p w14:paraId="094935D0">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在知识建模层面，知识图谱技术正在由早期以静态本体构建和人工维护为主的阶段，向结合自动抽取、持续更新和多层语义约束的方向发展。相关研究逐步将业务术语、规则条款和行为描述纳入统一的知识表示框架，通过实体、关系和约束条件的协同建模，使知识图谱不仅能够描述“是什么”，还能够表达“应当如何”和“是否符合”。这一趋势为将制度规则和业务语义引入计算过程提供了技术基础，也为后续开展语义校核和合规推理创造了条件。</w:t>
            </w:r>
          </w:p>
          <w:p w14:paraId="662B5B7F">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在文本语义理解与结构化方面，研究重点正在从单纯依赖统计特征和向量表示，转向引入显式语义结构和领域知识约束。尽管预训练语言模型在文本理解能力上取得了显著进展，但在高合规、强制度约束场景中，其输出结果的稳定性、可解释性和一致性仍然面临挑战。因此，越来越多研究开始探索将知识图谱、规则约束与语言模型相结合的技术路线，通过在模型推理过程中引入结构化知识和规则条件，提升语义解析结果与制度语义的一致性。</w:t>
            </w:r>
          </w:p>
          <w:p w14:paraId="48E6CB26">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在审查与校核方法层面，技术发展正由简单的规则匹配或事后校验，向基于知识推理的全过程审查演进。相关研究强调，将制度条款和业务规范转化为可推理的知识规则，并在文本语义结构化结果的基础上开展一致性校核，可以显著提升审查结论的可解释性和可追溯性。这一技术路径逐渐成为工程审查、合同审查和合规检查等领域的重要发展方向，也为将工单语义纳入制度审查提供了可行方法。</w:t>
            </w:r>
          </w:p>
          <w:p w14:paraId="65013AD3">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总体来看，围绕“文本—知识—规则—推理”的技术融合，正在形成一条相对清晰的发展主线。如何在具体业务场景中，将工单文本、制度规则和领域知识进行统一建模，并通过语义推理实现自动校核和审查，已成为当前相关技术方法演进的重要方向。</w:t>
            </w:r>
          </w:p>
          <w:p w14:paraId="03C65643">
            <w:pPr>
              <w:pStyle w:val="6"/>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b/>
                <w:bCs/>
                <w:color w:val="auto"/>
                <w:kern w:val="2"/>
                <w:sz w:val="21"/>
                <w:szCs w:val="24"/>
                <w:lang w:val="zh-CN" w:eastAsia="zh-CN"/>
              </w:rPr>
              <w:t>11.2.2 现有研究的侧重点分析</w:t>
            </w:r>
          </w:p>
          <w:p w14:paraId="50099299">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在上述技术发展趋势背景下，现有研究在研究对象选择和方法应用上呈现出相对稳定但彼此分离的侧重点。首先，在知识图谱相关研究中，研究对象主要集中于设备、系统或业务实体本身，知识建模和推理逻辑多围绕“对象状态—异常表现—处置行为”展开。这类研究在支撑技术性运维决策方面具有显著优势，但其关注重点通常放在“如何描述事实”和“如何支持处置”，对制度规则和文本表达规范等管理语义的系统建模相对不足。</w:t>
            </w:r>
          </w:p>
          <w:p w14:paraId="2DE667DF">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其次，在工单智能处理研究中，方法选择多以自然语言处理模型为核心，研究目标集中在提升工单分类、派单和响应效率。工单文本在这一研究范式中主要被视为触发业务流程的输入信息，其语义质量通常被默认接受，较少被作为独立研究对象进行审查性分析。这使得相关研究在“是否处理得快、是否分配得准”方面取得了积极成效，但在支撑制度执行一致性和审计可追溯性方面能力有限。</w:t>
            </w:r>
          </w:p>
          <w:p w14:paraId="2CBCFEC1">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再次，在审查与合规智能化研究中，研究对象更多聚焦于制度文本、规范条款或合同内容本身，研究重点在于如何将规则形式化并开展一致性校验。这类研究在规则表达和推理机制方面积累了丰富方法，但其研究假设通常是被审查对象本身是规范文本，对于实际业务执行过程中产生的文本记录（如工单），关注相对较少。</w:t>
            </w:r>
          </w:p>
          <w:p w14:paraId="41C3D0AF">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从整体方法体系看，现有研究在技术路径上已分别覆盖了知识建模、语义理解和规则推理等关键环节，但在“工单作为制度执行记录，其语义质量如何进行系统校核和审查”这一问题上，尚未形成统一的研究对象定义和完整的方法框架。各类研究成果在方法层面具有互补性，但缺乏面向该交叉场景的系统整合。</w:t>
            </w:r>
          </w:p>
          <w:p w14:paraId="26F82B55">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在这一背景下，有必要进一步从方法融合和研究对象重构的角度，开展面向工单语义校核与审查的技术研究，将知识图谱、文本语义解析和规则推理等技术有机结合，形成适配高合规运维管理场景的系统化研究路径。</w:t>
            </w:r>
          </w:p>
          <w:p w14:paraId="6EAAD5A1">
            <w:pPr>
              <w:pStyle w:val="6"/>
              <w:rPr>
                <w:rFonts w:asciiTheme="minorHAnsi" w:hAnsiTheme="minorHAnsi" w:eastAsiaTheme="minorEastAsia" w:cstheme="minorBidi"/>
                <w:color w:val="auto"/>
                <w:szCs w:val="24"/>
                <w:lang w:val="zh-CN" w:eastAsia="zh-CN"/>
              </w:rPr>
            </w:pPr>
            <w:r>
              <w:rPr>
                <w:rFonts w:hint="eastAsia" w:asciiTheme="minorHAnsi" w:hAnsiTheme="minorHAnsi" w:eastAsiaTheme="minorEastAsia" w:cstheme="minorBidi"/>
                <w:b/>
                <w:bCs/>
                <w:color w:val="auto"/>
                <w:kern w:val="2"/>
                <w:sz w:val="21"/>
                <w:szCs w:val="24"/>
                <w:lang w:val="zh-CN" w:eastAsia="zh-CN"/>
              </w:rPr>
              <w:t>11.2.3 项目研究的必要性分析</w:t>
            </w:r>
          </w:p>
          <w:p w14:paraId="0FBE9E5D">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烟草行业制度约束强、流程规范要求高，工单不仅是运维任务的触发工具，更是制度执行、责任界定和管理评估的重要依据。工单文本中语义表达是否规范、要素是否完整、表述是否一致，直接影响制度规则在运维执行层面的落实效果。如果工单语义存在歧义、缺项或表达不规范，将对后续分析、审计和管理改进产生不利影响。</w:t>
            </w:r>
          </w:p>
          <w:p w14:paraId="635B070E">
            <w:pPr>
              <w:pStyle w:val="6"/>
              <w:ind w:firstLine="420"/>
              <w:rPr>
                <w:rFonts w:asciiTheme="minorHAnsi" w:hAnsiTheme="minorHAnsi" w:eastAsiaTheme="minorEastAsia" w:cstheme="minorBidi"/>
                <w:b/>
                <w:bCs/>
                <w:color w:val="auto"/>
                <w:szCs w:val="24"/>
                <w:lang w:val="zh-CN" w:eastAsia="zh-CN"/>
              </w:rPr>
            </w:pPr>
            <w:r>
              <w:rPr>
                <w:rFonts w:hint="eastAsia" w:asciiTheme="minorHAnsi" w:hAnsiTheme="minorHAnsi" w:eastAsiaTheme="minorEastAsia" w:cstheme="minorBidi"/>
                <w:color w:val="auto"/>
                <w:kern w:val="2"/>
                <w:sz w:val="21"/>
                <w:szCs w:val="24"/>
                <w:lang w:val="zh-CN" w:eastAsia="zh-CN"/>
              </w:rPr>
              <w:t>然而，现有研究和</w:t>
            </w:r>
            <w:r>
              <w:rPr>
                <w:rFonts w:hint="eastAsia" w:asciiTheme="minorHAnsi" w:hAnsiTheme="minorHAnsi" w:eastAsiaTheme="minorEastAsia" w:cstheme="minorBidi"/>
                <w:color w:val="auto"/>
                <w:kern w:val="2"/>
                <w:sz w:val="21"/>
                <w:szCs w:val="24"/>
                <w:lang w:eastAsia="zh-CN"/>
              </w:rPr>
              <w:t>业务</w:t>
            </w:r>
            <w:r>
              <w:rPr>
                <w:rFonts w:hint="eastAsia" w:asciiTheme="minorHAnsi" w:hAnsiTheme="minorHAnsi" w:eastAsiaTheme="minorEastAsia" w:cstheme="minorBidi"/>
                <w:color w:val="auto"/>
                <w:kern w:val="2"/>
                <w:sz w:val="21"/>
                <w:szCs w:val="24"/>
                <w:lang w:val="zh-CN" w:eastAsia="zh-CN"/>
              </w:rPr>
              <w:t>系统难以系统性回答工单文本是否符合制度语义要求、关键要素是否完整一致以及审查结论是否具备清晰证据链和可追溯路径等关键问题。因此，有必要在既有研究基础上，面向工单语义校核与审查范式开展系统研究，通过引入知识图谱和语义推理方法，将工单文本、制度规则和业务术语纳入统一的结构化建模和推理框架之中，使工单质量从依赖人工经验判断，转变为可计算、可校核、可复核的研究对象。</w:t>
            </w:r>
          </w:p>
          <w:p w14:paraId="76B7D92D">
            <w:pPr>
              <w:spacing w:line="276" w:lineRule="auto"/>
              <w:ind w:firstLine="420" w:firstLineChars="200"/>
              <w:rPr>
                <w:rFonts w:ascii="Times New Roman" w:hAnsi="Times New Roman" w:eastAsia="仿宋" w:cs="仿宋"/>
                <w:color w:val="auto"/>
                <w:sz w:val="24"/>
                <w:szCs w:val="24"/>
              </w:rPr>
            </w:pPr>
            <w:r>
              <w:rPr>
                <w:rFonts w:hint="eastAsia" w:asciiTheme="minorHAnsi" w:hAnsiTheme="minorHAnsi" w:eastAsiaTheme="minorEastAsia" w:cstheme="minorBidi"/>
                <w:color w:val="auto"/>
                <w:kern w:val="2"/>
                <w:sz w:val="21"/>
                <w:szCs w:val="24"/>
                <w:lang w:val="zh-CN"/>
              </w:rPr>
              <w:t>从研究体系完整性和实际应用需求看，该研究能够在研究对象和成果形态两个层面对现有研究形成有效补充，为烟草行业网信运维管理的规范化、智能化提供基础性技术和方法支撑，具有明确的现实必要性和应用价值。</w:t>
            </w:r>
          </w:p>
        </w:tc>
      </w:tr>
    </w:tbl>
    <w:p w14:paraId="47C2A715">
      <w:pPr>
        <w:rPr>
          <w:rFonts w:hint="eastAsia"/>
          <w:color w:val="auto"/>
        </w:rPr>
      </w:pPr>
    </w:p>
    <w:p w14:paraId="666E2C93">
      <w:pPr>
        <w:rPr>
          <w:rFonts w:hint="eastAsia"/>
          <w:color w:val="auto"/>
        </w:rPr>
        <w:sectPr>
          <w:headerReference r:id="rId9" w:type="default"/>
          <w:footerReference r:id="rId10" w:type="default"/>
          <w:pgSz w:w="11910" w:h="16850"/>
          <w:pgMar w:top="1715" w:right="997" w:bottom="1072" w:left="1281" w:header="1393" w:footer="837" w:gutter="0"/>
          <w:cols w:space="720" w:num="1"/>
        </w:sectPr>
      </w:pPr>
    </w:p>
    <w:p w14:paraId="6ED40BC4">
      <w:pPr>
        <w:spacing w:before="32"/>
        <w:rPr>
          <w:rFonts w:hint="eastAsia"/>
          <w:color w:val="auto"/>
        </w:rPr>
      </w:pPr>
    </w:p>
    <w:tbl>
      <w:tblPr>
        <w:tblStyle w:val="16"/>
        <w:tblW w:w="96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26"/>
      </w:tblGrid>
      <w:tr w14:paraId="1D96E3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05" w:hRule="atLeast"/>
        </w:trPr>
        <w:tc>
          <w:tcPr>
            <w:tcW w:w="9626" w:type="dxa"/>
          </w:tcPr>
          <w:p w14:paraId="76A7C0EB">
            <w:pPr>
              <w:spacing w:before="40" w:line="241" w:lineRule="auto"/>
              <w:ind w:left="16" w:right="53"/>
              <w:rPr>
                <w:rFonts w:hint="eastAsia" w:ascii="黑体" w:hAnsi="黑体" w:eastAsia="黑体" w:cs="黑体"/>
                <w:color w:val="auto"/>
                <w:spacing w:val="-2"/>
                <w:sz w:val="24"/>
                <w:szCs w:val="24"/>
              </w:rPr>
            </w:pPr>
            <w:r>
              <w:rPr>
                <w:rFonts w:ascii="黑体" w:hAnsi="黑体" w:eastAsia="黑体" w:cs="黑体"/>
                <w:color w:val="auto"/>
                <w:spacing w:val="-1"/>
                <w:sz w:val="24"/>
                <w:szCs w:val="24"/>
              </w:rPr>
              <w:t>十二、承担单位与项目内容有关的前期科研情况、现有基础条件</w:t>
            </w:r>
            <w:r>
              <w:rPr>
                <w:rFonts w:ascii="黑体" w:hAnsi="黑体" w:eastAsia="黑体" w:cs="黑体"/>
                <w:color w:val="auto"/>
                <w:spacing w:val="-2"/>
                <w:sz w:val="24"/>
                <w:szCs w:val="24"/>
              </w:rPr>
              <w:t>（含试验基地、仪器设备、试验手段、技术力量等）</w:t>
            </w:r>
          </w:p>
          <w:p w14:paraId="44EBA2D3">
            <w:pPr>
              <w:spacing w:before="40" w:line="276" w:lineRule="auto"/>
              <w:ind w:left="16" w:right="53" w:firstLine="420" w:firstLineChars="200"/>
              <w:rPr>
                <w:rFonts w:hint="eastAsia"/>
                <w:color w:val="auto"/>
                <w:kern w:val="2"/>
                <w:sz w:val="21"/>
                <w:szCs w:val="21"/>
              </w:rPr>
            </w:pPr>
            <w:r>
              <w:rPr>
                <w:rFonts w:hint="eastAsia"/>
                <w:color w:val="auto"/>
                <w:kern w:val="2"/>
                <w:sz w:val="21"/>
                <w:szCs w:val="21"/>
              </w:rPr>
              <w:t>近年来，湖北省局（公司）信息中心主持开展多项科技创新项目研究，其中《可信云数据库关键技术及典型应用》项目获得2024年湖北省科技进步奖三等奖，具有稳定的多学科、多领域科研团队和研究场所，能较好地完成科研项目拟定内容的实力。</w:t>
            </w:r>
          </w:p>
          <w:p w14:paraId="0B982808">
            <w:pPr>
              <w:pStyle w:val="10"/>
              <w:rPr>
                <w:rFonts w:hint="eastAsia"/>
                <w:color w:val="auto"/>
              </w:rPr>
            </w:pPr>
            <w:r>
              <w:rPr>
                <w:color w:val="auto"/>
              </w:rPr>
              <w:t>黄冈市局（公司）</w:t>
            </w:r>
            <w:r>
              <w:rPr>
                <w:rFonts w:hint="eastAsia"/>
                <w:color w:val="auto"/>
              </w:rPr>
              <w:t>近年来</w:t>
            </w:r>
            <w:r>
              <w:rPr>
                <w:color w:val="auto"/>
              </w:rPr>
              <w:t>开展多项科技创新项目研究，其中《基于基层“两员”职能调整背景下的信息协同机制与平台应用研究》项目获得2022年省局（公司）科学技术进步奖二等奖，形成了一系列成果：获得发明专利1项，登记软件著作权15项，发表学术论文12篇，主导了3项标准制定工作。</w:t>
            </w:r>
          </w:p>
          <w:p w14:paraId="6866887F">
            <w:pPr>
              <w:pStyle w:val="10"/>
              <w:rPr>
                <w:rFonts w:hint="eastAsia"/>
                <w:color w:val="auto"/>
              </w:rPr>
            </w:pPr>
            <w:r>
              <w:rPr>
                <w:rFonts w:hint="eastAsia"/>
                <w:color w:val="auto"/>
              </w:rPr>
              <w:t>随州</w:t>
            </w:r>
            <w:r>
              <w:rPr>
                <w:color w:val="auto"/>
              </w:rPr>
              <w:t>市局（公司）</w:t>
            </w:r>
            <w:r>
              <w:rPr>
                <w:rFonts w:hint="eastAsia"/>
                <w:color w:val="auto"/>
              </w:rPr>
              <w:t>近年来组织开展多项科技创新项目研究，</w:t>
            </w:r>
            <w:r>
              <w:rPr>
                <w:color w:val="auto"/>
              </w:rPr>
              <w:t>其中《烟草物流供应链多维成本管控体系建构与应用》项目荣获省局（公司）2021年度科学技术进步奖三等奖，获得发明专利2项、登记软件著作权100余项，发表期刊论文5篇，牵头承担省公司信息化标准编写5项。建成“互联网+”创新工作室</w:t>
            </w:r>
            <w:r>
              <w:rPr>
                <w:rFonts w:hint="eastAsia"/>
                <w:color w:val="auto"/>
              </w:rPr>
              <w:t>1</w:t>
            </w:r>
            <w:r>
              <w:rPr>
                <w:color w:val="auto"/>
              </w:rPr>
              <w:t>个、省公司科技创新转化团队1个、技能大师工作室2个，</w:t>
            </w:r>
            <w:r>
              <w:rPr>
                <w:rFonts w:hint="eastAsia"/>
                <w:color w:val="auto"/>
              </w:rPr>
              <w:t>2人入围全省系统科技创新青年托举人才工程</w:t>
            </w:r>
            <w:r>
              <w:rPr>
                <w:color w:val="auto"/>
              </w:rPr>
              <w:t>。</w:t>
            </w:r>
          </w:p>
        </w:tc>
      </w:tr>
      <w:tr w14:paraId="10EF2D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9" w:hRule="atLeast"/>
        </w:trPr>
        <w:tc>
          <w:tcPr>
            <w:tcW w:w="9626" w:type="dxa"/>
          </w:tcPr>
          <w:p w14:paraId="1E4F3DAA">
            <w:pPr>
              <w:spacing w:before="38" w:line="237" w:lineRule="auto"/>
              <w:ind w:left="23" w:right="16" w:hanging="6"/>
              <w:rPr>
                <w:rFonts w:hint="eastAsia" w:ascii="黑体" w:hAnsi="黑体" w:eastAsia="黑体" w:cs="黑体"/>
                <w:color w:val="auto"/>
                <w:spacing w:val="-1"/>
                <w:sz w:val="24"/>
                <w:szCs w:val="24"/>
              </w:rPr>
            </w:pPr>
            <w:r>
              <w:rPr>
                <w:rFonts w:ascii="黑体" w:hAnsi="黑体" w:eastAsia="黑体" w:cs="黑体"/>
                <w:color w:val="auto"/>
                <w:sz w:val="24"/>
                <w:szCs w:val="24"/>
              </w:rPr>
              <w:t>十三、主要研究内容（针对需要解决的问题和目标导向，分</w:t>
            </w:r>
            <w:r>
              <w:rPr>
                <w:rFonts w:ascii="黑体" w:hAnsi="黑体" w:eastAsia="黑体" w:cs="黑体"/>
                <w:color w:val="auto"/>
                <w:spacing w:val="-1"/>
                <w:sz w:val="24"/>
                <w:szCs w:val="24"/>
              </w:rPr>
              <w:t>解细化项目研究任务，须含技术关键；采用的研究、试验方法，技术路线或工艺流程）</w:t>
            </w:r>
          </w:p>
          <w:p w14:paraId="0E27958A">
            <w:pPr>
              <w:pStyle w:val="3"/>
              <w:rPr>
                <w:rFonts w:ascii="Times New Roman" w:hAnsi="Times New Roman"/>
                <w:color w:val="auto"/>
              </w:rPr>
            </w:pPr>
            <w:bookmarkStart w:id="4" w:name="OLE_LINK3"/>
            <w:r>
              <w:rPr>
                <w:rFonts w:hint="eastAsia" w:ascii="Times New Roman" w:hAnsi="Times New Roman"/>
                <w:color w:val="auto"/>
              </w:rPr>
              <w:t>13.1 需要解决的问题和目标导向</w:t>
            </w:r>
          </w:p>
          <w:bookmarkEnd w:id="4"/>
          <w:p w14:paraId="558EA427">
            <w:pPr>
              <w:spacing w:before="40" w:line="276" w:lineRule="auto"/>
              <w:ind w:left="16" w:right="53" w:firstLine="420" w:firstLineChars="200"/>
              <w:rPr>
                <w:rFonts w:ascii="Times New Roman" w:hAnsi="Times New Roman" w:eastAsia="仿宋" w:cs="仿宋"/>
                <w:color w:val="auto"/>
                <w:sz w:val="24"/>
              </w:rPr>
            </w:pPr>
            <w:r>
              <w:rPr>
                <w:rFonts w:hint="eastAsia"/>
                <w:color w:val="auto"/>
                <w:kern w:val="2"/>
                <w:sz w:val="21"/>
                <w:szCs w:val="21"/>
              </w:rPr>
              <w:t>本项目针对湖北烟草网信领域在运维管理工作中面临的三大核心难题：知识壁垒（运维知识分散在人员、文档和系统中，呈非结构化状态）、语义鸿沟（工单文本描述质量不一，与监控事件、业务场景存在语义隔阂）、规则僵局（运维管理制度难以转化为可执行的自动化审查规则）。研究目标是通过构建“知识图谱+知识库”的GraphRAG方法，实现工单的自动化合规校核与智能推理，有效提升湖北烟草在信息化系统运维方面，特别是工单处理的智能化管理水平，适时推广到各关键业务领域。</w:t>
            </w:r>
          </w:p>
          <w:p w14:paraId="16E1EB9F">
            <w:pPr>
              <w:pStyle w:val="3"/>
              <w:rPr>
                <w:rFonts w:ascii="Times New Roman" w:hAnsi="Times New Roman"/>
                <w:color w:val="auto"/>
              </w:rPr>
            </w:pPr>
            <w:r>
              <w:rPr>
                <w:rFonts w:hint="eastAsia" w:ascii="Times New Roman" w:hAnsi="Times New Roman"/>
                <w:color w:val="auto"/>
              </w:rPr>
              <w:t>13.2 任务分解与关键技术</w:t>
            </w:r>
          </w:p>
          <w:p w14:paraId="67520DCB">
            <w:pPr>
              <w:spacing w:line="276" w:lineRule="auto"/>
              <w:ind w:firstLine="413" w:firstLineChars="196"/>
              <w:rPr>
                <w:rFonts w:hint="eastAsia"/>
                <w:b/>
                <w:bCs/>
                <w:color w:val="auto"/>
                <w:sz w:val="21"/>
                <w:szCs w:val="21"/>
              </w:rPr>
            </w:pPr>
            <w:r>
              <w:rPr>
                <w:rFonts w:hint="eastAsia"/>
                <w:b/>
                <w:bCs/>
                <w:color w:val="auto"/>
                <w:sz w:val="21"/>
                <w:szCs w:val="21"/>
              </w:rPr>
              <w:t>研究任务1：面向运维领域的“知识-数据”混合驱动图谱构建与演化方法</w:t>
            </w:r>
          </w:p>
          <w:p w14:paraId="4B5C29B0">
            <w:pPr>
              <w:spacing w:line="276" w:lineRule="auto"/>
              <w:ind w:firstLine="413" w:firstLineChars="196"/>
              <w:rPr>
                <w:rFonts w:hint="eastAsia"/>
                <w:color w:val="auto"/>
                <w:sz w:val="21"/>
                <w:szCs w:val="21"/>
              </w:rPr>
            </w:pPr>
            <w:r>
              <w:rPr>
                <w:rFonts w:hint="eastAsia"/>
                <w:b/>
                <w:bCs/>
                <w:color w:val="auto"/>
                <w:sz w:val="21"/>
                <w:szCs w:val="21"/>
              </w:rPr>
              <w:t>（1）多源数据采集与预处理</w:t>
            </w:r>
            <w:r>
              <w:rPr>
                <w:rFonts w:hint="eastAsia"/>
                <w:color w:val="auto"/>
                <w:sz w:val="21"/>
                <w:szCs w:val="21"/>
              </w:rPr>
              <w:t>：从湖北烟草相关业务系统采集结构化数据（设备台账、工单记录、资产信息、系统/平台信息等）；从运维文档、故障报告、操作手册中提取半结构化和非结构化数据；数据清洗与格式标准化，建立统一的数据接入规范。该子任务中涉及的关键技术为结合规则匹配（处理专业术语）和深度学习模型（处理模糊语义）的混合抽取策略。</w:t>
            </w:r>
          </w:p>
          <w:p w14:paraId="5AFF0925">
            <w:pPr>
              <w:spacing w:line="276" w:lineRule="auto"/>
              <w:ind w:firstLine="413" w:firstLineChars="196"/>
              <w:rPr>
                <w:rFonts w:hint="eastAsia"/>
                <w:color w:val="auto"/>
                <w:sz w:val="21"/>
                <w:szCs w:val="21"/>
              </w:rPr>
            </w:pPr>
            <w:r>
              <w:rPr>
                <w:rFonts w:hint="eastAsia"/>
                <w:b/>
                <w:bCs/>
                <w:color w:val="auto"/>
                <w:sz w:val="21"/>
                <w:szCs w:val="21"/>
              </w:rPr>
              <w:t>（2）本体设计与知识抽取</w:t>
            </w:r>
            <w:r>
              <w:rPr>
                <w:rFonts w:hint="eastAsia"/>
                <w:color w:val="auto"/>
                <w:sz w:val="21"/>
                <w:szCs w:val="21"/>
              </w:rPr>
              <w:t>：基于OWL（Web Ontology Language）本体语言定义烟草运维领域本体，明确“资产-告警-流程-人员”等实体关系；采用“规则抽取+机器学习”抽取混合策略：规则抽取处理格式固定的关系（如设备型号/系统编号、故障代码），机器学习抽取处理复杂语义关系（如从故障描述中提取“设备/系统-故障-影响”关联）。该子任务中涉及的关键技术为基于相似度计算和上下文语义理解的实体消歧算法。</w:t>
            </w:r>
          </w:p>
          <w:p w14:paraId="6BA0F216">
            <w:pPr>
              <w:spacing w:line="276" w:lineRule="auto"/>
              <w:ind w:firstLine="413" w:firstLineChars="196"/>
              <w:rPr>
                <w:rFonts w:hint="eastAsia"/>
                <w:color w:val="auto"/>
                <w:sz w:val="21"/>
                <w:szCs w:val="21"/>
              </w:rPr>
            </w:pPr>
            <w:r>
              <w:rPr>
                <w:rFonts w:hint="eastAsia"/>
                <w:b/>
                <w:bCs/>
                <w:color w:val="auto"/>
                <w:sz w:val="21"/>
                <w:szCs w:val="21"/>
              </w:rPr>
              <w:t>（3）知识融合与数据存储</w:t>
            </w:r>
            <w:r>
              <w:rPr>
                <w:rFonts w:hint="eastAsia"/>
                <w:color w:val="auto"/>
                <w:sz w:val="21"/>
                <w:szCs w:val="21"/>
              </w:rPr>
              <w:t>：实体对齐与冲突消解，解决“同一设备不同名称”问题，提升匹配准确率；采用图数据库（如Neo4j）存储知识图谱，支持复杂关系查询，缩短响应时间；为高频查询关系建立索引。该子任务中涉及的关键技术为对图数据库索引结构、创建以及使用等多方面进行优化调整。</w:t>
            </w:r>
          </w:p>
          <w:p w14:paraId="326451A1">
            <w:pPr>
              <w:spacing w:line="276" w:lineRule="auto"/>
              <w:ind w:firstLine="413" w:firstLineChars="196"/>
              <w:rPr>
                <w:rFonts w:hint="eastAsia"/>
                <w:b/>
                <w:bCs/>
                <w:color w:val="auto"/>
                <w:sz w:val="21"/>
                <w:szCs w:val="21"/>
              </w:rPr>
            </w:pPr>
            <w:r>
              <w:rPr>
                <w:rFonts w:hint="eastAsia"/>
                <w:b/>
                <w:bCs/>
                <w:color w:val="auto"/>
                <w:sz w:val="21"/>
                <w:szCs w:val="21"/>
              </w:rPr>
              <w:t>研究任务2：基于知识增强与上下文感知的工单深度语义解析模型</w:t>
            </w:r>
          </w:p>
          <w:p w14:paraId="2413B516">
            <w:pPr>
              <w:spacing w:line="276" w:lineRule="auto"/>
              <w:ind w:firstLine="413" w:firstLineChars="196"/>
              <w:rPr>
                <w:rFonts w:hint="eastAsia"/>
                <w:color w:val="auto"/>
                <w:sz w:val="21"/>
                <w:szCs w:val="21"/>
              </w:rPr>
            </w:pPr>
            <w:r>
              <w:rPr>
                <w:rFonts w:hint="eastAsia"/>
                <w:b/>
                <w:bCs/>
                <w:color w:val="auto"/>
                <w:sz w:val="21"/>
                <w:szCs w:val="21"/>
              </w:rPr>
              <w:t>（4）文本分块与向量化</w:t>
            </w:r>
            <w:r>
              <w:rPr>
                <w:rFonts w:hint="eastAsia"/>
                <w:color w:val="auto"/>
                <w:sz w:val="21"/>
                <w:szCs w:val="21"/>
              </w:rPr>
              <w:t>：采用递归字符文本分割（Recursive Character Text Splitter）对工单文本进行智能分块（如400词块大小，80词重叠）；使用BGE、M3E等中文优化嵌入模型将文本块转换为向量表示，并生成同义词和语义相似查询，提升召回率。该子任务中涉及的关键技术为基于语义解析的文本分块和向量化方法。</w:t>
            </w:r>
          </w:p>
          <w:p w14:paraId="01E18231">
            <w:pPr>
              <w:spacing w:line="276" w:lineRule="auto"/>
              <w:ind w:firstLine="413" w:firstLineChars="196"/>
              <w:rPr>
                <w:rFonts w:hint="eastAsia"/>
                <w:color w:val="auto"/>
                <w:sz w:val="21"/>
                <w:szCs w:val="21"/>
              </w:rPr>
            </w:pPr>
            <w:r>
              <w:rPr>
                <w:rFonts w:hint="eastAsia"/>
                <w:b/>
                <w:bCs/>
                <w:color w:val="auto"/>
                <w:sz w:val="21"/>
                <w:szCs w:val="21"/>
              </w:rPr>
              <w:t>（5）知识库构建与索引：</w:t>
            </w:r>
            <w:r>
              <w:rPr>
                <w:rFonts w:hint="eastAsia"/>
                <w:color w:val="auto"/>
                <w:sz w:val="21"/>
                <w:szCs w:val="21"/>
              </w:rPr>
              <w:t>构建向量数据库（如ChromaDB、Qdrant），存储文本块向量和元数据；建立混合索引框架，包括向量索引（语义相似度检索）+关键词索引（精确匹配检索）。该子任务中涉及的关键技术为基于融合排名Reciprocal Rank Fusion（RRF）算法的混合融合检索方法。</w:t>
            </w:r>
          </w:p>
          <w:p w14:paraId="7E121C58">
            <w:pPr>
              <w:pStyle w:val="10"/>
              <w:spacing w:line="276" w:lineRule="auto"/>
              <w:ind w:firstLine="413" w:firstLineChars="196"/>
              <w:rPr>
                <w:rFonts w:hint="eastAsia"/>
                <w:color w:val="auto"/>
                <w:sz w:val="21"/>
                <w:szCs w:val="21"/>
              </w:rPr>
            </w:pPr>
            <w:r>
              <w:rPr>
                <w:rFonts w:hint="eastAsia"/>
                <w:b/>
                <w:bCs/>
                <w:color w:val="auto"/>
                <w:sz w:val="21"/>
                <w:szCs w:val="21"/>
              </w:rPr>
              <w:t>（6）智能检索与重排序：</w:t>
            </w:r>
            <w:r>
              <w:rPr>
                <w:rFonts w:hint="eastAsia"/>
                <w:color w:val="auto"/>
                <w:sz w:val="21"/>
                <w:szCs w:val="21"/>
              </w:rPr>
              <w:t>结合关键词检索方法（BM25／BM25Okapi）与语义向量检索构建混合检索架构，实现对候选文档的高召回与初步排序。为弥补在细粒度语义判别方面的不足，研究引入重排序模型（Cross-Encoder），采用基于BERT的相关性建模方式对候选结果进行精排序，从而提升检索结果的语义一致性与排序准确性，形成一套兼顾召回效率与排序精度的智能检索与重排序方法体系。</w:t>
            </w:r>
          </w:p>
          <w:p w14:paraId="047B93EC">
            <w:pPr>
              <w:spacing w:line="276" w:lineRule="auto"/>
              <w:ind w:firstLine="413" w:firstLineChars="196"/>
              <w:rPr>
                <w:rFonts w:hint="eastAsia"/>
                <w:b/>
                <w:bCs/>
                <w:color w:val="auto"/>
                <w:sz w:val="21"/>
                <w:szCs w:val="21"/>
              </w:rPr>
            </w:pPr>
            <w:r>
              <w:rPr>
                <w:rFonts w:hint="eastAsia"/>
                <w:b/>
                <w:bCs/>
                <w:color w:val="auto"/>
                <w:sz w:val="21"/>
                <w:szCs w:val="21"/>
              </w:rPr>
              <w:t>研究任务3：融合逻辑规则与图谱嵌入的可解释推理过程</w:t>
            </w:r>
          </w:p>
          <w:p w14:paraId="591B1EA3">
            <w:pPr>
              <w:spacing w:line="276" w:lineRule="auto"/>
              <w:ind w:firstLine="413" w:firstLineChars="196"/>
              <w:rPr>
                <w:rFonts w:hint="eastAsia"/>
                <w:color w:val="auto"/>
                <w:sz w:val="21"/>
                <w:szCs w:val="21"/>
              </w:rPr>
            </w:pPr>
            <w:r>
              <w:rPr>
                <w:rFonts w:hint="eastAsia"/>
                <w:b/>
                <w:bCs/>
                <w:color w:val="auto"/>
                <w:sz w:val="21"/>
                <w:szCs w:val="21"/>
              </w:rPr>
              <w:t>（7）规则引擎构建：</w:t>
            </w:r>
            <w:r>
              <w:rPr>
                <w:rFonts w:hint="eastAsia"/>
                <w:color w:val="auto"/>
                <w:sz w:val="21"/>
                <w:szCs w:val="21"/>
              </w:rPr>
              <w:t>采用语义网规则语言（SWRL，Semantic Web Rule Language）定义运维规则，如“如果设备状态为故障且优先级为高，则自动创建紧急工单”；构建规则库，支持规则的增删改查和版本管理。该子任务中涉及的关键技术为提出将符号逻辑推理与神经网络概率预测相结合的神经符号方法。</w:t>
            </w:r>
          </w:p>
          <w:p w14:paraId="1AB7C8E2">
            <w:pPr>
              <w:spacing w:line="276" w:lineRule="auto"/>
              <w:ind w:firstLine="413" w:firstLineChars="196"/>
              <w:rPr>
                <w:rFonts w:hint="eastAsia"/>
                <w:color w:val="auto"/>
                <w:sz w:val="21"/>
                <w:szCs w:val="21"/>
              </w:rPr>
            </w:pPr>
            <w:r>
              <w:rPr>
                <w:rFonts w:hint="eastAsia"/>
                <w:b/>
                <w:bCs/>
                <w:color w:val="auto"/>
                <w:sz w:val="21"/>
                <w:szCs w:val="21"/>
              </w:rPr>
              <w:t>（8）图神经网络推理：</w:t>
            </w:r>
            <w:r>
              <w:rPr>
                <w:rFonts w:hint="eastAsia"/>
                <w:color w:val="auto"/>
                <w:sz w:val="21"/>
                <w:szCs w:val="21"/>
              </w:rPr>
              <w:t>使用图神经网络（GNN）对知识图谱进行嵌入学习，捕捉实体间的复杂关系；实现多跳推理：从“设备A故障”→“影响营销系统B”→“影响货源投放”。该子任务中涉及的关键技术为提出基于图路径搜索和剪枝算法的多跳推理模型。</w:t>
            </w:r>
          </w:p>
          <w:p w14:paraId="53A5A890">
            <w:pPr>
              <w:spacing w:line="276" w:lineRule="auto"/>
              <w:ind w:firstLine="413" w:firstLineChars="196"/>
              <w:rPr>
                <w:rFonts w:hint="eastAsia"/>
                <w:color w:val="auto"/>
                <w:sz w:val="21"/>
                <w:szCs w:val="21"/>
              </w:rPr>
            </w:pPr>
            <w:r>
              <w:rPr>
                <w:rFonts w:hint="eastAsia"/>
                <w:b/>
                <w:bCs/>
                <w:color w:val="auto"/>
                <w:sz w:val="21"/>
                <w:szCs w:val="21"/>
              </w:rPr>
              <w:t>（9）可解释推理路径生成：</w:t>
            </w:r>
            <w:r>
              <w:rPr>
                <w:rFonts w:hint="eastAsia"/>
                <w:color w:val="auto"/>
                <w:sz w:val="21"/>
                <w:szCs w:val="21"/>
              </w:rPr>
              <w:t>记录推理过程中的每一步逻辑跳转，生成结构化推理报告；可视化展示“症状-故障-解决方案”的推理链条。该子任务中涉及的关键技术为通过注意力可视化和推理路径追溯实现决策透明。</w:t>
            </w:r>
          </w:p>
          <w:p w14:paraId="7F1CEDB0">
            <w:pPr>
              <w:spacing w:line="276" w:lineRule="auto"/>
              <w:ind w:firstLine="413" w:firstLineChars="196"/>
              <w:rPr>
                <w:rFonts w:hint="eastAsia"/>
                <w:b/>
                <w:bCs/>
                <w:color w:val="auto"/>
                <w:sz w:val="21"/>
                <w:szCs w:val="21"/>
              </w:rPr>
            </w:pPr>
            <w:r>
              <w:rPr>
                <w:rFonts w:hint="eastAsia"/>
                <w:b/>
                <w:bCs/>
                <w:color w:val="auto"/>
                <w:sz w:val="21"/>
                <w:szCs w:val="21"/>
              </w:rPr>
              <w:t>研究任务4：面向校核与审查的多场景验证</w:t>
            </w:r>
          </w:p>
          <w:p w14:paraId="0E09CFB5">
            <w:pPr>
              <w:spacing w:line="276" w:lineRule="auto"/>
              <w:ind w:firstLine="413" w:firstLineChars="196"/>
              <w:rPr>
                <w:rFonts w:hint="eastAsia"/>
                <w:b/>
                <w:bCs/>
                <w:color w:val="auto"/>
                <w:sz w:val="21"/>
                <w:szCs w:val="21"/>
              </w:rPr>
            </w:pPr>
            <w:r>
              <w:rPr>
                <w:rFonts w:hint="eastAsia"/>
                <w:b/>
                <w:bCs/>
                <w:color w:val="auto"/>
                <w:sz w:val="21"/>
                <w:szCs w:val="21"/>
              </w:rPr>
              <w:t>（10）知识图谱体系的多场景有效性验证：</w:t>
            </w:r>
            <w:r>
              <w:rPr>
                <w:rFonts w:hint="eastAsia"/>
                <w:color w:val="auto"/>
                <w:sz w:val="21"/>
                <w:szCs w:val="21"/>
              </w:rPr>
              <w:t>围绕不少于5个网信领域业务场景验证统一运维知识图谱的覆盖度、语义一致性与跨场景适配能力，重点评估故障模式和流程知识的结构化治理效果，以及图谱在监控事件、工单文本和制度流程等异构信息融合中的稳定性。通过知识完整性、关联准确性和迁移能力测试，确保图谱能够为语义理解与智能审查提供可靠支撑。</w:t>
            </w:r>
          </w:p>
          <w:p w14:paraId="2086A745">
            <w:pPr>
              <w:spacing w:line="276" w:lineRule="auto"/>
              <w:ind w:firstLine="413" w:firstLineChars="196"/>
              <w:rPr>
                <w:rFonts w:hint="eastAsia"/>
                <w:color w:val="auto"/>
                <w:sz w:val="21"/>
                <w:szCs w:val="21"/>
              </w:rPr>
            </w:pPr>
            <w:r>
              <w:rPr>
                <w:rFonts w:hint="eastAsia"/>
                <w:b/>
                <w:bCs/>
                <w:color w:val="auto"/>
                <w:sz w:val="21"/>
                <w:szCs w:val="21"/>
              </w:rPr>
              <w:t>（11）工单语义理解与自动校核能力验证：</w:t>
            </w:r>
            <w:r>
              <w:rPr>
                <w:rFonts w:hint="eastAsia"/>
                <w:color w:val="auto"/>
                <w:sz w:val="21"/>
                <w:szCs w:val="21"/>
              </w:rPr>
              <w:t>验证工单语义理解模型在多业务线中的准确性、规范性和完整性校核能力，通过标注语料评估要素抽取、语义解析、术语规范和一致性检查表现，并检验模型在不同场景下的泛化能力与鲁棒性。通过对缺失项、错误项和逻辑不一致的识别评估，验证模型在自动化工单质量检查中的可用性。引入检索增强生成（RAG）框架，将工单文本作为查询输入，通过向量化表示与相似度检索，从规范知识库及标注语料中获取相关上下文信息，辅助模型完成工单要素识别与质量校核。该过程使得模型在缺失项识别、错误项检测及逻辑一致性判断中具备可解释的知识支撑，为智能审查体系打下基础。</w:t>
            </w:r>
          </w:p>
          <w:p w14:paraId="54014F41">
            <w:pPr>
              <w:spacing w:line="276" w:lineRule="auto"/>
              <w:ind w:firstLine="413" w:firstLineChars="196"/>
              <w:rPr>
                <w:rFonts w:hint="eastAsia"/>
                <w:color w:val="auto"/>
                <w:sz w:val="21"/>
                <w:szCs w:val="21"/>
              </w:rPr>
            </w:pPr>
            <w:r>
              <w:rPr>
                <w:rFonts w:hint="eastAsia"/>
                <w:b/>
                <w:bCs/>
                <w:color w:val="auto"/>
                <w:sz w:val="21"/>
                <w:szCs w:val="21"/>
              </w:rPr>
              <w:t>（12）智能审查与自动合规体系的闭环验证：</w:t>
            </w:r>
            <w:r>
              <w:rPr>
                <w:rFonts w:hint="eastAsia"/>
                <w:color w:val="auto"/>
                <w:sz w:val="21"/>
                <w:szCs w:val="21"/>
              </w:rPr>
              <w:t>面向不少于5项网信运维审查场景验证智能审查体系的有效性，评估制度规则自动触发、工单缺陷识别、修正规则生成及推理链可解释性。通过“事件—工单—制度”的语义关联链路开展端到端测试，检验审查准确性、一致性与人工替代率，并基于用户反馈与误判案例构建持续优化机制。</w:t>
            </w:r>
          </w:p>
          <w:p w14:paraId="5AAD7B64">
            <w:pPr>
              <w:pStyle w:val="3"/>
              <w:spacing w:line="276" w:lineRule="auto"/>
              <w:rPr>
                <w:rFonts w:ascii="Times New Roman" w:hAnsi="Times New Roman"/>
                <w:color w:val="auto"/>
              </w:rPr>
            </w:pPr>
            <w:r>
              <w:rPr>
                <w:rFonts w:hint="eastAsia" w:ascii="Times New Roman" w:hAnsi="Times New Roman"/>
                <w:color w:val="auto"/>
              </w:rPr>
              <w:t>13.3研究方法与技术路线</w:t>
            </w:r>
          </w:p>
          <w:p w14:paraId="63A75D31">
            <w:pPr>
              <w:spacing w:line="276" w:lineRule="auto"/>
              <w:ind w:firstLine="411" w:firstLineChars="196"/>
              <w:rPr>
                <w:rFonts w:hint="eastAsia"/>
                <w:color w:val="auto"/>
                <w:sz w:val="21"/>
                <w:szCs w:val="21"/>
              </w:rPr>
            </w:pPr>
            <w:r>
              <w:rPr>
                <w:rFonts w:hint="eastAsia"/>
                <w:color w:val="auto"/>
                <w:sz w:val="21"/>
                <w:szCs w:val="21"/>
              </w:rPr>
              <w:t>本项目研究将分为从数据到知识、再到智能模型，最终赋能业务应用的四个层次。研究方法将严格遵循此路线，针对每一层的目标、输入、处理和输出进行设计。</w:t>
            </w:r>
          </w:p>
          <w:p w14:paraId="53D075B0">
            <w:pPr>
              <w:rPr>
                <w:rFonts w:hint="eastAsia" w:ascii="楷体" w:hAnsi="楷体" w:eastAsia="楷体" w:cs="楷体_GB2312"/>
                <w:color w:val="auto"/>
                <w:sz w:val="28"/>
                <w:szCs w:val="28"/>
              </w:rPr>
            </w:pPr>
            <w:r>
              <w:rPr>
                <w:rFonts w:ascii="楷体" w:hAnsi="楷体" w:eastAsia="楷体" w:cs="楷体_GB2312"/>
                <w:color w:val="auto"/>
                <w:sz w:val="28"/>
                <w:szCs w:val="28"/>
              </w:rPr>
              <w:drawing>
                <wp:inline distT="0" distB="0" distL="114300" distR="114300">
                  <wp:extent cx="5463540" cy="4269740"/>
                  <wp:effectExtent l="0" t="0" r="7620" b="12700"/>
                  <wp:docPr id="1022356999" name="图片 1022356999" descr="论文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6999" name="图片 1022356999" descr="论文技术路线"/>
                          <pic:cNvPicPr>
                            <a:picLocks noChangeAspect="1"/>
                          </pic:cNvPicPr>
                        </pic:nvPicPr>
                        <pic:blipFill>
                          <a:blip r:embed="rId20" cstate="print"/>
                          <a:stretch>
                            <a:fillRect/>
                          </a:stretch>
                        </pic:blipFill>
                        <pic:spPr>
                          <a:xfrm>
                            <a:off x="0" y="0"/>
                            <a:ext cx="5463540" cy="4269740"/>
                          </a:xfrm>
                          <a:prstGeom prst="rect">
                            <a:avLst/>
                          </a:prstGeom>
                        </pic:spPr>
                      </pic:pic>
                    </a:graphicData>
                  </a:graphic>
                </wp:inline>
              </w:drawing>
            </w:r>
          </w:p>
          <w:p w14:paraId="05CBF8A9">
            <w:pPr>
              <w:spacing w:line="440" w:lineRule="exact"/>
              <w:ind w:firstLine="470" w:firstLineChars="196"/>
              <w:jc w:val="center"/>
              <w:rPr>
                <w:rFonts w:ascii="Times New Roman" w:hAnsi="Times New Roman" w:eastAsia="仿宋" w:cs="仿宋"/>
                <w:color w:val="auto"/>
                <w:sz w:val="24"/>
              </w:rPr>
            </w:pPr>
            <w:r>
              <w:rPr>
                <w:rFonts w:hint="eastAsia" w:ascii="Times New Roman" w:hAnsi="Times New Roman" w:eastAsia="仿宋" w:cs="仿宋"/>
                <w:color w:val="auto"/>
                <w:sz w:val="24"/>
                <w:szCs w:val="24"/>
              </w:rPr>
              <w:t>图1 整体技术方案图</w:t>
            </w:r>
          </w:p>
          <w:p w14:paraId="79CC414B">
            <w:pPr>
              <w:pStyle w:val="10"/>
              <w:spacing w:line="276" w:lineRule="auto"/>
              <w:ind w:firstLine="411" w:firstLineChars="196"/>
              <w:rPr>
                <w:rFonts w:hint="eastAsia"/>
                <w:color w:val="auto"/>
                <w:sz w:val="21"/>
                <w:szCs w:val="21"/>
              </w:rPr>
            </w:pPr>
          </w:p>
          <w:p w14:paraId="10EED232">
            <w:pPr>
              <w:numPr>
                <w:ilvl w:val="0"/>
                <w:numId w:val="2"/>
              </w:numPr>
              <w:autoSpaceDE/>
              <w:autoSpaceDN/>
              <w:spacing w:line="276" w:lineRule="auto"/>
              <w:ind w:firstLine="413" w:firstLineChars="196"/>
              <w:jc w:val="both"/>
              <w:rPr>
                <w:rFonts w:hint="eastAsia"/>
                <w:b/>
                <w:bCs/>
                <w:color w:val="auto"/>
                <w:sz w:val="21"/>
                <w:szCs w:val="21"/>
              </w:rPr>
            </w:pPr>
            <w:r>
              <w:rPr>
                <w:rFonts w:hint="eastAsia"/>
                <w:b/>
                <w:bCs/>
                <w:color w:val="auto"/>
                <w:sz w:val="21"/>
                <w:szCs w:val="21"/>
              </w:rPr>
              <w:t>数据层：多源异构数据的治理与融合</w:t>
            </w:r>
          </w:p>
          <w:p w14:paraId="727FF920">
            <w:pPr>
              <w:spacing w:line="276" w:lineRule="auto"/>
              <w:ind w:firstLine="411" w:firstLineChars="196"/>
              <w:rPr>
                <w:rFonts w:hint="eastAsia"/>
                <w:color w:val="auto"/>
                <w:sz w:val="21"/>
                <w:szCs w:val="21"/>
              </w:rPr>
            </w:pPr>
            <w:r>
              <w:rPr>
                <w:rFonts w:hint="eastAsia"/>
                <w:color w:val="auto"/>
                <w:sz w:val="21"/>
                <w:szCs w:val="21"/>
              </w:rPr>
              <w:t>旨在为上层模型提供高质量、标准化的多模态数据底座。核心是将分散在湖北烟草各类系统和文档中的结构化、非结构化数据进行有效整合。（注：数据文档仅涵盖本研究所需的文档。）</w:t>
            </w:r>
          </w:p>
          <w:p w14:paraId="03C47D45">
            <w:pPr>
              <w:spacing w:line="276" w:lineRule="auto"/>
              <w:ind w:firstLine="411" w:firstLineChars="196"/>
              <w:rPr>
                <w:rFonts w:hint="eastAsia"/>
                <w:color w:val="auto"/>
                <w:sz w:val="21"/>
                <w:szCs w:val="21"/>
              </w:rPr>
            </w:pPr>
            <w:r>
              <w:rPr>
                <w:rFonts w:hint="eastAsia"/>
                <w:color w:val="auto"/>
                <w:sz w:val="21"/>
                <w:szCs w:val="21"/>
              </w:rPr>
              <w:t>具体方法：采用多通道数据爬取与接口对接技术。对于数据库中的结构化数据（资产信息、事件记录），通过ETL工具（如Apache NiFi）进行定时增量同步。对于非结构化数据（政策文件PDF/ofd、工单日志文本、会话记录），使用文档解析库（如Apache Tika）和文本清洗工具进行内容提取。针对结构数据进行数据清洗、格式标准化、空值处理和编码统一（如将设备状态统一为“运行/故障/停机”）。针对非结构数据采用自然语言处理流程，包括分词（使用Jieba等中文分词工具）、去停用词、词性标注、命名实体识别，初步提取文本中的关键实体（如设备名、故障现象）。制定统一的数据接入规范，为不同来源的数据打上来源、类型、时间戳等元数据标签，形成可追溯的数据血缘。构建湖北烟草网信领域专用词典与同义词词林，确保“一体化平台”、“大数据中心”等专业术语能被准确识别和归一化。最后构建一个基准测试数据集，包含从各来源随机抽样的数据，并由领域专家进行标准化的标注。</w:t>
            </w:r>
          </w:p>
          <w:p w14:paraId="15CB0ECA">
            <w:pPr>
              <w:numPr>
                <w:ilvl w:val="0"/>
                <w:numId w:val="2"/>
              </w:numPr>
              <w:autoSpaceDE/>
              <w:autoSpaceDN/>
              <w:spacing w:line="276" w:lineRule="auto"/>
              <w:ind w:firstLine="413" w:firstLineChars="196"/>
              <w:jc w:val="both"/>
              <w:rPr>
                <w:rFonts w:hint="eastAsia"/>
                <w:b/>
                <w:bCs/>
                <w:color w:val="auto"/>
                <w:sz w:val="21"/>
                <w:szCs w:val="21"/>
              </w:rPr>
            </w:pPr>
            <w:r>
              <w:rPr>
                <w:rFonts w:hint="eastAsia"/>
                <w:b/>
                <w:bCs/>
                <w:color w:val="auto"/>
                <w:sz w:val="21"/>
                <w:szCs w:val="21"/>
              </w:rPr>
              <w:t>知识层：图谱构建与知识穿透</w:t>
            </w:r>
          </w:p>
          <w:p w14:paraId="06C9D8C5">
            <w:pPr>
              <w:spacing w:line="276" w:lineRule="auto"/>
              <w:ind w:firstLine="411" w:firstLineChars="196"/>
              <w:rPr>
                <w:rFonts w:hint="eastAsia"/>
                <w:color w:val="auto"/>
                <w:sz w:val="21"/>
                <w:szCs w:val="21"/>
              </w:rPr>
            </w:pPr>
            <w:r>
              <w:rPr>
                <w:rFonts w:hint="eastAsia"/>
                <w:color w:val="auto"/>
                <w:sz w:val="21"/>
                <w:szCs w:val="21"/>
              </w:rPr>
              <w:t>旨在突破研究瓶颈1（穿透知识壁垒）构建运维知识图谱（Graph），将底层治理后的数据转化为机器可理解和推理的结构化知识。</w:t>
            </w:r>
          </w:p>
          <w:p w14:paraId="06D2A90A">
            <w:pPr>
              <w:spacing w:line="276" w:lineRule="auto"/>
              <w:ind w:firstLine="411" w:firstLineChars="196"/>
              <w:rPr>
                <w:rFonts w:hint="eastAsia"/>
                <w:color w:val="auto"/>
                <w:sz w:val="21"/>
                <w:szCs w:val="21"/>
              </w:rPr>
            </w:pPr>
            <w:r>
              <w:rPr>
                <w:rFonts w:hint="eastAsia"/>
                <w:color w:val="auto"/>
                <w:sz w:val="21"/>
                <w:szCs w:val="21"/>
              </w:rPr>
              <w:t>具体方法：采用自顶向下与自底向上相结合的方法。参考行业标准并结合湖北烟草业务专家经验，定义核心实体类型（如资产、告警、流程、人员）、关系类型（如“位于”、“引发”、“处理”）及属性约束。针对结构化数据通过规则映射直接转换为图谱中的实体和关系。针对非结构化文本数据采用联合学习模型，进行端到端的实体识别和关系抽取。例如，从工单描述“机柜过热导致停机”中，抽取出实体“机柜”、“过热”、“停机”及关系“导致”。采用联合学习模型，进行端到端的实体识别和关系抽取。使用图数据库进行存储，利用其高效的关系查询能力。设计增量更新机制，当有新工单或新政策时，自动触发知识抽取和图谱更新流程。最后设计一系列复杂查询（如“查询所有由机房空调故障引发且影响一体化营销系统的工单”），测试查询响应时间。</w:t>
            </w:r>
          </w:p>
          <w:p w14:paraId="0EB98A10">
            <w:pPr>
              <w:numPr>
                <w:ilvl w:val="0"/>
                <w:numId w:val="2"/>
              </w:numPr>
              <w:autoSpaceDE/>
              <w:autoSpaceDN/>
              <w:spacing w:line="276" w:lineRule="auto"/>
              <w:ind w:firstLine="413" w:firstLineChars="196"/>
              <w:jc w:val="both"/>
              <w:rPr>
                <w:rFonts w:hint="eastAsia"/>
                <w:b/>
                <w:bCs/>
                <w:color w:val="auto"/>
                <w:sz w:val="21"/>
                <w:szCs w:val="21"/>
              </w:rPr>
            </w:pPr>
            <w:r>
              <w:rPr>
                <w:rFonts w:hint="eastAsia"/>
                <w:b/>
                <w:bCs/>
                <w:color w:val="auto"/>
                <w:sz w:val="21"/>
                <w:szCs w:val="21"/>
              </w:rPr>
              <w:t>模型层：GraphRag融合与可解释推理</w:t>
            </w:r>
          </w:p>
          <w:p w14:paraId="1BB41AF0">
            <w:pPr>
              <w:spacing w:line="276" w:lineRule="auto"/>
              <w:ind w:firstLine="411" w:firstLineChars="196"/>
              <w:rPr>
                <w:rFonts w:hint="eastAsia"/>
                <w:color w:val="auto"/>
                <w:sz w:val="21"/>
                <w:szCs w:val="21"/>
              </w:rPr>
            </w:pPr>
            <w:r>
              <w:rPr>
                <w:rFonts w:hint="eastAsia"/>
                <w:color w:val="auto"/>
                <w:sz w:val="21"/>
                <w:szCs w:val="21"/>
              </w:rPr>
              <w:t>旨在协同攻关研究瓶颈2（跨越语义鸿沟）和研究瓶颈3（破解规则僵局），最终实现GraphRag融合，形成既能深度理解语义又能进行逻辑推理的智能核心。</w:t>
            </w:r>
          </w:p>
          <w:p w14:paraId="3D332932">
            <w:pPr>
              <w:spacing w:line="276" w:lineRule="auto"/>
              <w:ind w:firstLine="411" w:firstLineChars="196"/>
              <w:jc w:val="both"/>
              <w:rPr>
                <w:rFonts w:hint="eastAsia"/>
                <w:color w:val="auto"/>
                <w:sz w:val="21"/>
                <w:szCs w:val="21"/>
              </w:rPr>
            </w:pPr>
            <w:r>
              <w:rPr>
                <w:rFonts w:hint="eastAsia"/>
                <w:color w:val="auto"/>
                <w:sz w:val="21"/>
                <w:szCs w:val="21"/>
              </w:rPr>
              <w:t>具体方法为：将政策文件、典型案例等非结构化文档进行智能文本分块，通过嵌入模型转化为向量，构建向量知识库。当新工单进入时，模型首先进行深度语义解析，然后将其作为查询，在向量知识库中进行相似性检索，找到最相关的政策条款或历史案例作为参考。结合稠密向量检索（语义相似）和稀疏词检索（关键词匹配），并使用重排序模型提升Top-K结果的准确性。将自然语言描述的规章制度（如“优先级为高的设备故障工单需10分钟内响应”）转化为可执行的逻辑规则。利用图神经网络等技术，对知识图谱进行嵌入学习，使模型能发现数据中潜在的复杂关联，进行“如果A则可能B”的预测性推理。符号主义与连接主义的融合。将基于规则的确定性推理（符号主义）和基于嵌入的概率推理（连接主义）结合，使决策既准确又可解释。构建一个协同推理框架。对于一个新工单，RAG组件提供相关的文本依据（如政策条文），Graph组件提供结构化的关联信息（如该设备的历史故障、关联的上下游流程），两者信息共同输入到大语言模型进行综合分析与决策。设计有效的信息融合机制，让模型能权衡文本依据和图谱关系的重要性。设计工单分类、派单决策、合规性审查等具体任务，分别测试仅用RAG、仅用Graph以及GraphRag融合下的任务性能，验证融合的有效性，由专家评估模型提供的推理依据是否合理、完整。</w:t>
            </w:r>
          </w:p>
          <w:p w14:paraId="73D0AF58">
            <w:pPr>
              <w:numPr>
                <w:ilvl w:val="0"/>
                <w:numId w:val="2"/>
              </w:numPr>
              <w:autoSpaceDE/>
              <w:autoSpaceDN/>
              <w:spacing w:line="276" w:lineRule="auto"/>
              <w:ind w:firstLine="413" w:firstLineChars="196"/>
              <w:jc w:val="both"/>
              <w:rPr>
                <w:rFonts w:hint="eastAsia"/>
                <w:b/>
                <w:bCs/>
                <w:color w:val="auto"/>
                <w:sz w:val="21"/>
                <w:szCs w:val="21"/>
              </w:rPr>
            </w:pPr>
            <w:r>
              <w:rPr>
                <w:rFonts w:hint="eastAsia"/>
                <w:b/>
                <w:bCs/>
                <w:color w:val="auto"/>
                <w:sz w:val="21"/>
                <w:szCs w:val="21"/>
              </w:rPr>
              <w:t>应用层：多场景验证与闭环优化</w:t>
            </w:r>
          </w:p>
          <w:p w14:paraId="3D8C68D0">
            <w:pPr>
              <w:spacing w:line="276" w:lineRule="auto"/>
              <w:ind w:firstLine="411" w:firstLineChars="196"/>
              <w:rPr>
                <w:rFonts w:hint="eastAsia"/>
                <w:color w:val="auto"/>
                <w:sz w:val="21"/>
                <w:szCs w:val="21"/>
              </w:rPr>
            </w:pPr>
            <w:r>
              <w:rPr>
                <w:rFonts w:hint="eastAsia"/>
                <w:color w:val="auto"/>
                <w:sz w:val="21"/>
                <w:szCs w:val="21"/>
              </w:rPr>
              <w:t>旨在将前三个层次的研究成果在湖北烟草网信运维真实业务场景中进行验证，并形成自我优化的闭环。</w:t>
            </w:r>
          </w:p>
          <w:p w14:paraId="10CA166C">
            <w:pPr>
              <w:spacing w:line="276" w:lineRule="auto"/>
              <w:ind w:firstLine="411" w:firstLineChars="196"/>
              <w:rPr>
                <w:rFonts w:hint="eastAsia"/>
                <w:color w:val="auto"/>
                <w:sz w:val="21"/>
                <w:szCs w:val="21"/>
              </w:rPr>
            </w:pPr>
            <w:r>
              <w:rPr>
                <w:rFonts w:hint="eastAsia"/>
                <w:color w:val="auto"/>
                <w:sz w:val="21"/>
                <w:szCs w:val="21"/>
              </w:rPr>
              <w:t>具体方法为：针对工单智能分类、自动标签化、智能派单等场景，开发相应的应用模块，实现从工单创建、语义解析、智能校核、自动派发到处理反馈的端到端自动化流程。建立反馈回路，自动收集处理结果由运维人员进行评价或修正。采用A/B测试，将一段时期内产生的工单分流，一部分由原有人工方式处理，一部分辅助处理，对比关键指标。</w:t>
            </w:r>
          </w:p>
          <w:p w14:paraId="01ABCA67">
            <w:pPr>
              <w:spacing w:line="276" w:lineRule="auto"/>
              <w:ind w:firstLine="411" w:firstLineChars="196"/>
              <w:rPr>
                <w:rFonts w:hint="eastAsia"/>
                <w:color w:val="auto"/>
                <w:sz w:val="21"/>
                <w:szCs w:val="21"/>
              </w:rPr>
            </w:pPr>
            <w:r>
              <w:rPr>
                <w:rFonts w:hint="eastAsia"/>
                <w:color w:val="auto"/>
                <w:sz w:val="21"/>
                <w:szCs w:val="21"/>
              </w:rPr>
              <w:t>综上所述，本项目的研究与试验方法将严格遵循图示的技术路线，层层递进，最终构建一个智能、可进化、可解释的工单语义校核与审查新范式，为湖北烟草运维管理的数字化转型提供坚实的技术支撑。</w:t>
            </w:r>
          </w:p>
          <w:p w14:paraId="5929411D">
            <w:pPr>
              <w:pStyle w:val="3"/>
              <w:spacing w:line="276" w:lineRule="auto"/>
              <w:rPr>
                <w:rFonts w:ascii="Times New Roman" w:hAnsi="Times New Roman"/>
                <w:bCs/>
                <w:color w:val="auto"/>
              </w:rPr>
            </w:pPr>
            <w:r>
              <w:rPr>
                <w:rFonts w:hint="eastAsia" w:ascii="Times New Roman" w:hAnsi="Times New Roman"/>
                <w:bCs/>
                <w:color w:val="auto"/>
              </w:rPr>
              <w:t>13.4 研究实施中的关键风险识别与控制安排</w:t>
            </w:r>
          </w:p>
          <w:p w14:paraId="5BE908F7">
            <w:pPr>
              <w:pStyle w:val="10"/>
              <w:spacing w:line="276" w:lineRule="auto"/>
              <w:rPr>
                <w:rFonts w:hint="eastAsia"/>
                <w:color w:val="auto"/>
              </w:rPr>
            </w:pPr>
            <w:r>
              <w:rPr>
                <w:color w:val="auto"/>
              </w:rPr>
              <w:t>在本项目研究实施过程中，围绕知识图谱构建、工单语义理解模型训练以及智能审查范式验证等核心任务，项目实施将依托湖北烟草现有网信运维体系、工单管理实践和科研组织机制推进。结合现有工作基础与研究内容特点，对项目实施过程中可能面临的关键风险进行识别，并在研究方案中同步安排相应的控制措施，以保障研究任务有序推进和成果质量。</w:t>
            </w:r>
          </w:p>
          <w:p w14:paraId="1C64D15A">
            <w:pPr>
              <w:pStyle w:val="10"/>
              <w:spacing w:line="276" w:lineRule="auto"/>
              <w:ind w:firstLine="442"/>
              <w:rPr>
                <w:rFonts w:hint="eastAsia"/>
                <w:b/>
                <w:bCs/>
                <w:color w:val="auto"/>
              </w:rPr>
            </w:pPr>
            <w:r>
              <w:rPr>
                <w:b/>
                <w:bCs/>
                <w:color w:val="auto"/>
              </w:rPr>
              <w:t>13.</w:t>
            </w:r>
            <w:r>
              <w:rPr>
                <w:rFonts w:hint="eastAsia"/>
                <w:b/>
                <w:bCs/>
                <w:color w:val="auto"/>
              </w:rPr>
              <w:t>4</w:t>
            </w:r>
            <w:r>
              <w:rPr>
                <w:b/>
                <w:bCs/>
                <w:color w:val="auto"/>
              </w:rPr>
              <w:t>.1 技术实现与方法适配方面的风险控制</w:t>
            </w:r>
          </w:p>
          <w:p w14:paraId="48D0318D">
            <w:pPr>
              <w:pStyle w:val="10"/>
              <w:spacing w:line="276" w:lineRule="auto"/>
              <w:rPr>
                <w:rFonts w:hint="eastAsia"/>
                <w:color w:val="auto"/>
              </w:rPr>
            </w:pPr>
            <w:r>
              <w:rPr>
                <w:color w:val="auto"/>
              </w:rPr>
              <w:t>本项目在现有工单系统和运维管理制度基础上，进一步引入知识图谱建模、语义解析和推理审查方法，研究内容在方法复杂度和工程实现层面均具有一定挑战。由于不同业务场景下工单描述习惯、制度条款表达方式和数据结构存在差异，研究方法在早期阶段可能面临适配性不足的问题。对此，项目实施将依托现有运维工单数据和制度文档资源，采用“分阶段构建、逐步融合”的研究推进方式，在知识建模、语义解析和审查逻辑设计过程中同步开展多轮验证与调整，通过不断贴合真实业务场景修正模型与规则设计，确保研究方法在现有系统环境中的可行性和稳定性。</w:t>
            </w:r>
          </w:p>
          <w:p w14:paraId="09514C36">
            <w:pPr>
              <w:pStyle w:val="10"/>
              <w:spacing w:line="276" w:lineRule="auto"/>
              <w:ind w:firstLine="442"/>
              <w:rPr>
                <w:rFonts w:hint="eastAsia"/>
                <w:b/>
                <w:bCs/>
                <w:color w:val="auto"/>
              </w:rPr>
            </w:pPr>
            <w:r>
              <w:rPr>
                <w:b/>
                <w:bCs/>
                <w:color w:val="auto"/>
              </w:rPr>
              <w:t>13.</w:t>
            </w:r>
            <w:r>
              <w:rPr>
                <w:rFonts w:hint="eastAsia"/>
                <w:b/>
                <w:bCs/>
                <w:color w:val="auto"/>
              </w:rPr>
              <w:t>4</w:t>
            </w:r>
            <w:r>
              <w:rPr>
                <w:b/>
                <w:bCs/>
                <w:color w:val="auto"/>
              </w:rPr>
              <w:t>.2 项目组织与实施协同方面的风险控制</w:t>
            </w:r>
          </w:p>
          <w:p w14:paraId="29751929">
            <w:pPr>
              <w:pStyle w:val="10"/>
              <w:spacing w:line="276" w:lineRule="auto"/>
              <w:rPr>
                <w:rFonts w:hint="eastAsia"/>
                <w:color w:val="auto"/>
              </w:rPr>
            </w:pPr>
            <w:r>
              <w:rPr>
                <w:color w:val="auto"/>
              </w:rPr>
              <w:t>本项目研究涉及多项研究任务并行推进，涵盖知识工程、模型研究和应用验证等不同工作内容，对项目组织协调和实施节奏提出较高要求。若研究任务之间衔接不当，可能影响整体推进效率。对此，项目实施将基于既有科研项目管理经验和委外合作机制，明确各研究任务的阶段目标和成果边界，在研究过程中通过阶段性成果评审和例行沟通机制，对研究进展进行动态跟踪和调整，确保各项研究任务在既定框架下有序协同推进。</w:t>
            </w:r>
          </w:p>
          <w:p w14:paraId="35D4A934">
            <w:pPr>
              <w:pStyle w:val="10"/>
              <w:spacing w:line="276" w:lineRule="auto"/>
              <w:ind w:firstLine="442"/>
              <w:rPr>
                <w:rFonts w:hint="eastAsia"/>
                <w:b/>
                <w:bCs/>
                <w:color w:val="auto"/>
              </w:rPr>
            </w:pPr>
            <w:r>
              <w:rPr>
                <w:b/>
                <w:bCs/>
                <w:color w:val="auto"/>
              </w:rPr>
              <w:t>13.</w:t>
            </w:r>
            <w:r>
              <w:rPr>
                <w:rFonts w:hint="eastAsia"/>
                <w:b/>
                <w:bCs/>
                <w:color w:val="auto"/>
              </w:rPr>
              <w:t>4</w:t>
            </w:r>
            <w:r>
              <w:rPr>
                <w:b/>
                <w:bCs/>
                <w:color w:val="auto"/>
              </w:rPr>
              <w:t>.3 数据条件与研究支撑方面的风险控制</w:t>
            </w:r>
          </w:p>
          <w:p w14:paraId="10DF1087">
            <w:pPr>
              <w:pStyle w:val="10"/>
              <w:spacing w:line="276" w:lineRule="auto"/>
              <w:rPr>
                <w:rFonts w:hint="eastAsia"/>
                <w:color w:val="auto"/>
              </w:rPr>
            </w:pPr>
            <w:r>
              <w:rPr>
                <w:color w:val="auto"/>
              </w:rPr>
              <w:t>本项目研究高度依赖工单文本、运维制度文档和相关业务数据的完整性与一致性。受限于历史数据形成背景不同、文本规范程度不一等因素，研究过程中可能面临数据质量差异对分析效果的影响。对此，项目将在现有数据资源基础上，将数据整理和规范化处理作为研究实施的重要前置工作，通过明确数据使用范围、统一关键字段口径和筛选具有代表性的样本数据，为知识建模和语义分析提供稳定的数据支撑。同时，在研究方法设计中充分考虑数据差异的客观存在，通过多场景验证和交叉分析方式降低数据不确定性对研究结论的影响。</w:t>
            </w:r>
          </w:p>
          <w:p w14:paraId="1CF064A7">
            <w:pPr>
              <w:spacing w:line="276" w:lineRule="auto"/>
              <w:ind w:firstLine="442" w:firstLineChars="200"/>
              <w:rPr>
                <w:rFonts w:hint="eastAsia"/>
                <w:color w:val="auto"/>
              </w:rPr>
            </w:pPr>
            <w:r>
              <w:rPr>
                <w:b/>
                <w:bCs/>
                <w:color w:val="auto"/>
              </w:rPr>
              <w:t>13.</w:t>
            </w:r>
            <w:r>
              <w:rPr>
                <w:rFonts w:hint="eastAsia"/>
                <w:b/>
                <w:bCs/>
                <w:color w:val="auto"/>
              </w:rPr>
              <w:t>4</w:t>
            </w:r>
            <w:r>
              <w:rPr>
                <w:b/>
                <w:bCs/>
                <w:color w:val="auto"/>
              </w:rPr>
              <w:t>.</w:t>
            </w:r>
            <w:r>
              <w:rPr>
                <w:rFonts w:hint="eastAsia"/>
                <w:b/>
                <w:bCs/>
                <w:color w:val="auto"/>
              </w:rPr>
              <w:t>4</w:t>
            </w:r>
            <w:r>
              <w:rPr>
                <w:b/>
                <w:bCs/>
                <w:color w:val="auto"/>
              </w:rPr>
              <w:t xml:space="preserve"> 规则与语义认知差异带来的研究偏差风险控制</w:t>
            </w:r>
          </w:p>
          <w:p w14:paraId="3DE764B6">
            <w:pPr>
              <w:spacing w:line="276" w:lineRule="auto"/>
              <w:ind w:firstLine="440" w:firstLineChars="200"/>
              <w:rPr>
                <w:rFonts w:hint="eastAsia"/>
                <w:color w:val="auto"/>
              </w:rPr>
            </w:pPr>
            <w:r>
              <w:rPr>
                <w:color w:val="auto"/>
              </w:rPr>
              <w:t>本项目围绕工单语义校核与审查范式开展研究，其研究基础建立在现有运维制度、业务规则以及人员长期形成的操作习惯之上。在实际工作中，不同单位、不同岗位对制度条款和业务规则的理解方式可能存在差异，工单填写过程中也往往带有一定的经验性和口语化特征。这种认知差异在研究初期可能对语义建模和规则抽象带来偏差，进而影响研究结论的一致性。</w:t>
            </w:r>
          </w:p>
          <w:p w14:paraId="4D2A1E7F">
            <w:pPr>
              <w:spacing w:line="276" w:lineRule="auto"/>
              <w:ind w:firstLine="440" w:firstLineChars="200"/>
              <w:rPr>
                <w:rFonts w:hint="eastAsia"/>
                <w:color w:val="auto"/>
              </w:rPr>
            </w:pPr>
            <w:r>
              <w:rPr>
                <w:color w:val="auto"/>
              </w:rPr>
              <w:t>针对上述情况，项目实施过程中将依托现有制度体系和工单管理规范，在研究推进中同步引入业务专家和运维骨干参与规则梳理与语义校验，通过多轮讨论和样例对照，逐步统一关键概念和判定口径。在研究方法设计上，避免将单一理解方式固化为“标准答案”，而是通过多样化样本和规则层级划分，提升研究成果对实际业务差异的包容性和适应性。</w:t>
            </w:r>
          </w:p>
          <w:p w14:paraId="39E17067">
            <w:pPr>
              <w:spacing w:line="276" w:lineRule="auto"/>
              <w:ind w:firstLine="442" w:firstLineChars="200"/>
              <w:rPr>
                <w:rFonts w:hint="eastAsia"/>
                <w:color w:val="auto"/>
              </w:rPr>
            </w:pPr>
            <w:r>
              <w:rPr>
                <w:b/>
                <w:bCs/>
                <w:color w:val="auto"/>
              </w:rPr>
              <w:t>13.</w:t>
            </w:r>
            <w:r>
              <w:rPr>
                <w:rFonts w:hint="eastAsia"/>
                <w:b/>
                <w:bCs/>
                <w:color w:val="auto"/>
              </w:rPr>
              <w:t>4</w:t>
            </w:r>
            <w:r>
              <w:rPr>
                <w:b/>
                <w:bCs/>
                <w:color w:val="auto"/>
              </w:rPr>
              <w:t>.</w:t>
            </w:r>
            <w:r>
              <w:rPr>
                <w:rFonts w:hint="eastAsia"/>
                <w:b/>
                <w:bCs/>
                <w:color w:val="auto"/>
              </w:rPr>
              <w:t>5</w:t>
            </w:r>
            <w:r>
              <w:rPr>
                <w:b/>
                <w:bCs/>
                <w:color w:val="auto"/>
              </w:rPr>
              <w:t xml:space="preserve"> 研究成果表达与实际应用理解偏差风险控制</w:t>
            </w:r>
          </w:p>
          <w:p w14:paraId="54CE290C">
            <w:pPr>
              <w:spacing w:line="276" w:lineRule="auto"/>
              <w:ind w:firstLine="440" w:firstLineChars="200"/>
              <w:rPr>
                <w:rFonts w:hint="eastAsia"/>
                <w:color w:val="auto"/>
              </w:rPr>
            </w:pPr>
            <w:r>
              <w:rPr>
                <w:color w:val="auto"/>
              </w:rPr>
              <w:t>本项目研究成果以知识模型、语义规则和审查范式等形式呈现，具有一定的专业性和抽象性。在实际应用推广过程中，若成果表达方式与现有运维人员的认知习惯和工作流程衔接不够紧密，可能影响成果的理解程度和应用效果。</w:t>
            </w:r>
          </w:p>
          <w:p w14:paraId="78D1D27E">
            <w:pPr>
              <w:spacing w:line="276" w:lineRule="auto"/>
              <w:ind w:firstLine="440" w:firstLineChars="200"/>
              <w:rPr>
                <w:rFonts w:hint="eastAsia"/>
                <w:color w:val="auto"/>
              </w:rPr>
            </w:pPr>
            <w:r>
              <w:rPr>
                <w:color w:val="auto"/>
              </w:rPr>
              <w:t>为降低上述风险，项目在研究实施阶段将注重成果表达形式与现有工作方式的匹配度，在保持研究严谨性的同时，通过示例化说明、典型工单对照和流程化描述等方式，使研究结论更易于理解和使用。同时，在成果验证过程中结合现有运维人员的反馈意见，对成果表达方式进行必要调整，确保研究成果既具备方法论价值，又具备实际应用的可接受性。</w:t>
            </w:r>
          </w:p>
          <w:p w14:paraId="7939B5AF">
            <w:pPr>
              <w:pStyle w:val="10"/>
              <w:spacing w:line="276" w:lineRule="auto"/>
              <w:ind w:firstLine="442"/>
              <w:rPr>
                <w:rFonts w:hint="eastAsia"/>
                <w:b/>
                <w:bCs/>
                <w:color w:val="auto"/>
              </w:rPr>
            </w:pPr>
            <w:r>
              <w:rPr>
                <w:b/>
                <w:bCs/>
                <w:color w:val="auto"/>
              </w:rPr>
              <w:t>13.</w:t>
            </w:r>
            <w:r>
              <w:rPr>
                <w:rFonts w:hint="eastAsia"/>
                <w:b/>
                <w:bCs/>
                <w:color w:val="auto"/>
              </w:rPr>
              <w:t>4</w:t>
            </w:r>
            <w:r>
              <w:rPr>
                <w:b/>
                <w:bCs/>
                <w:color w:val="auto"/>
              </w:rPr>
              <w:t>.</w:t>
            </w:r>
            <w:r>
              <w:rPr>
                <w:rFonts w:hint="eastAsia"/>
                <w:b/>
                <w:bCs/>
                <w:color w:val="auto"/>
              </w:rPr>
              <w:t>6</w:t>
            </w:r>
            <w:r>
              <w:rPr>
                <w:b/>
                <w:bCs/>
                <w:color w:val="auto"/>
              </w:rPr>
              <w:t xml:space="preserve"> 研究验证与成果可落地性的风险控制</w:t>
            </w:r>
          </w:p>
          <w:p w14:paraId="52F8EB36">
            <w:pPr>
              <w:spacing w:line="276" w:lineRule="auto"/>
              <w:ind w:firstLine="440"/>
              <w:rPr>
                <w:rFonts w:hint="eastAsia" w:ascii="黑体" w:hAnsi="黑体" w:eastAsia="黑体" w:cs="黑体"/>
                <w:color w:val="auto"/>
                <w:spacing w:val="-1"/>
                <w:sz w:val="24"/>
                <w:szCs w:val="24"/>
              </w:rPr>
            </w:pPr>
            <w:r>
              <w:rPr>
                <w:color w:val="auto"/>
              </w:rPr>
              <w:t>本项目研究成果需在真实运维管理场景中具备验证基础和应用潜力，而部分运维场景在实验环境中难以完全复现，可能对研究成果验证的全面性产生影响。对此，项目实施将依托现有运维管理实践和典型业务场景，采用循序渐进的验证方式，对研究成果在不同工单类型和业务场景下的表现进行检验，并结合运维人员反馈持续优化研究结论表达形式，确保研究成果在现有管理体系下具备可理解性和可应用性。</w:t>
            </w:r>
          </w:p>
        </w:tc>
      </w:tr>
      <w:tr w14:paraId="745D90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99" w:hRule="atLeast"/>
        </w:trPr>
        <w:tc>
          <w:tcPr>
            <w:tcW w:w="9626" w:type="dxa"/>
          </w:tcPr>
          <w:p w14:paraId="755E5381">
            <w:pPr>
              <w:spacing w:before="38" w:line="243" w:lineRule="auto"/>
              <w:ind w:left="15" w:right="16" w:firstLine="1"/>
              <w:rPr>
                <w:rFonts w:hint="eastAsia" w:ascii="黑体" w:hAnsi="黑体" w:eastAsia="黑体" w:cs="黑体"/>
                <w:color w:val="auto"/>
                <w:spacing w:val="-6"/>
                <w:sz w:val="24"/>
                <w:szCs w:val="24"/>
              </w:rPr>
            </w:pPr>
            <w:r>
              <w:rPr>
                <w:rFonts w:ascii="黑体" w:hAnsi="黑体" w:eastAsia="黑体" w:cs="黑体"/>
                <w:color w:val="auto"/>
                <w:sz w:val="24"/>
                <w:szCs w:val="24"/>
              </w:rPr>
              <w:t>十四、预期研究目标（重点描述解决问题的效果，预期经济</w:t>
            </w:r>
            <w:r>
              <w:rPr>
                <w:rFonts w:ascii="黑体" w:hAnsi="黑体" w:eastAsia="黑体" w:cs="黑体"/>
                <w:color w:val="auto"/>
                <w:spacing w:val="-1"/>
                <w:sz w:val="24"/>
                <w:szCs w:val="24"/>
              </w:rPr>
              <w:t>技术指标，可以定性和定量相结</w:t>
            </w:r>
            <w:r>
              <w:rPr>
                <w:rFonts w:ascii="黑体" w:hAnsi="黑体" w:eastAsia="黑体" w:cs="黑体"/>
                <w:color w:val="auto"/>
                <w:spacing w:val="-6"/>
                <w:sz w:val="24"/>
                <w:szCs w:val="24"/>
              </w:rPr>
              <w:t>合）</w:t>
            </w:r>
          </w:p>
          <w:p w14:paraId="5B788501">
            <w:pPr>
              <w:spacing w:line="276" w:lineRule="auto"/>
              <w:ind w:firstLine="411" w:firstLineChars="196"/>
              <w:rPr>
                <w:rFonts w:hint="eastAsia"/>
                <w:color w:val="auto"/>
                <w:sz w:val="21"/>
                <w:szCs w:val="21"/>
              </w:rPr>
            </w:pPr>
            <w:r>
              <w:rPr>
                <w:rFonts w:hint="eastAsia"/>
                <w:color w:val="auto"/>
                <w:sz w:val="21"/>
                <w:szCs w:val="21"/>
              </w:rPr>
              <w:t>本项目针对湖北烟草网信战线运维管理工作在数字化转型中面临的三大核心难题，通过构建“知识图谱+知识库”的GraphRag方法体系，实现工单的自动化合规校核与智能推理，预期在以下方面取得突破：</w:t>
            </w:r>
          </w:p>
          <w:p w14:paraId="1E3CEF61">
            <w:pPr>
              <w:spacing w:line="440" w:lineRule="exact"/>
              <w:rPr>
                <w:rFonts w:ascii="Times New Roman" w:hAnsi="Times New Roman" w:eastAsia="黑体" w:cstheme="majorBidi"/>
                <w:b/>
                <w:color w:val="auto"/>
                <w:kern w:val="2"/>
                <w:sz w:val="28"/>
                <w:szCs w:val="40"/>
              </w:rPr>
            </w:pPr>
            <w:r>
              <w:rPr>
                <w:rFonts w:hint="eastAsia" w:ascii="Times New Roman" w:hAnsi="Times New Roman" w:eastAsia="黑体" w:cstheme="majorBidi"/>
                <w:b/>
                <w:color w:val="auto"/>
                <w:kern w:val="2"/>
                <w:sz w:val="28"/>
                <w:szCs w:val="40"/>
              </w:rPr>
              <w:t>14.1 解决问题的效果</w:t>
            </w:r>
          </w:p>
          <w:p w14:paraId="66F3FBEB">
            <w:pPr>
              <w:spacing w:line="440" w:lineRule="exact"/>
              <w:rPr>
                <w:rFonts w:hint="eastAsia"/>
                <w:b/>
                <w:bCs/>
                <w:color w:val="auto"/>
                <w:sz w:val="21"/>
                <w:szCs w:val="21"/>
              </w:rPr>
            </w:pPr>
            <w:r>
              <w:rPr>
                <w:rFonts w:hint="eastAsia"/>
                <w:b/>
                <w:bCs/>
                <w:color w:val="auto"/>
                <w:sz w:val="21"/>
                <w:szCs w:val="21"/>
              </w:rPr>
              <w:t>（一）知识壁垒的穿透效果</w:t>
            </w:r>
          </w:p>
          <w:p w14:paraId="5C9D286D">
            <w:pPr>
              <w:spacing w:line="276" w:lineRule="auto"/>
              <w:ind w:firstLine="411" w:firstLineChars="196"/>
              <w:rPr>
                <w:rFonts w:hint="eastAsia"/>
                <w:color w:val="auto"/>
                <w:sz w:val="21"/>
                <w:szCs w:val="21"/>
              </w:rPr>
            </w:pPr>
            <w:r>
              <w:rPr>
                <w:rFonts w:hint="eastAsia"/>
                <w:color w:val="auto"/>
                <w:sz w:val="21"/>
                <w:szCs w:val="21"/>
              </w:rPr>
              <w:t>通过构建覆盖湖北烟草网信领域的知识图谱，将分散在人员、文档和系统中的运维知识（如故障、流程）进行有效整合与治理。方法能够从非结构化文本中自动提取实体和关系，提升实体识别准确率、关系抽取F1值，使机器能够理解和推理运维知识，力图改变传统依赖人工经验的工作模式。</w:t>
            </w:r>
          </w:p>
          <w:p w14:paraId="438C674D">
            <w:pPr>
              <w:autoSpaceDE/>
              <w:autoSpaceDN/>
              <w:spacing w:line="276" w:lineRule="auto"/>
              <w:jc w:val="both"/>
              <w:rPr>
                <w:rFonts w:hint="eastAsia"/>
                <w:b/>
                <w:bCs/>
                <w:color w:val="auto"/>
                <w:sz w:val="21"/>
                <w:szCs w:val="21"/>
              </w:rPr>
            </w:pPr>
            <w:r>
              <w:rPr>
                <w:rFonts w:hint="eastAsia"/>
                <w:b/>
                <w:bCs/>
                <w:color w:val="auto"/>
                <w:sz w:val="21"/>
                <w:szCs w:val="21"/>
              </w:rPr>
              <w:t>（二）语义鸿沟的跨越效果</w:t>
            </w:r>
          </w:p>
          <w:p w14:paraId="5CD2BBFF">
            <w:pPr>
              <w:spacing w:line="276" w:lineRule="auto"/>
              <w:ind w:firstLine="411" w:firstLineChars="196"/>
              <w:rPr>
                <w:rFonts w:hint="eastAsia"/>
                <w:color w:val="auto"/>
                <w:sz w:val="21"/>
                <w:szCs w:val="21"/>
              </w:rPr>
            </w:pPr>
            <w:r>
              <w:rPr>
                <w:rFonts w:hint="eastAsia"/>
                <w:color w:val="auto"/>
                <w:sz w:val="21"/>
                <w:szCs w:val="21"/>
              </w:rPr>
              <w:t>基于知识增强与上下文感知的工单深度语义解析模型，能够准确理解人工填写的工单文本描述，与监控事件、业务场景及标准知识建立语义关联。通过混合检索（向量检索+关键词检索）和重排序技术，提升工单语义解析准确率，预期实现工单的智能分类、自动派单和优先级排序，显著提升工单处理效率。</w:t>
            </w:r>
          </w:p>
          <w:p w14:paraId="371847A2">
            <w:pPr>
              <w:autoSpaceDE/>
              <w:autoSpaceDN/>
              <w:spacing w:line="276" w:lineRule="auto"/>
              <w:jc w:val="both"/>
              <w:rPr>
                <w:rFonts w:hint="eastAsia"/>
                <w:b/>
                <w:bCs/>
                <w:color w:val="auto"/>
                <w:sz w:val="21"/>
                <w:szCs w:val="21"/>
              </w:rPr>
            </w:pPr>
            <w:r>
              <w:rPr>
                <w:rFonts w:hint="eastAsia"/>
                <w:b/>
                <w:bCs/>
                <w:color w:val="auto"/>
                <w:sz w:val="21"/>
                <w:szCs w:val="21"/>
              </w:rPr>
              <w:t>（三）规则僵局的破解效果</w:t>
            </w:r>
          </w:p>
          <w:p w14:paraId="71E15288">
            <w:pPr>
              <w:pStyle w:val="10"/>
              <w:rPr>
                <w:rFonts w:hint="eastAsia"/>
                <w:color w:val="auto"/>
              </w:rPr>
            </w:pPr>
            <w:r>
              <w:rPr>
                <w:rFonts w:hint="eastAsia"/>
                <w:color w:val="auto"/>
              </w:rPr>
              <w:t>将自然语言描述的运维管理制度和标准操作流程转化为可计算、可执行的自动化审查规则。通过SWRL规则语言定义运维规则，结合图神经网络推理，实现多跳推理和可解释性推理，使合规校核从人工层面提升至自动化层面，提升规则执行准确率。</w:t>
            </w:r>
          </w:p>
          <w:p w14:paraId="25B6FD6C">
            <w:pPr>
              <w:spacing w:line="440" w:lineRule="exact"/>
              <w:rPr>
                <w:rFonts w:ascii="Times New Roman" w:hAnsi="Times New Roman" w:eastAsia="黑体" w:cstheme="majorBidi"/>
                <w:b/>
                <w:color w:val="auto"/>
                <w:sz w:val="28"/>
                <w:szCs w:val="40"/>
              </w:rPr>
            </w:pPr>
            <w:r>
              <w:rPr>
                <w:rFonts w:hint="eastAsia" w:ascii="Times New Roman" w:hAnsi="Times New Roman" w:eastAsia="黑体" w:cstheme="majorBidi"/>
                <w:b/>
                <w:color w:val="auto"/>
                <w:kern w:val="2"/>
                <w:sz w:val="28"/>
                <w:szCs w:val="40"/>
              </w:rPr>
              <w:t>14.2 应用场景价值与推广</w:t>
            </w:r>
          </w:p>
          <w:p w14:paraId="5DF069D5">
            <w:pPr>
              <w:spacing w:line="276" w:lineRule="auto"/>
              <w:ind w:firstLine="411" w:firstLineChars="196"/>
              <w:rPr>
                <w:rFonts w:hint="eastAsia"/>
                <w:color w:val="auto"/>
                <w:sz w:val="21"/>
                <w:szCs w:val="21"/>
              </w:rPr>
            </w:pPr>
            <w:r>
              <w:rPr>
                <w:rFonts w:hint="eastAsia"/>
                <w:color w:val="auto"/>
                <w:sz w:val="21"/>
                <w:szCs w:val="21"/>
              </w:rPr>
              <w:t>本项目构建的统一运维知识图谱体系和GraphRag智能审查能力，研究范畴聚焦在网信领域的运维工单智能化处理，如果示范验证效果良好，未来可在湖北烟草业务场景中发挥价值，实现资产关系管理、故障模式识别、流程规范校核等全链路知识化与智能化支撑。通过语义理解模型和自动审查机制，工单质量得到有效提升，规范性检查、合规校核与根因分析实现自动化，工单处理周期明显缩短，人工审查工作量大幅降低，审查一致性与准确性明显提高，运维流程实现从经验依赖向知识驱动、智能推理的全面转型。</w:t>
            </w:r>
          </w:p>
          <w:p w14:paraId="295FC200">
            <w:pPr>
              <w:spacing w:line="276" w:lineRule="auto"/>
              <w:ind w:firstLine="411" w:firstLineChars="196"/>
              <w:rPr>
                <w:rFonts w:hint="eastAsia"/>
                <w:color w:val="auto"/>
                <w:sz w:val="21"/>
                <w:szCs w:val="21"/>
              </w:rPr>
            </w:pPr>
            <w:r>
              <w:rPr>
                <w:rFonts w:hint="eastAsia"/>
                <w:color w:val="auto"/>
                <w:sz w:val="21"/>
                <w:szCs w:val="21"/>
              </w:rPr>
              <w:t>多场景应用中，智能工单质量体系可持续优化工单结构、提质运维流程、降低异常处理成本，并在制度流程执行、风险识别、监控事件响应等方面形成自动化支持，推动运维体系标准化、自动化与透明化建设。得益于知识图谱的可扩展性与模型的可迁移性，项目成果具有高度可复制性，可推广至多业务条线，构建企业级运维知识底座与审查规范体系。</w:t>
            </w:r>
          </w:p>
          <w:p w14:paraId="026CEE14">
            <w:pPr>
              <w:spacing w:line="276" w:lineRule="auto"/>
              <w:ind w:firstLine="411" w:firstLineChars="196"/>
              <w:rPr>
                <w:rFonts w:hint="eastAsia"/>
                <w:color w:val="auto"/>
                <w:sz w:val="21"/>
                <w:szCs w:val="21"/>
              </w:rPr>
            </w:pPr>
            <w:r>
              <w:rPr>
                <w:rFonts w:hint="eastAsia"/>
                <w:color w:val="auto"/>
                <w:sz w:val="21"/>
                <w:szCs w:val="21"/>
              </w:rPr>
              <w:t>综上，本研究成果将为湖北烟草网信领域数字化转型提供可复制、可扩展、可持续演进的技术路径，支撑运维管理从“经验驱动”迈向“数据驱动+知识推理驱动”，为全省系统网信战线高质量发展注入新动能。</w:t>
            </w:r>
          </w:p>
          <w:p w14:paraId="4656B84B">
            <w:pPr>
              <w:spacing w:line="440" w:lineRule="exact"/>
              <w:rPr>
                <w:rFonts w:hint="eastAsia" w:ascii="Times New Roman" w:hAnsi="Times New Roman" w:eastAsia="黑体" w:cstheme="majorBidi"/>
                <w:b/>
                <w:color w:val="auto"/>
                <w:sz w:val="28"/>
                <w:szCs w:val="40"/>
                <w:lang w:val="en-US" w:eastAsia="zh-CN"/>
              </w:rPr>
            </w:pPr>
            <w:r>
              <w:rPr>
                <w:rFonts w:hint="eastAsia" w:ascii="Times New Roman" w:hAnsi="Times New Roman" w:eastAsia="黑体" w:cstheme="majorBidi"/>
                <w:b/>
                <w:color w:val="auto"/>
                <w:kern w:val="2"/>
                <w:sz w:val="28"/>
                <w:szCs w:val="40"/>
              </w:rPr>
              <w:t>14.</w:t>
            </w:r>
            <w:r>
              <w:rPr>
                <w:rFonts w:hint="eastAsia" w:ascii="Times New Roman" w:hAnsi="Times New Roman" w:eastAsia="黑体" w:cstheme="majorBidi"/>
                <w:b/>
                <w:color w:val="auto"/>
                <w:kern w:val="2"/>
                <w:sz w:val="28"/>
                <w:szCs w:val="40"/>
                <w:lang w:val="en-US" w:eastAsia="zh-CN"/>
              </w:rPr>
              <w:t>3</w:t>
            </w:r>
            <w:r>
              <w:rPr>
                <w:rFonts w:hint="eastAsia" w:ascii="Times New Roman" w:hAnsi="Times New Roman" w:eastAsia="黑体" w:cstheme="majorBidi"/>
                <w:b/>
                <w:color w:val="auto"/>
                <w:kern w:val="2"/>
                <w:sz w:val="28"/>
                <w:szCs w:val="40"/>
              </w:rPr>
              <w:t xml:space="preserve"> </w:t>
            </w:r>
            <w:r>
              <w:rPr>
                <w:rFonts w:hint="eastAsia" w:ascii="Times New Roman" w:hAnsi="Times New Roman" w:eastAsia="黑体" w:cstheme="majorBidi"/>
                <w:b/>
                <w:color w:val="auto"/>
                <w:kern w:val="2"/>
                <w:sz w:val="28"/>
                <w:szCs w:val="40"/>
                <w:lang w:val="en-US" w:eastAsia="zh-CN"/>
              </w:rPr>
              <w:t>预期经济技术指标</w:t>
            </w:r>
          </w:p>
          <w:p w14:paraId="680D3D3F">
            <w:pPr>
              <w:spacing w:line="276" w:lineRule="auto"/>
              <w:ind w:firstLine="411" w:firstLineChars="196"/>
              <w:rPr>
                <w:rFonts w:hint="eastAsia"/>
                <w:color w:val="auto"/>
                <w:sz w:val="21"/>
                <w:szCs w:val="21"/>
              </w:rPr>
            </w:pPr>
            <w:r>
              <w:rPr>
                <w:rFonts w:hint="eastAsia"/>
                <w:color w:val="auto"/>
                <w:sz w:val="21"/>
                <w:szCs w:val="21"/>
              </w:rPr>
              <w:t>本项目预期达成以下具体、可验证的量化目标，以交付一个高性能、可解释的工单智能审查示范系统：</w:t>
            </w:r>
          </w:p>
          <w:p w14:paraId="57FB9839">
            <w:pPr>
              <w:spacing w:line="276" w:lineRule="auto"/>
              <w:ind w:firstLine="413" w:firstLineChars="196"/>
              <w:rPr>
                <w:rFonts w:hint="eastAsia"/>
                <w:color w:val="auto"/>
                <w:sz w:val="21"/>
                <w:szCs w:val="21"/>
              </w:rPr>
            </w:pPr>
            <w:r>
              <w:rPr>
                <w:rFonts w:hint="eastAsia"/>
                <w:b/>
                <w:bCs/>
                <w:color w:val="auto"/>
                <w:sz w:val="21"/>
                <w:szCs w:val="21"/>
              </w:rPr>
              <w:t>知识图谱构建质量与规模指标：</w:t>
            </w:r>
            <w:r>
              <w:rPr>
                <w:rFonts w:hint="eastAsia"/>
                <w:b w:val="0"/>
                <w:bCs w:val="0"/>
                <w:color w:val="auto"/>
                <w:sz w:val="21"/>
                <w:szCs w:val="21"/>
              </w:rPr>
              <w:t>构</w:t>
            </w:r>
            <w:r>
              <w:rPr>
                <w:rFonts w:hint="eastAsia"/>
                <w:color w:val="auto"/>
                <w:sz w:val="21"/>
                <w:szCs w:val="21"/>
              </w:rPr>
              <w:t>建一个覆盖5个核心网信场景（</w:t>
            </w:r>
            <w:r>
              <w:rPr>
                <w:rFonts w:hint="eastAsia"/>
                <w:color w:val="auto"/>
                <w:sz w:val="21"/>
                <w:szCs w:val="21"/>
                <w:lang w:val="en-US" w:eastAsia="zh-CN"/>
              </w:rPr>
              <w:t>如</w:t>
            </w:r>
            <w:r>
              <w:rPr>
                <w:rFonts w:hint="eastAsia"/>
                <w:color w:val="auto"/>
                <w:sz w:val="21"/>
                <w:szCs w:val="21"/>
              </w:rPr>
              <w:t>硬件、系统、数据库、网络、安全</w:t>
            </w:r>
            <w:r>
              <w:rPr>
                <w:rFonts w:hint="eastAsia"/>
                <w:color w:val="auto"/>
                <w:sz w:val="21"/>
                <w:szCs w:val="21"/>
                <w:lang w:val="en-US" w:eastAsia="zh-CN"/>
              </w:rPr>
              <w:t>等</w:t>
            </w:r>
            <w:r>
              <w:rPr>
                <w:rFonts w:hint="eastAsia"/>
                <w:color w:val="auto"/>
                <w:sz w:val="21"/>
                <w:szCs w:val="21"/>
              </w:rPr>
              <w:t>）的统一运维知识图谱，实体规模不低于500个，核心关系规模不低于50条，核心实体属性填充完整度不低于9</w:t>
            </w:r>
            <w:r>
              <w:rPr>
                <w:rFonts w:hint="eastAsia"/>
                <w:color w:val="auto"/>
                <w:sz w:val="21"/>
                <w:szCs w:val="21"/>
                <w:lang w:val="en-US" w:eastAsia="zh-CN"/>
              </w:rPr>
              <w:t>0</w:t>
            </w:r>
            <w:r>
              <w:rPr>
                <w:rFonts w:hint="eastAsia"/>
                <w:color w:val="auto"/>
                <w:sz w:val="21"/>
                <w:szCs w:val="21"/>
              </w:rPr>
              <w:t>%。</w:t>
            </w:r>
          </w:p>
          <w:p w14:paraId="3C7154E7">
            <w:pPr>
              <w:spacing w:line="276" w:lineRule="auto"/>
              <w:ind w:firstLine="413" w:firstLineChars="196"/>
              <w:rPr>
                <w:rFonts w:hint="eastAsia"/>
                <w:color w:val="auto"/>
                <w:sz w:val="21"/>
                <w:szCs w:val="21"/>
              </w:rPr>
            </w:pPr>
            <w:r>
              <w:rPr>
                <w:rFonts w:hint="eastAsia"/>
                <w:b/>
                <w:bCs/>
                <w:color w:val="auto"/>
                <w:sz w:val="21"/>
                <w:szCs w:val="21"/>
              </w:rPr>
              <w:t>系统核心性能指标：</w:t>
            </w:r>
            <w:r>
              <w:rPr>
                <w:rFonts w:hint="eastAsia"/>
                <w:color w:val="auto"/>
                <w:sz w:val="21"/>
                <w:szCs w:val="21"/>
              </w:rPr>
              <w:t>工单智能审查系统对单次查询的混合检索平均响应时间不超过2秒。在专用测试集上，对工单规范性问题的自动识别召回率不低于80%。</w:t>
            </w:r>
          </w:p>
          <w:p w14:paraId="521E61FA">
            <w:pPr>
              <w:spacing w:line="276" w:lineRule="auto"/>
              <w:ind w:firstLine="413" w:firstLineChars="196"/>
              <w:rPr>
                <w:rFonts w:hint="eastAsia"/>
                <w:color w:val="auto"/>
                <w:sz w:val="21"/>
                <w:szCs w:val="21"/>
              </w:rPr>
            </w:pPr>
            <w:r>
              <w:rPr>
                <w:rFonts w:hint="eastAsia"/>
                <w:b/>
                <w:bCs/>
                <w:color w:val="auto"/>
                <w:sz w:val="21"/>
                <w:szCs w:val="21"/>
              </w:rPr>
              <w:t>智能化与自动化能力指标：</w:t>
            </w:r>
            <w:r>
              <w:rPr>
                <w:rFonts w:hint="eastAsia"/>
                <w:color w:val="auto"/>
                <w:sz w:val="21"/>
                <w:szCs w:val="21"/>
              </w:rPr>
              <w:t>完成不少于50条核心运维规则的数字化与入库，实现规则覆盖场景下100%的自动审查触发，且所有结论均附带可追溯的推理路径说明。</w:t>
            </w:r>
          </w:p>
          <w:p w14:paraId="6D089D11">
            <w:pPr>
              <w:spacing w:line="276" w:lineRule="auto"/>
              <w:ind w:firstLine="413" w:firstLineChars="196"/>
              <w:rPr>
                <w:rFonts w:hint="eastAsia"/>
                <w:color w:val="auto"/>
                <w:sz w:val="21"/>
                <w:szCs w:val="21"/>
              </w:rPr>
            </w:pPr>
            <w:r>
              <w:rPr>
                <w:rFonts w:hint="eastAsia"/>
                <w:b/>
                <w:bCs/>
                <w:color w:val="auto"/>
                <w:sz w:val="21"/>
                <w:szCs w:val="21"/>
              </w:rPr>
              <w:t>成果固化与范式输出指标：</w:t>
            </w:r>
            <w:r>
              <w:rPr>
                <w:rFonts w:hint="eastAsia"/>
                <w:color w:val="auto"/>
                <w:sz w:val="21"/>
                <w:szCs w:val="21"/>
              </w:rPr>
              <w:t>形成一套完整的《运维工单智能校核与审查范式》方法论文档；完成1项发明专利的申请与2篇高水平学术论文的发表。</w:t>
            </w:r>
          </w:p>
          <w:p w14:paraId="39A8471E">
            <w:pPr>
              <w:spacing w:before="38" w:line="243" w:lineRule="auto"/>
              <w:ind w:left="15" w:right="16" w:firstLine="1"/>
              <w:rPr>
                <w:rFonts w:hint="eastAsia" w:ascii="黑体" w:hAnsi="黑体" w:eastAsia="黑体" w:cs="黑体"/>
                <w:color w:val="auto"/>
                <w:sz w:val="24"/>
                <w:szCs w:val="24"/>
              </w:rPr>
            </w:pPr>
          </w:p>
        </w:tc>
      </w:tr>
    </w:tbl>
    <w:p w14:paraId="6E3C6048">
      <w:pPr>
        <w:rPr>
          <w:rFonts w:hint="eastAsia"/>
          <w:color w:val="auto"/>
        </w:rPr>
      </w:pPr>
    </w:p>
    <w:p w14:paraId="670A8725">
      <w:pPr>
        <w:rPr>
          <w:rFonts w:hint="eastAsia"/>
          <w:color w:val="auto"/>
        </w:rPr>
        <w:sectPr>
          <w:headerReference r:id="rId11" w:type="default"/>
          <w:footerReference r:id="rId12" w:type="default"/>
          <w:pgSz w:w="11910" w:h="16850"/>
          <w:pgMar w:top="1715" w:right="997" w:bottom="1055" w:left="1281" w:header="1393" w:footer="820" w:gutter="0"/>
          <w:cols w:space="720" w:num="1"/>
        </w:sectPr>
      </w:pPr>
    </w:p>
    <w:tbl>
      <w:tblPr>
        <w:tblStyle w:val="16"/>
        <w:tblW w:w="96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26"/>
      </w:tblGrid>
      <w:tr w14:paraId="592376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73" w:hRule="atLeast"/>
        </w:trPr>
        <w:tc>
          <w:tcPr>
            <w:tcW w:w="9626" w:type="dxa"/>
          </w:tcPr>
          <w:p w14:paraId="7F87DB17">
            <w:pPr>
              <w:spacing w:before="40"/>
              <w:ind w:left="12" w:right="16" w:firstLine="4"/>
              <w:rPr>
                <w:rFonts w:hint="eastAsia" w:ascii="黑体" w:hAnsi="黑体" w:eastAsia="黑体" w:cs="黑体"/>
                <w:color w:val="auto"/>
                <w:spacing w:val="-1"/>
                <w:sz w:val="24"/>
                <w:szCs w:val="24"/>
              </w:rPr>
            </w:pPr>
            <w:r>
              <w:rPr>
                <w:rFonts w:ascii="黑体" w:hAnsi="黑体" w:eastAsia="黑体" w:cs="黑体"/>
                <w:color w:val="auto"/>
                <w:sz w:val="24"/>
                <w:szCs w:val="24"/>
              </w:rPr>
              <w:t>十五、成果交付物（解决方案、管理标准、技术标准，产品</w:t>
            </w:r>
            <w:r>
              <w:rPr>
                <w:rFonts w:ascii="黑体" w:hAnsi="黑体" w:eastAsia="黑体" w:cs="黑体"/>
                <w:color w:val="auto"/>
                <w:spacing w:val="-1"/>
                <w:sz w:val="24"/>
                <w:szCs w:val="24"/>
              </w:rPr>
              <w:t>或设备实物，亦包括项目研究形成的论文、专利等衍生产物）</w:t>
            </w:r>
          </w:p>
          <w:p w14:paraId="09E8865F">
            <w:pPr>
              <w:spacing w:line="276" w:lineRule="auto"/>
              <w:ind w:firstLine="411" w:firstLineChars="196"/>
              <w:rPr>
                <w:rFonts w:hint="eastAsia"/>
                <w:color w:val="auto"/>
                <w:sz w:val="21"/>
                <w:szCs w:val="21"/>
              </w:rPr>
            </w:pPr>
            <w:r>
              <w:rPr>
                <w:rFonts w:hint="eastAsia"/>
                <w:color w:val="auto"/>
                <w:sz w:val="21"/>
                <w:szCs w:val="21"/>
              </w:rPr>
              <w:t>本项目将形成“方法论-工具集-实证案例”三位一体的完整成果体系，具体交付物包括：</w:t>
            </w:r>
          </w:p>
          <w:p w14:paraId="013055EC">
            <w:pPr>
              <w:spacing w:line="276" w:lineRule="auto"/>
              <w:ind w:firstLine="413" w:firstLineChars="196"/>
              <w:rPr>
                <w:rFonts w:hint="default" w:eastAsia="宋体"/>
                <w:color w:val="auto"/>
                <w:sz w:val="21"/>
                <w:szCs w:val="21"/>
                <w:lang w:val="en-US" w:eastAsia="zh-CN"/>
              </w:rPr>
            </w:pPr>
            <w:r>
              <w:rPr>
                <w:rFonts w:hint="eastAsia"/>
                <w:b/>
                <w:bCs/>
                <w:color w:val="auto"/>
                <w:sz w:val="21"/>
                <w:szCs w:val="21"/>
              </w:rPr>
              <w:t>1. 核心方法范式与</w:t>
            </w:r>
            <w:r>
              <w:rPr>
                <w:rFonts w:hint="eastAsia"/>
                <w:b/>
                <w:bCs/>
                <w:color w:val="auto"/>
                <w:sz w:val="21"/>
                <w:szCs w:val="21"/>
                <w:lang w:val="en-US" w:eastAsia="zh-CN"/>
              </w:rPr>
              <w:t>规范文档</w:t>
            </w:r>
          </w:p>
          <w:p w14:paraId="33001886">
            <w:pPr>
              <w:spacing w:line="276" w:lineRule="auto"/>
              <w:ind w:firstLine="413" w:firstLineChars="196"/>
              <w:rPr>
                <w:rFonts w:hint="eastAsia"/>
                <w:color w:val="auto"/>
                <w:sz w:val="21"/>
                <w:szCs w:val="21"/>
              </w:rPr>
            </w:pPr>
            <w:r>
              <w:rPr>
                <w:rFonts w:hint="default" w:ascii="Calibri" w:hAnsi="Calibri" w:cs="Calibri"/>
                <w:b/>
                <w:bCs/>
                <w:color w:val="auto"/>
                <w:sz w:val="21"/>
                <w:szCs w:val="21"/>
              </w:rPr>
              <w:t>①</w:t>
            </w:r>
            <w:r>
              <w:rPr>
                <w:rFonts w:hint="eastAsia"/>
                <w:b/>
                <w:bCs/>
                <w:color w:val="auto"/>
                <w:sz w:val="21"/>
                <w:szCs w:val="21"/>
              </w:rPr>
              <w:t>《运维工单智能校核与审查范式白皮书》（</w:t>
            </w:r>
            <w:r>
              <w:rPr>
                <w:rFonts w:hint="eastAsia"/>
                <w:b/>
                <w:bCs/>
                <w:color w:val="auto"/>
                <w:sz w:val="21"/>
                <w:szCs w:val="21"/>
                <w:lang w:val="en-US" w:eastAsia="zh-CN"/>
              </w:rPr>
              <w:t>V1.0</w:t>
            </w:r>
            <w:r>
              <w:rPr>
                <w:rFonts w:hint="eastAsia"/>
                <w:b/>
                <w:bCs/>
                <w:color w:val="auto"/>
                <w:sz w:val="21"/>
                <w:szCs w:val="21"/>
              </w:rPr>
              <w:t>）</w:t>
            </w:r>
            <w:r>
              <w:rPr>
                <w:rFonts w:hint="eastAsia"/>
                <w:color w:val="auto"/>
                <w:sz w:val="21"/>
                <w:szCs w:val="21"/>
              </w:rPr>
              <w:t>：系统阐述基于知识图谱与GraphRAG的工单智能化处理方法论，包括体系架构、核心流程（知识构建-语义理解-规则推理-审查应用）、实施路径与评估标准。</w:t>
            </w:r>
          </w:p>
          <w:p w14:paraId="3F98B144">
            <w:pPr>
              <w:spacing w:line="276" w:lineRule="auto"/>
              <w:ind w:firstLine="413" w:firstLineChars="196"/>
              <w:rPr>
                <w:rFonts w:hint="eastAsia"/>
                <w:color w:val="auto"/>
                <w:sz w:val="21"/>
                <w:szCs w:val="21"/>
              </w:rPr>
            </w:pPr>
            <w:r>
              <w:rPr>
                <w:rFonts w:hint="default" w:ascii="Calibri" w:hAnsi="Calibri" w:cs="Calibri"/>
                <w:b/>
                <w:bCs/>
                <w:color w:val="auto"/>
                <w:sz w:val="21"/>
                <w:szCs w:val="21"/>
              </w:rPr>
              <w:t>②</w:t>
            </w:r>
            <w:r>
              <w:rPr>
                <w:rFonts w:hint="eastAsia"/>
                <w:b/>
                <w:bCs/>
                <w:color w:val="auto"/>
                <w:sz w:val="21"/>
                <w:szCs w:val="21"/>
              </w:rPr>
              <w:t>《湖北烟草网信运维知识图谱本体设计规范》（</w:t>
            </w:r>
            <w:r>
              <w:rPr>
                <w:rFonts w:hint="eastAsia"/>
                <w:b/>
                <w:bCs/>
                <w:color w:val="auto"/>
                <w:sz w:val="21"/>
                <w:szCs w:val="21"/>
                <w:lang w:val="en-US" w:eastAsia="zh-CN"/>
              </w:rPr>
              <w:t>V1.0</w:t>
            </w:r>
            <w:r>
              <w:rPr>
                <w:rFonts w:hint="eastAsia"/>
                <w:b/>
                <w:bCs/>
                <w:color w:val="auto"/>
                <w:sz w:val="21"/>
                <w:szCs w:val="21"/>
              </w:rPr>
              <w:t>）</w:t>
            </w:r>
            <w:r>
              <w:rPr>
                <w:rFonts w:hint="eastAsia"/>
                <w:color w:val="auto"/>
                <w:sz w:val="21"/>
                <w:szCs w:val="21"/>
              </w:rPr>
              <w:t>：明确定义“资产-告警-流程-人员-故障”等核心实体、属性及关系的OWL本体文档，为知识体系标准化奠定基础。</w:t>
            </w:r>
          </w:p>
          <w:p w14:paraId="7B18EDEE">
            <w:pPr>
              <w:spacing w:line="276" w:lineRule="auto"/>
              <w:ind w:firstLine="413" w:firstLineChars="196"/>
              <w:rPr>
                <w:rFonts w:hint="eastAsia"/>
                <w:color w:val="auto"/>
                <w:sz w:val="21"/>
                <w:szCs w:val="21"/>
              </w:rPr>
            </w:pPr>
            <w:r>
              <w:rPr>
                <w:rFonts w:hint="default" w:ascii="Calibri" w:hAnsi="Calibri" w:cs="Calibri"/>
                <w:b/>
                <w:bCs/>
                <w:color w:val="auto"/>
                <w:sz w:val="21"/>
                <w:szCs w:val="21"/>
              </w:rPr>
              <w:t>③</w:t>
            </w:r>
            <w:r>
              <w:rPr>
                <w:rFonts w:hint="eastAsia"/>
                <w:b/>
                <w:bCs/>
                <w:color w:val="auto"/>
                <w:sz w:val="21"/>
                <w:szCs w:val="21"/>
              </w:rPr>
              <w:t>《运维规则数字化转换模板与指南》（</w:t>
            </w:r>
            <w:r>
              <w:rPr>
                <w:rFonts w:hint="eastAsia"/>
                <w:b/>
                <w:bCs/>
                <w:color w:val="auto"/>
                <w:sz w:val="21"/>
                <w:szCs w:val="21"/>
                <w:lang w:val="en-US" w:eastAsia="zh-CN"/>
              </w:rPr>
              <w:t>V1.0</w:t>
            </w:r>
            <w:r>
              <w:rPr>
                <w:rFonts w:hint="eastAsia"/>
                <w:b/>
                <w:bCs/>
                <w:color w:val="auto"/>
                <w:sz w:val="21"/>
                <w:szCs w:val="21"/>
              </w:rPr>
              <w:t>）</w:t>
            </w:r>
            <w:r>
              <w:rPr>
                <w:rFonts w:hint="eastAsia"/>
                <w:color w:val="auto"/>
                <w:sz w:val="21"/>
                <w:szCs w:val="21"/>
              </w:rPr>
              <w:t>：提供将自然语言描述的运维管理制度，转换为SWRL规则或可执行逻辑的标准化模板与示例。</w:t>
            </w:r>
          </w:p>
          <w:p w14:paraId="5FB90204">
            <w:pPr>
              <w:spacing w:line="276" w:lineRule="auto"/>
              <w:ind w:firstLine="413" w:firstLineChars="196"/>
              <w:rPr>
                <w:rFonts w:hint="eastAsia" w:eastAsia="宋体"/>
                <w:color w:val="auto"/>
                <w:sz w:val="21"/>
                <w:szCs w:val="21"/>
                <w:lang w:eastAsia="zh-CN"/>
              </w:rPr>
            </w:pPr>
            <w:r>
              <w:rPr>
                <w:rFonts w:hint="eastAsia"/>
                <w:b/>
                <w:bCs/>
                <w:color w:val="auto"/>
                <w:sz w:val="21"/>
                <w:szCs w:val="21"/>
              </w:rPr>
              <w:t xml:space="preserve">2. </w:t>
            </w:r>
            <w:r>
              <w:rPr>
                <w:rFonts w:hint="eastAsia"/>
                <w:b/>
                <w:bCs/>
                <w:color w:val="auto"/>
                <w:sz w:val="21"/>
                <w:szCs w:val="21"/>
                <w:lang w:val="en-US" w:eastAsia="zh-CN"/>
              </w:rPr>
              <w:t>软件与数据资产</w:t>
            </w:r>
          </w:p>
          <w:p w14:paraId="2FA022BC">
            <w:pPr>
              <w:spacing w:line="276" w:lineRule="auto"/>
              <w:ind w:firstLine="413" w:firstLineChars="196"/>
              <w:rPr>
                <w:rFonts w:hint="eastAsia"/>
                <w:color w:val="auto"/>
                <w:sz w:val="21"/>
                <w:szCs w:val="21"/>
              </w:rPr>
            </w:pPr>
            <w:r>
              <w:rPr>
                <w:rFonts w:hint="default" w:ascii="Calibri" w:hAnsi="Calibri" w:eastAsia="宋体" w:cs="Calibri"/>
                <w:b/>
                <w:bCs/>
                <w:color w:val="auto"/>
                <w:sz w:val="21"/>
                <w:szCs w:val="21"/>
                <w:lang w:val="en-US" w:eastAsia="zh-CN"/>
              </w:rPr>
              <w:t>④</w:t>
            </w:r>
            <w:r>
              <w:rPr>
                <w:rFonts w:hint="eastAsia"/>
                <w:b/>
                <w:bCs/>
                <w:color w:val="auto"/>
                <w:sz w:val="21"/>
                <w:szCs w:val="21"/>
                <w:lang w:val="en-US" w:eastAsia="zh-CN"/>
              </w:rPr>
              <w:t>“工单智能审查（湖北烟草网信智能运维）”演示系统：基于</w:t>
            </w:r>
            <w:r>
              <w:rPr>
                <w:rFonts w:hint="eastAsia"/>
                <w:b/>
                <w:bCs/>
                <w:color w:val="auto"/>
                <w:sz w:val="21"/>
                <w:szCs w:val="21"/>
              </w:rPr>
              <w:t>GraphRAG智能审查</w:t>
            </w:r>
            <w:r>
              <w:rPr>
                <w:rFonts w:hint="eastAsia"/>
                <w:b/>
                <w:bCs/>
                <w:color w:val="auto"/>
                <w:sz w:val="21"/>
                <w:szCs w:val="21"/>
                <w:lang w:val="en-US" w:eastAsia="zh-CN"/>
              </w:rPr>
              <w:t>的</w:t>
            </w:r>
            <w:r>
              <w:rPr>
                <w:rFonts w:hint="eastAsia"/>
                <w:b/>
                <w:bCs/>
                <w:color w:val="auto"/>
                <w:sz w:val="21"/>
                <w:szCs w:val="21"/>
                <w:lang w:eastAsia="zh-CN"/>
              </w:rPr>
              <w:t>“湖北烟草网信智能运维”</w:t>
            </w:r>
            <w:r>
              <w:rPr>
                <w:rFonts w:hint="eastAsia"/>
                <w:b/>
                <w:bCs/>
                <w:color w:val="auto"/>
                <w:sz w:val="21"/>
                <w:szCs w:val="21"/>
                <w:lang w:val="en-US" w:eastAsia="zh-CN"/>
              </w:rPr>
              <w:t>演示</w:t>
            </w:r>
            <w:r>
              <w:rPr>
                <w:rFonts w:hint="eastAsia"/>
                <w:b/>
                <w:bCs/>
                <w:color w:val="auto"/>
                <w:sz w:val="21"/>
                <w:szCs w:val="21"/>
                <w:lang w:eastAsia="zh-CN"/>
              </w:rPr>
              <w:t>系统</w:t>
            </w:r>
            <w:r>
              <w:rPr>
                <w:rFonts w:hint="eastAsia"/>
                <w:color w:val="auto"/>
                <w:sz w:val="21"/>
                <w:szCs w:val="21"/>
                <w:lang w:eastAsia="zh-CN"/>
              </w:rPr>
              <w:t>（内嵌故障辅助诊断、工单智能审查、流程规范问答三大子能力），</w:t>
            </w:r>
            <w:r>
              <w:rPr>
                <w:rFonts w:hint="eastAsia"/>
                <w:color w:val="auto"/>
                <w:sz w:val="21"/>
                <w:szCs w:val="21"/>
              </w:rPr>
              <w:t>交付符合信创要求的可部署应用</w:t>
            </w:r>
            <w:r>
              <w:rPr>
                <w:rFonts w:hint="eastAsia"/>
                <w:color w:val="auto"/>
                <w:sz w:val="21"/>
                <w:szCs w:val="21"/>
                <w:lang w:val="en-US" w:eastAsia="zh-CN"/>
              </w:rPr>
              <w:t>的</w:t>
            </w:r>
            <w:r>
              <w:rPr>
                <w:rFonts w:hint="eastAsia"/>
                <w:color w:val="auto"/>
                <w:sz w:val="21"/>
                <w:szCs w:val="21"/>
              </w:rPr>
              <w:t>系统</w:t>
            </w:r>
            <w:r>
              <w:rPr>
                <w:rFonts w:hint="eastAsia"/>
                <w:color w:val="auto"/>
                <w:sz w:val="21"/>
                <w:szCs w:val="21"/>
                <w:lang w:val="en-US" w:eastAsia="zh-CN"/>
              </w:rPr>
              <w:t>可执行程序及</w:t>
            </w:r>
            <w:r>
              <w:rPr>
                <w:rFonts w:hint="eastAsia"/>
                <w:color w:val="auto"/>
                <w:sz w:val="21"/>
                <w:szCs w:val="21"/>
              </w:rPr>
              <w:t>源代码</w:t>
            </w:r>
            <w:r>
              <w:rPr>
                <w:rFonts w:hint="eastAsia"/>
                <w:color w:val="auto"/>
                <w:sz w:val="21"/>
                <w:szCs w:val="21"/>
                <w:lang w:val="en-US" w:eastAsia="zh-CN"/>
              </w:rPr>
              <w:t>1套</w:t>
            </w:r>
            <w:r>
              <w:rPr>
                <w:rFonts w:hint="eastAsia"/>
                <w:color w:val="auto"/>
                <w:sz w:val="21"/>
                <w:szCs w:val="21"/>
              </w:rPr>
              <w:t>。</w:t>
            </w:r>
          </w:p>
          <w:p w14:paraId="0993E025">
            <w:pPr>
              <w:spacing w:line="276" w:lineRule="auto"/>
              <w:ind w:firstLine="413" w:firstLineChars="196"/>
              <w:rPr>
                <w:rFonts w:hint="default" w:ascii="Calibri" w:hAnsi="Calibri" w:cs="Calibri"/>
                <w:b/>
                <w:bCs/>
                <w:color w:val="auto"/>
                <w:sz w:val="21"/>
                <w:szCs w:val="21"/>
                <w:lang w:val="en-US" w:eastAsia="zh-CN"/>
              </w:rPr>
            </w:pPr>
            <w:r>
              <w:rPr>
                <w:rFonts w:hint="default" w:ascii="Calibri" w:hAnsi="Calibri" w:eastAsia="宋体" w:cs="Calibri"/>
                <w:b/>
                <w:bCs/>
                <w:color w:val="auto"/>
                <w:sz w:val="21"/>
                <w:szCs w:val="21"/>
              </w:rPr>
              <w:t>⑤</w:t>
            </w:r>
            <w:r>
              <w:rPr>
                <w:rFonts w:hint="eastAsia" w:ascii="Calibri" w:hAnsi="Calibri" w:cs="Calibri"/>
                <w:b/>
                <w:bCs/>
                <w:color w:val="auto"/>
                <w:sz w:val="21"/>
                <w:szCs w:val="21"/>
                <w:lang w:val="en-US" w:eastAsia="zh-CN"/>
              </w:rPr>
              <w:t>运维知识图谱数据库文件：如</w:t>
            </w:r>
          </w:p>
          <w:p w14:paraId="3A13E331">
            <w:pPr>
              <w:spacing w:line="276" w:lineRule="auto"/>
              <w:ind w:firstLine="624" w:firstLineChars="296"/>
              <w:rPr>
                <w:rFonts w:hint="eastAsia"/>
                <w:color w:val="auto"/>
                <w:sz w:val="21"/>
                <w:szCs w:val="21"/>
              </w:rPr>
            </w:pPr>
            <w:r>
              <w:rPr>
                <w:rFonts w:hint="eastAsia"/>
                <w:b/>
                <w:bCs/>
                <w:color w:val="auto"/>
                <w:sz w:val="21"/>
                <w:szCs w:val="21"/>
              </w:rPr>
              <w:t>湖北烟草网信运维知识图谱库</w:t>
            </w:r>
            <w:r>
              <w:rPr>
                <w:rFonts w:hint="eastAsia"/>
                <w:color w:val="auto"/>
                <w:sz w:val="21"/>
                <w:szCs w:val="21"/>
              </w:rPr>
              <w:t>：基于图数据库的图谱数据文件，覆盖不少于5个场景。</w:t>
            </w:r>
          </w:p>
          <w:p w14:paraId="71B67E91">
            <w:pPr>
              <w:spacing w:line="276" w:lineRule="auto"/>
              <w:ind w:firstLine="624" w:firstLineChars="296"/>
              <w:rPr>
                <w:rFonts w:hint="eastAsia"/>
                <w:color w:val="auto"/>
                <w:sz w:val="21"/>
                <w:szCs w:val="21"/>
              </w:rPr>
            </w:pPr>
            <w:r>
              <w:rPr>
                <w:rFonts w:hint="eastAsia"/>
                <w:b/>
                <w:bCs/>
                <w:color w:val="auto"/>
                <w:sz w:val="21"/>
                <w:szCs w:val="21"/>
              </w:rPr>
              <w:t>标注语料与测试数据集</w:t>
            </w:r>
            <w:r>
              <w:rPr>
                <w:rFonts w:hint="eastAsia"/>
                <w:color w:val="auto"/>
                <w:sz w:val="21"/>
                <w:szCs w:val="21"/>
              </w:rPr>
              <w:t>：用于模型训练与评估的脱敏后工单文本、知识抽取标注数据。</w:t>
            </w:r>
          </w:p>
          <w:p w14:paraId="44BBF3A9">
            <w:pPr>
              <w:spacing w:line="276" w:lineRule="auto"/>
              <w:ind w:firstLine="413" w:firstLineChars="196"/>
              <w:rPr>
                <w:rFonts w:hint="eastAsia" w:ascii="Calibri" w:hAnsi="Calibri" w:cs="Calibri"/>
                <w:b/>
                <w:bCs/>
                <w:color w:val="auto"/>
                <w:sz w:val="21"/>
                <w:szCs w:val="21"/>
                <w:lang w:val="en-US" w:eastAsia="zh-CN"/>
              </w:rPr>
            </w:pPr>
            <w:r>
              <w:rPr>
                <w:rFonts w:hint="default" w:ascii="Calibri" w:hAnsi="Calibri" w:eastAsia="宋体" w:cs="Calibri"/>
                <w:b/>
                <w:bCs/>
                <w:color w:val="auto"/>
                <w:sz w:val="21"/>
                <w:szCs w:val="21"/>
              </w:rPr>
              <w:t>⑥</w:t>
            </w:r>
            <w:r>
              <w:rPr>
                <w:rFonts w:hint="eastAsia" w:ascii="Calibri" w:hAnsi="Calibri" w:cs="Calibri"/>
                <w:b/>
                <w:bCs/>
                <w:color w:val="auto"/>
                <w:sz w:val="21"/>
                <w:szCs w:val="21"/>
                <w:lang w:val="en-US" w:eastAsia="zh-CN"/>
              </w:rPr>
              <w:t>领域优化的语义理解模型文件：如</w:t>
            </w:r>
          </w:p>
          <w:p w14:paraId="227A724E">
            <w:pPr>
              <w:spacing w:line="276" w:lineRule="auto"/>
              <w:ind w:firstLine="624" w:firstLineChars="296"/>
              <w:rPr>
                <w:rFonts w:hint="default" w:ascii="Calibri" w:hAnsi="Calibri" w:cs="Calibri"/>
                <w:b/>
                <w:bCs/>
                <w:color w:val="auto"/>
                <w:sz w:val="21"/>
                <w:szCs w:val="21"/>
              </w:rPr>
            </w:pPr>
            <w:r>
              <w:rPr>
                <w:rFonts w:hint="eastAsia" w:ascii="Calibri" w:hAnsi="Calibri" w:cs="Calibri"/>
                <w:b/>
                <w:bCs/>
                <w:color w:val="auto"/>
                <w:sz w:val="21"/>
                <w:szCs w:val="21"/>
              </w:rPr>
              <w:t>运维工单语义理解模型：</w:t>
            </w:r>
            <w:r>
              <w:rPr>
                <w:rFonts w:hint="eastAsia" w:ascii="Calibri" w:hAnsi="Calibri" w:cs="Calibri"/>
                <w:b w:val="0"/>
                <w:bCs w:val="0"/>
                <w:color w:val="auto"/>
                <w:sz w:val="21"/>
                <w:szCs w:val="21"/>
              </w:rPr>
              <w:t>中文文本嵌入模型</w:t>
            </w:r>
            <w:r>
              <w:rPr>
                <w:rFonts w:hint="eastAsia" w:ascii="Calibri" w:hAnsi="Calibri" w:cs="Calibri"/>
                <w:b/>
                <w:bCs/>
                <w:color w:val="auto"/>
                <w:sz w:val="21"/>
                <w:szCs w:val="21"/>
              </w:rPr>
              <w:t>。</w:t>
            </w:r>
          </w:p>
          <w:p w14:paraId="41889FFF">
            <w:pPr>
              <w:spacing w:line="276" w:lineRule="auto"/>
              <w:ind w:firstLine="413" w:firstLineChars="196"/>
              <w:rPr>
                <w:rFonts w:hint="eastAsia" w:eastAsia="宋体"/>
                <w:color w:val="auto"/>
                <w:sz w:val="21"/>
                <w:szCs w:val="21"/>
                <w:lang w:eastAsia="zh-CN"/>
              </w:rPr>
            </w:pPr>
            <w:r>
              <w:rPr>
                <w:rFonts w:hint="eastAsia"/>
                <w:b/>
                <w:bCs/>
                <w:color w:val="auto"/>
                <w:sz w:val="21"/>
                <w:szCs w:val="21"/>
              </w:rPr>
              <w:t xml:space="preserve">3. </w:t>
            </w:r>
            <w:r>
              <w:rPr>
                <w:rFonts w:hint="eastAsia"/>
                <w:b/>
                <w:bCs/>
                <w:color w:val="auto"/>
                <w:sz w:val="21"/>
                <w:szCs w:val="21"/>
                <w:lang w:val="en-US" w:eastAsia="zh-CN"/>
              </w:rPr>
              <w:t>技术文档与报告</w:t>
            </w:r>
          </w:p>
          <w:p w14:paraId="427ABB7D">
            <w:pPr>
              <w:spacing w:line="276" w:lineRule="auto"/>
              <w:ind w:firstLine="413" w:firstLineChars="196"/>
              <w:rPr>
                <w:rFonts w:hint="eastAsia"/>
                <w:color w:val="auto"/>
                <w:sz w:val="21"/>
                <w:szCs w:val="21"/>
              </w:rPr>
            </w:pPr>
            <w:r>
              <w:rPr>
                <w:rFonts w:hint="default" w:ascii="Calibri" w:hAnsi="Calibri" w:eastAsia="宋体" w:cs="Calibri"/>
                <w:b/>
                <w:bCs/>
                <w:color w:val="auto"/>
                <w:sz w:val="21"/>
                <w:szCs w:val="21"/>
                <w:lang w:val="en-US" w:eastAsia="zh-CN"/>
              </w:rPr>
              <w:t>⑦</w:t>
            </w:r>
            <w:r>
              <w:rPr>
                <w:rFonts w:hint="eastAsia"/>
                <w:b/>
                <w:bCs/>
                <w:color w:val="auto"/>
                <w:sz w:val="21"/>
                <w:szCs w:val="21"/>
                <w:lang w:val="en-US" w:eastAsia="zh-CN"/>
              </w:rPr>
              <w:t>系统全套技术文档（设计、部署、用户、API手册）</w:t>
            </w:r>
            <w:r>
              <w:rPr>
                <w:rFonts w:hint="eastAsia"/>
                <w:color w:val="auto"/>
                <w:sz w:val="21"/>
                <w:szCs w:val="21"/>
              </w:rPr>
              <w:t>。</w:t>
            </w:r>
          </w:p>
          <w:p w14:paraId="0362FD3E">
            <w:pPr>
              <w:spacing w:line="276" w:lineRule="auto"/>
              <w:ind w:firstLine="413" w:firstLineChars="196"/>
              <w:rPr>
                <w:rFonts w:hint="eastAsia"/>
                <w:color w:val="auto"/>
                <w:sz w:val="21"/>
                <w:szCs w:val="21"/>
              </w:rPr>
            </w:pPr>
            <w:r>
              <w:rPr>
                <w:rFonts w:hint="default" w:ascii="Calibri" w:hAnsi="Calibri" w:eastAsia="宋体" w:cs="Calibri"/>
                <w:b/>
                <w:bCs/>
                <w:color w:val="auto"/>
                <w:sz w:val="21"/>
                <w:szCs w:val="21"/>
              </w:rPr>
              <w:t>⑧</w:t>
            </w:r>
            <w:r>
              <w:rPr>
                <w:rFonts w:hint="eastAsia"/>
                <w:b/>
                <w:bCs/>
                <w:color w:val="auto"/>
                <w:sz w:val="21"/>
                <w:szCs w:val="21"/>
              </w:rPr>
              <w:t>《基于知识图谱的工单智能审查示范应用案例</w:t>
            </w:r>
            <w:r>
              <w:rPr>
                <w:rFonts w:hint="eastAsia"/>
                <w:b/>
                <w:bCs/>
                <w:color w:val="auto"/>
                <w:sz w:val="21"/>
                <w:szCs w:val="21"/>
                <w:lang w:val="en-US" w:eastAsia="zh-CN"/>
              </w:rPr>
              <w:t>验证</w:t>
            </w:r>
            <w:r>
              <w:rPr>
                <w:rFonts w:hint="eastAsia"/>
                <w:b/>
                <w:bCs/>
                <w:color w:val="auto"/>
                <w:sz w:val="21"/>
                <w:szCs w:val="21"/>
              </w:rPr>
              <w:t>报告》</w:t>
            </w:r>
            <w:r>
              <w:rPr>
                <w:rFonts w:hint="eastAsia"/>
                <w:color w:val="auto"/>
                <w:sz w:val="21"/>
                <w:szCs w:val="21"/>
              </w:rPr>
              <w:t>：详细记录在</w:t>
            </w:r>
            <w:r>
              <w:rPr>
                <w:rFonts w:hint="eastAsia"/>
                <w:color w:val="auto"/>
                <w:sz w:val="21"/>
                <w:szCs w:val="21"/>
                <w:lang w:val="en-US" w:eastAsia="zh-CN"/>
              </w:rPr>
              <w:t>如：</w:t>
            </w:r>
            <w:r>
              <w:rPr>
                <w:rFonts w:hint="eastAsia"/>
                <w:b w:val="0"/>
                <w:bCs w:val="0"/>
                <w:color w:val="auto"/>
                <w:sz w:val="21"/>
                <w:szCs w:val="21"/>
              </w:rPr>
              <w:t>硬件故障处理</w:t>
            </w:r>
            <w:r>
              <w:rPr>
                <w:rFonts w:hint="eastAsia"/>
                <w:color w:val="auto"/>
                <w:sz w:val="21"/>
                <w:szCs w:val="21"/>
              </w:rPr>
              <w:t>、</w:t>
            </w:r>
            <w:r>
              <w:rPr>
                <w:rFonts w:hint="eastAsia"/>
                <w:b w:val="0"/>
                <w:bCs w:val="0"/>
                <w:color w:val="auto"/>
                <w:sz w:val="21"/>
                <w:szCs w:val="21"/>
              </w:rPr>
              <w:t>系统宕机应急</w:t>
            </w:r>
            <w:r>
              <w:rPr>
                <w:rFonts w:hint="eastAsia"/>
                <w:color w:val="auto"/>
                <w:sz w:val="21"/>
                <w:szCs w:val="21"/>
              </w:rPr>
              <w:t>、</w:t>
            </w:r>
            <w:r>
              <w:rPr>
                <w:rFonts w:hint="eastAsia"/>
                <w:b w:val="0"/>
                <w:bCs w:val="0"/>
                <w:color w:val="auto"/>
                <w:sz w:val="21"/>
                <w:szCs w:val="21"/>
              </w:rPr>
              <w:t>数据库性能排查</w:t>
            </w:r>
            <w:r>
              <w:rPr>
                <w:rFonts w:hint="eastAsia"/>
                <w:color w:val="auto"/>
                <w:sz w:val="21"/>
                <w:szCs w:val="21"/>
              </w:rPr>
              <w:t>等不少于5个具体场景下的应用过程、量化效果比对（使用本系统前后）与用户反馈，实证本范式的有效性与价值。</w:t>
            </w:r>
          </w:p>
          <w:p w14:paraId="7A3E7FA3">
            <w:pPr>
              <w:spacing w:line="276" w:lineRule="auto"/>
              <w:ind w:firstLine="411" w:firstLineChars="196"/>
              <w:rPr>
                <w:rFonts w:hint="eastAsia"/>
                <w:color w:val="auto"/>
                <w:sz w:val="21"/>
                <w:szCs w:val="21"/>
              </w:rPr>
            </w:pPr>
          </w:p>
          <w:p w14:paraId="2F494818">
            <w:pPr>
              <w:spacing w:line="276" w:lineRule="auto"/>
              <w:ind w:firstLine="413" w:firstLineChars="196"/>
              <w:rPr>
                <w:rFonts w:hint="eastAsia"/>
                <w:b/>
                <w:bCs/>
                <w:color w:val="auto"/>
                <w:sz w:val="21"/>
                <w:szCs w:val="21"/>
              </w:rPr>
            </w:pPr>
            <w:r>
              <w:rPr>
                <w:rFonts w:hint="eastAsia"/>
                <w:b/>
                <w:bCs/>
                <w:color w:val="auto"/>
                <w:sz w:val="21"/>
                <w:szCs w:val="21"/>
              </w:rPr>
              <w:t>4. 知识产权与学术成果</w:t>
            </w:r>
          </w:p>
          <w:p w14:paraId="63C1005A">
            <w:pPr>
              <w:spacing w:line="276" w:lineRule="auto"/>
              <w:ind w:firstLine="413" w:firstLineChars="196"/>
              <w:rPr>
                <w:rFonts w:hint="eastAsia"/>
                <w:color w:val="auto"/>
                <w:sz w:val="21"/>
                <w:szCs w:val="21"/>
              </w:rPr>
            </w:pPr>
            <w:r>
              <w:rPr>
                <w:rFonts w:hint="eastAsia"/>
                <w:b/>
                <w:bCs/>
                <w:color w:val="auto"/>
                <w:sz w:val="21"/>
                <w:szCs w:val="21"/>
              </w:rPr>
              <w:t>国家发明专利申请</w:t>
            </w:r>
            <w:r>
              <w:rPr>
                <w:rFonts w:hint="eastAsia"/>
                <w:color w:val="auto"/>
                <w:sz w:val="21"/>
                <w:szCs w:val="21"/>
              </w:rPr>
              <w:t>至少1项，围绕“基于知识图谱与RAG的工单智能审查方法”等相关技术创新。</w:t>
            </w:r>
          </w:p>
          <w:p w14:paraId="6A05624F">
            <w:pPr>
              <w:spacing w:line="276" w:lineRule="auto"/>
              <w:ind w:firstLine="413" w:firstLineChars="196"/>
              <w:rPr>
                <w:rFonts w:hint="eastAsia"/>
                <w:color w:val="auto"/>
                <w:sz w:val="21"/>
                <w:szCs w:val="21"/>
              </w:rPr>
            </w:pPr>
            <w:r>
              <w:rPr>
                <w:rFonts w:hint="eastAsia"/>
                <w:b/>
                <w:bCs/>
                <w:color w:val="auto"/>
                <w:sz w:val="21"/>
                <w:szCs w:val="21"/>
              </w:rPr>
              <w:t>学术论文</w:t>
            </w:r>
            <w:r>
              <w:rPr>
                <w:rFonts w:hint="eastAsia"/>
                <w:color w:val="auto"/>
                <w:sz w:val="21"/>
                <w:szCs w:val="21"/>
              </w:rPr>
              <w:t>2篇，计划在国内核心期刊或国际会议上发表，主题围绕运维知识图谱构建、工单语义理解与可解释推理。</w:t>
            </w:r>
          </w:p>
          <w:p w14:paraId="46E3BAEE">
            <w:pPr>
              <w:spacing w:line="276" w:lineRule="auto"/>
              <w:ind w:firstLine="413" w:firstLineChars="196"/>
              <w:rPr>
                <w:rFonts w:hint="eastAsia"/>
                <w:color w:val="auto"/>
                <w:sz w:val="21"/>
                <w:szCs w:val="21"/>
              </w:rPr>
            </w:pPr>
            <w:r>
              <w:rPr>
                <w:rFonts w:hint="eastAsia"/>
                <w:b/>
                <w:bCs/>
                <w:color w:val="auto"/>
                <w:sz w:val="21"/>
                <w:szCs w:val="21"/>
              </w:rPr>
              <w:t>软件著作权</w:t>
            </w:r>
            <w:r>
              <w:rPr>
                <w:rFonts w:hint="eastAsia"/>
                <w:color w:val="auto"/>
                <w:sz w:val="21"/>
                <w:szCs w:val="21"/>
              </w:rPr>
              <w:t>1-2项，登记本项目形成的相关软件系统。</w:t>
            </w:r>
          </w:p>
          <w:p w14:paraId="5EADA916">
            <w:pPr>
              <w:spacing w:before="40"/>
              <w:ind w:left="12" w:right="16" w:firstLine="4"/>
              <w:rPr>
                <w:rFonts w:hint="eastAsia" w:ascii="黑体" w:hAnsi="黑体" w:eastAsia="黑体" w:cs="黑体"/>
                <w:color w:val="auto"/>
                <w:sz w:val="24"/>
                <w:szCs w:val="24"/>
              </w:rPr>
            </w:pPr>
          </w:p>
        </w:tc>
      </w:tr>
      <w:tr w14:paraId="1B2C4B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9" w:hRule="atLeast"/>
        </w:trPr>
        <w:tc>
          <w:tcPr>
            <w:tcW w:w="9626" w:type="dxa"/>
          </w:tcPr>
          <w:p w14:paraId="54ADBAD4">
            <w:pPr>
              <w:spacing w:before="39" w:line="221" w:lineRule="auto"/>
              <w:ind w:left="17"/>
              <w:rPr>
                <w:rFonts w:hint="eastAsia" w:ascii="黑体" w:hAnsi="黑体" w:eastAsia="黑体" w:cs="黑体"/>
                <w:color w:val="auto"/>
                <w:spacing w:val="-1"/>
                <w:sz w:val="24"/>
                <w:szCs w:val="24"/>
              </w:rPr>
            </w:pPr>
            <w:r>
              <w:rPr>
                <w:rFonts w:ascii="黑体" w:hAnsi="黑体" w:eastAsia="黑体" w:cs="黑体"/>
                <w:color w:val="auto"/>
                <w:sz w:val="24"/>
                <w:szCs w:val="24"/>
              </w:rPr>
              <w:t>十六、验证示范方案（验证示范验证主体、示范</w:t>
            </w:r>
            <w:r>
              <w:rPr>
                <w:rFonts w:ascii="黑体" w:hAnsi="黑体" w:eastAsia="黑体" w:cs="黑体"/>
                <w:color w:val="auto"/>
                <w:spacing w:val="-1"/>
                <w:sz w:val="24"/>
                <w:szCs w:val="24"/>
              </w:rPr>
              <w:t>地点、规模、方式、进度安排）</w:t>
            </w:r>
          </w:p>
          <w:p w14:paraId="2E69B643">
            <w:pPr>
              <w:spacing w:line="276" w:lineRule="auto"/>
              <w:ind w:firstLine="411" w:firstLineChars="196"/>
              <w:rPr>
                <w:rFonts w:hint="eastAsia"/>
                <w:color w:val="auto"/>
                <w:sz w:val="21"/>
                <w:szCs w:val="21"/>
              </w:rPr>
            </w:pPr>
            <w:r>
              <w:rPr>
                <w:rFonts w:hint="eastAsia"/>
                <w:color w:val="auto"/>
                <w:sz w:val="21"/>
                <w:szCs w:val="21"/>
              </w:rPr>
              <w:t>本项目的验证示范方案具体如下：</w:t>
            </w:r>
          </w:p>
          <w:p w14:paraId="06585385">
            <w:pPr>
              <w:spacing w:line="276" w:lineRule="auto"/>
              <w:ind w:firstLine="411" w:firstLineChars="196"/>
              <w:rPr>
                <w:rFonts w:hint="eastAsia"/>
                <w:color w:val="auto"/>
                <w:sz w:val="21"/>
                <w:szCs w:val="21"/>
              </w:rPr>
            </w:pPr>
            <w:r>
              <w:rPr>
                <w:rFonts w:hint="eastAsia"/>
                <w:color w:val="auto"/>
                <w:sz w:val="21"/>
                <w:szCs w:val="21"/>
              </w:rPr>
              <w:t>阶段一：基础研究</w:t>
            </w:r>
          </w:p>
          <w:p w14:paraId="6D2CBED3">
            <w:pPr>
              <w:spacing w:line="276" w:lineRule="auto"/>
              <w:ind w:firstLine="411" w:firstLineChars="196"/>
              <w:rPr>
                <w:rFonts w:hint="eastAsia"/>
                <w:color w:val="auto"/>
                <w:sz w:val="21"/>
                <w:szCs w:val="21"/>
              </w:rPr>
            </w:pPr>
            <w:r>
              <w:rPr>
                <w:rFonts w:hint="eastAsia"/>
                <w:color w:val="auto"/>
                <w:sz w:val="21"/>
                <w:szCs w:val="21"/>
              </w:rPr>
              <w:t>验证主体：以省局（公司）信息中心为基础研究基地，实现“知识-数据”混合驱动图谱构建与演示方法、同步实现基于知识增强与上下文感知的工单深度语义解析模型、融合逻辑规则与图谱嵌入的可解释推理过程，共三项关键研究内容。</w:t>
            </w:r>
          </w:p>
          <w:p w14:paraId="1F7535EB">
            <w:pPr>
              <w:spacing w:line="276" w:lineRule="auto"/>
              <w:ind w:firstLine="411" w:firstLineChars="196"/>
              <w:rPr>
                <w:rFonts w:hint="eastAsia"/>
                <w:color w:val="auto"/>
                <w:sz w:val="21"/>
                <w:szCs w:val="21"/>
              </w:rPr>
            </w:pPr>
            <w:r>
              <w:rPr>
                <w:rFonts w:hint="eastAsia"/>
                <w:color w:val="auto"/>
                <w:sz w:val="21"/>
                <w:szCs w:val="21"/>
              </w:rPr>
              <w:t>阶段二：应用研究</w:t>
            </w:r>
          </w:p>
          <w:p w14:paraId="614402CE">
            <w:pPr>
              <w:spacing w:line="276" w:lineRule="auto"/>
              <w:ind w:firstLine="411" w:firstLineChars="196"/>
              <w:rPr>
                <w:rFonts w:hint="eastAsia"/>
                <w:color w:val="auto"/>
                <w:sz w:val="21"/>
                <w:szCs w:val="21"/>
              </w:rPr>
            </w:pPr>
            <w:r>
              <w:rPr>
                <w:rFonts w:hint="eastAsia"/>
                <w:color w:val="auto"/>
                <w:sz w:val="21"/>
                <w:szCs w:val="21"/>
              </w:rPr>
              <w:t>验证主体：以省局（公司）信息中心和黄冈、随州市局（公司）为两级应用研究基地，共同实现面向科研与审查的多场景验证，打通基础研究阶段三项关键研究内容的内在联系，实现本研究的最终目标。</w:t>
            </w:r>
          </w:p>
          <w:p w14:paraId="4D7F9AE1">
            <w:pPr>
              <w:spacing w:line="360" w:lineRule="auto"/>
              <w:ind w:firstLine="480" w:firstLineChars="200"/>
              <w:rPr>
                <w:rFonts w:hint="eastAsia" w:ascii="黑体" w:hAnsi="黑体" w:eastAsia="黑体" w:cs="黑体"/>
                <w:color w:val="auto"/>
                <w:sz w:val="24"/>
                <w:szCs w:val="24"/>
              </w:rPr>
            </w:pPr>
          </w:p>
        </w:tc>
      </w:tr>
    </w:tbl>
    <w:p w14:paraId="22000110">
      <w:pPr>
        <w:rPr>
          <w:rFonts w:hint="eastAsia"/>
          <w:color w:val="auto"/>
        </w:rPr>
      </w:pPr>
    </w:p>
    <w:p w14:paraId="125A4517">
      <w:pPr>
        <w:rPr>
          <w:rFonts w:hint="eastAsia"/>
          <w:color w:val="auto"/>
        </w:rPr>
        <w:sectPr>
          <w:headerReference r:id="rId13" w:type="default"/>
          <w:footerReference r:id="rId14" w:type="default"/>
          <w:pgSz w:w="11910" w:h="16850"/>
          <w:pgMar w:top="1704" w:right="997" w:bottom="1072" w:left="1281" w:header="1393" w:footer="838" w:gutter="0"/>
          <w:cols w:space="720" w:num="1"/>
        </w:sectPr>
      </w:pPr>
    </w:p>
    <w:p w14:paraId="521C8869">
      <w:pPr>
        <w:spacing w:before="55"/>
        <w:rPr>
          <w:rFonts w:hint="eastAsia"/>
          <w:color w:val="auto"/>
        </w:rPr>
      </w:pPr>
    </w:p>
    <w:tbl>
      <w:tblPr>
        <w:tblStyle w:val="16"/>
        <w:tblW w:w="966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24"/>
        <w:gridCol w:w="2238"/>
      </w:tblGrid>
      <w:tr w14:paraId="518E1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97" w:hRule="atLeast"/>
        </w:trPr>
        <w:tc>
          <w:tcPr>
            <w:tcW w:w="9662" w:type="dxa"/>
            <w:gridSpan w:val="2"/>
            <w:tcBorders>
              <w:top w:val="single" w:color="000000" w:sz="4" w:space="0"/>
            </w:tcBorders>
          </w:tcPr>
          <w:p w14:paraId="7F911F42">
            <w:pPr>
              <w:spacing w:before="40" w:line="222" w:lineRule="auto"/>
              <w:ind w:left="16"/>
              <w:rPr>
                <w:rFonts w:hint="eastAsia" w:ascii="黑体" w:hAnsi="黑体" w:eastAsia="黑体" w:cs="黑体"/>
                <w:color w:val="auto"/>
                <w:spacing w:val="-2"/>
                <w:sz w:val="24"/>
                <w:szCs w:val="24"/>
              </w:rPr>
            </w:pPr>
            <w:bookmarkStart w:id="5" w:name="bookmark127"/>
            <w:bookmarkEnd w:id="5"/>
            <w:r>
              <w:rPr>
                <w:rFonts w:ascii="黑体" w:hAnsi="黑体" w:eastAsia="黑体" w:cs="黑体"/>
                <w:color w:val="auto"/>
                <w:spacing w:val="-2"/>
                <w:sz w:val="24"/>
                <w:szCs w:val="24"/>
              </w:rPr>
              <w:t>十七、项目实施进度计划</w:t>
            </w:r>
          </w:p>
          <w:p w14:paraId="25BA045F">
            <w:pPr>
              <w:spacing w:line="276" w:lineRule="auto"/>
              <w:ind w:left="16"/>
              <w:rPr>
                <w:rFonts w:hint="eastAsia" w:ascii="黑体" w:hAnsi="黑体" w:eastAsia="黑体" w:cs="黑体"/>
                <w:color w:val="auto"/>
                <w:sz w:val="24"/>
                <w:szCs w:val="24"/>
              </w:rPr>
            </w:pPr>
            <w:r>
              <w:rPr>
                <w:rFonts w:hint="eastAsia" w:ascii="黑体" w:hAnsi="黑体" w:eastAsia="黑体" w:cs="黑体"/>
                <w:color w:val="auto"/>
                <w:sz w:val="24"/>
                <w:szCs w:val="24"/>
              </w:rPr>
              <w:t>（一）项目科研阶段总体进度计划</w:t>
            </w:r>
          </w:p>
          <w:p w14:paraId="466152F1">
            <w:pPr>
              <w:spacing w:line="276" w:lineRule="auto"/>
              <w:ind w:firstLine="422" w:firstLineChars="200"/>
              <w:rPr>
                <w:rFonts w:hint="eastAsia"/>
                <w:b/>
                <w:bCs/>
                <w:color w:val="auto"/>
                <w:sz w:val="21"/>
                <w:szCs w:val="21"/>
              </w:rPr>
            </w:pPr>
            <w:r>
              <w:rPr>
                <w:rFonts w:hint="eastAsia"/>
                <w:b/>
                <w:bCs/>
                <w:color w:val="auto"/>
                <w:sz w:val="21"/>
                <w:szCs w:val="21"/>
              </w:rPr>
              <w:t>1.需求调研与基础准备阶段（第1-2个月）</w:t>
            </w:r>
          </w:p>
          <w:p w14:paraId="39D15E8F">
            <w:pPr>
              <w:spacing w:line="276" w:lineRule="auto"/>
              <w:ind w:firstLine="420" w:firstLineChars="200"/>
              <w:rPr>
                <w:rFonts w:hint="eastAsia"/>
                <w:color w:val="auto"/>
                <w:sz w:val="21"/>
                <w:szCs w:val="21"/>
              </w:rPr>
            </w:pPr>
            <w:r>
              <w:rPr>
                <w:rFonts w:hint="eastAsia"/>
                <w:color w:val="auto"/>
                <w:sz w:val="21"/>
                <w:szCs w:val="21"/>
              </w:rPr>
              <w:t>开展网信领域系统运维全场景需求调研，梳理设备运维、系统运维、业务流程运维的工单处理痛点、合规审查要点及人机协同需求。</w:t>
            </w:r>
          </w:p>
          <w:p w14:paraId="1719FDF8">
            <w:pPr>
              <w:spacing w:line="276" w:lineRule="auto"/>
              <w:ind w:firstLine="420" w:firstLineChars="200"/>
              <w:rPr>
                <w:rFonts w:hint="eastAsia"/>
                <w:color w:val="auto"/>
                <w:sz w:val="21"/>
                <w:szCs w:val="21"/>
              </w:rPr>
            </w:pPr>
            <w:r>
              <w:rPr>
                <w:rFonts w:hint="eastAsia"/>
                <w:color w:val="auto"/>
                <w:sz w:val="21"/>
                <w:szCs w:val="21"/>
              </w:rPr>
              <w:t>根据现有数字化运维管控平台，采集多源异构数据：① 结构化数据（设备资产台账、历史工单、故障维修记录、监控告警数据）；② 非结构化数据（运维管理制度、SOP 文件、员工经验文档、培训教材）；③ 半结构化数据（表单模板、流程图表），通过 ETL 工具完成数据清洗、去重、标准化处理，构建符合烟草行业规范的数据集。</w:t>
            </w:r>
          </w:p>
          <w:p w14:paraId="1BAA6AC7">
            <w:pPr>
              <w:spacing w:line="276" w:lineRule="auto"/>
              <w:ind w:firstLine="420" w:firstLineChars="200"/>
              <w:rPr>
                <w:rFonts w:hint="eastAsia"/>
                <w:color w:val="auto"/>
                <w:sz w:val="21"/>
                <w:szCs w:val="21"/>
              </w:rPr>
            </w:pPr>
            <w:r>
              <w:rPr>
                <w:rFonts w:hint="eastAsia"/>
                <w:color w:val="auto"/>
                <w:sz w:val="21"/>
                <w:szCs w:val="21"/>
              </w:rPr>
              <w:t>梳理湖北烟草特有的行业术语、资产分类标准、故障编码体系、合规管控清单，建立基础术语库与规则词典，为后续定制化研发奠定基础。</w:t>
            </w:r>
          </w:p>
          <w:p w14:paraId="66C03C3E">
            <w:pPr>
              <w:spacing w:line="276" w:lineRule="auto"/>
              <w:ind w:firstLine="420" w:firstLineChars="200"/>
              <w:rPr>
                <w:rFonts w:hint="eastAsia"/>
                <w:color w:val="auto"/>
                <w:sz w:val="21"/>
                <w:szCs w:val="21"/>
              </w:rPr>
            </w:pPr>
            <w:r>
              <w:rPr>
                <w:rFonts w:hint="eastAsia"/>
                <w:color w:val="auto"/>
                <w:sz w:val="21"/>
                <w:szCs w:val="21"/>
              </w:rPr>
              <w:t>本阶段采用访谈法、实地调研法、数据映射法、标准化编码法，结合湖北烟草商业系统现有数据治理规范，确保数据与业务的一致性。</w:t>
            </w:r>
          </w:p>
          <w:p w14:paraId="4C672699">
            <w:pPr>
              <w:spacing w:line="276" w:lineRule="auto"/>
              <w:ind w:firstLine="422" w:firstLineChars="200"/>
              <w:rPr>
                <w:rFonts w:hint="eastAsia"/>
                <w:b/>
                <w:bCs/>
                <w:color w:val="auto"/>
                <w:sz w:val="21"/>
                <w:szCs w:val="21"/>
              </w:rPr>
            </w:pPr>
            <w:r>
              <w:rPr>
                <w:rFonts w:hint="eastAsia"/>
                <w:b/>
                <w:bCs/>
                <w:color w:val="auto"/>
                <w:sz w:val="21"/>
                <w:szCs w:val="21"/>
              </w:rPr>
              <w:t>2.核心技术研发阶段（第3-12个月）</w:t>
            </w:r>
          </w:p>
          <w:p w14:paraId="705DF5CB">
            <w:pPr>
              <w:spacing w:line="276" w:lineRule="auto"/>
              <w:ind w:firstLine="420" w:firstLineChars="200"/>
              <w:rPr>
                <w:rFonts w:hint="eastAsia"/>
                <w:color w:val="auto"/>
                <w:sz w:val="21"/>
                <w:szCs w:val="21"/>
              </w:rPr>
            </w:pPr>
            <w:r>
              <w:rPr>
                <w:rFonts w:hint="eastAsia"/>
                <w:color w:val="auto"/>
                <w:sz w:val="21"/>
                <w:szCs w:val="21"/>
              </w:rPr>
              <w:t>（1）烟草定制化知识图谱构建（破解知识壁垒）</w:t>
            </w:r>
          </w:p>
          <w:p w14:paraId="69134385">
            <w:pPr>
              <w:spacing w:line="276" w:lineRule="auto"/>
              <w:ind w:firstLine="420" w:firstLineChars="200"/>
              <w:rPr>
                <w:rFonts w:hint="eastAsia"/>
                <w:color w:val="auto"/>
                <w:sz w:val="21"/>
                <w:szCs w:val="21"/>
              </w:rPr>
            </w:pPr>
            <w:r>
              <w:rPr>
                <w:rFonts w:hint="eastAsia"/>
                <w:color w:val="auto"/>
                <w:sz w:val="21"/>
                <w:szCs w:val="21"/>
              </w:rPr>
              <w:t>设计适配湖北烟草网信领域的知识图谱，涵盖“资产-故障-流程-人员”等核心实体，定义实体属性（如设备型号、故障等级、流程节点、合规条款）与关联关系（如 “设备-发生-故障”“故障-对应-处理流程”），兼容湖北烟草现有信息化资产分类与故障编码标准。研发“知识-数据”混合驱动的知识抽取算法，针对结构化数据采用规则映射法，半结构化数据采用XPath解析法，非结构化数据采用“BERT+CRF”模型（融入烟草术语库预训练），实现知识自动抽取；通过实体对齐、冲突消解算法完成多源知识融合，构建初始知识图谱。建立知识图谱动态演化机制，基于新增工单、故障案例、制度更新数据，设计增量更新算法，确保知识图谱与湖北烟草运维业务的实时同步。</w:t>
            </w:r>
          </w:p>
          <w:p w14:paraId="76E77D65">
            <w:pPr>
              <w:spacing w:line="276" w:lineRule="auto"/>
              <w:ind w:firstLine="420" w:firstLineChars="200"/>
              <w:rPr>
                <w:rFonts w:hint="eastAsia"/>
                <w:color w:val="auto"/>
                <w:sz w:val="21"/>
                <w:szCs w:val="21"/>
              </w:rPr>
            </w:pPr>
            <w:r>
              <w:rPr>
                <w:rFonts w:hint="eastAsia"/>
                <w:color w:val="auto"/>
                <w:sz w:val="21"/>
                <w:szCs w:val="21"/>
              </w:rPr>
              <w:t>（2）烟草工单语义解析模型研发（跨越语义鸿沟）</w:t>
            </w:r>
          </w:p>
          <w:p w14:paraId="3F5FDBF0">
            <w:pPr>
              <w:spacing w:line="276" w:lineRule="auto"/>
              <w:ind w:firstLine="420" w:firstLineChars="200"/>
              <w:rPr>
                <w:rFonts w:hint="eastAsia"/>
                <w:color w:val="auto"/>
                <w:sz w:val="21"/>
                <w:szCs w:val="21"/>
              </w:rPr>
            </w:pPr>
            <w:r>
              <w:rPr>
                <w:rFonts w:hint="eastAsia"/>
                <w:color w:val="auto"/>
                <w:sz w:val="21"/>
                <w:szCs w:val="21"/>
              </w:rPr>
              <w:t>构建湖北烟草网信领域专用知识库（RAG）：整合知识图谱、行业术语库、历史工单案例库、业务场景库，为语义解析提供知识增强支撑。优化上下文感知的语义解析模型，融入烟草行业知识预训练，提升不规范工单（如简写、歧义、信息缺失）的核心意图识别能力；设计“工单-监控事件-业务场景-标准知识”的多维度关联算法，实现自动匹配。开发工单语义标准化模块，将非规范工单转化为结构化工单（含故障类型、涉及资产、业务场景、处理要求等核心字段），适配湖北烟草工单管理规范。</w:t>
            </w:r>
          </w:p>
          <w:p w14:paraId="1327FBFC">
            <w:pPr>
              <w:spacing w:line="276" w:lineRule="auto"/>
              <w:ind w:firstLine="420" w:firstLineChars="200"/>
              <w:rPr>
                <w:rFonts w:hint="eastAsia"/>
                <w:color w:val="auto"/>
                <w:sz w:val="21"/>
                <w:szCs w:val="21"/>
              </w:rPr>
            </w:pPr>
            <w:r>
              <w:rPr>
                <w:rFonts w:hint="eastAsia"/>
                <w:color w:val="auto"/>
                <w:sz w:val="21"/>
                <w:szCs w:val="21"/>
              </w:rPr>
              <w:t>（3）GraphRAG 可解释推理机制研发（破解规则僵局）</w:t>
            </w:r>
          </w:p>
          <w:p w14:paraId="3506875B">
            <w:pPr>
              <w:spacing w:line="276" w:lineRule="auto"/>
              <w:ind w:firstLine="420" w:firstLineChars="200"/>
              <w:rPr>
                <w:rFonts w:hint="eastAsia"/>
                <w:color w:val="auto"/>
                <w:sz w:val="21"/>
                <w:szCs w:val="21"/>
              </w:rPr>
            </w:pPr>
            <w:r>
              <w:rPr>
                <w:rFonts w:hint="eastAsia"/>
                <w:color w:val="auto"/>
                <w:sz w:val="21"/>
                <w:szCs w:val="21"/>
              </w:rPr>
              <w:t>合规规则形式化转化，将湖北烟草《运维管理制度》《SOP 操作规范》《安全合规要求》等自然语言规则，转化为机器可执行的逻辑规则，构建本地合规规则库。</w:t>
            </w:r>
          </w:p>
          <w:p w14:paraId="7F001F8C">
            <w:pPr>
              <w:spacing w:line="276" w:lineRule="auto"/>
              <w:ind w:firstLine="420" w:firstLineChars="200"/>
              <w:rPr>
                <w:rFonts w:hint="eastAsia"/>
                <w:color w:val="auto"/>
                <w:sz w:val="21"/>
                <w:szCs w:val="21"/>
              </w:rPr>
            </w:pPr>
            <w:r>
              <w:rPr>
                <w:rFonts w:hint="eastAsia"/>
                <w:color w:val="auto"/>
                <w:sz w:val="21"/>
                <w:szCs w:val="21"/>
              </w:rPr>
              <w:t>融合逻辑规则与图谱嵌入的推理框架：优化知识图谱嵌入，结合逻辑规则推理（如正向链推理），实现工单合规性自动校核；设计推理过程可视化模块，清晰呈现“合规/不合规”的判断依据（如引用的制度条款、知识图谱关联关系），满足可解释性要求。</w:t>
            </w:r>
          </w:p>
          <w:p w14:paraId="6F375BCC">
            <w:pPr>
              <w:spacing w:line="276" w:lineRule="auto"/>
              <w:ind w:firstLine="420" w:firstLineChars="200"/>
              <w:rPr>
                <w:rFonts w:hint="eastAsia"/>
                <w:color w:val="auto"/>
                <w:sz w:val="21"/>
                <w:szCs w:val="21"/>
              </w:rPr>
            </w:pPr>
            <w:r>
              <w:rPr>
                <w:rFonts w:hint="eastAsia"/>
                <w:color w:val="auto"/>
                <w:sz w:val="21"/>
                <w:szCs w:val="21"/>
              </w:rPr>
              <w:t>本阶段技术方法包括采用知识工程、自然语言处理（NLP）、图神经网络（GNN）、规则推理等技术，结合湖北烟草本地数据进行模型微调与算法优化，确保技术适配性。</w:t>
            </w:r>
          </w:p>
          <w:p w14:paraId="74143BC6">
            <w:pPr>
              <w:spacing w:line="276" w:lineRule="auto"/>
              <w:ind w:firstLine="420" w:firstLineChars="200"/>
              <w:rPr>
                <w:rFonts w:hint="eastAsia"/>
                <w:color w:val="auto"/>
                <w:sz w:val="21"/>
                <w:szCs w:val="21"/>
              </w:rPr>
            </w:pPr>
            <w:r>
              <w:rPr>
                <w:rFonts w:hint="eastAsia"/>
                <w:color w:val="auto"/>
                <w:sz w:val="21"/>
                <w:szCs w:val="21"/>
              </w:rPr>
              <w:t>阶段产出：适配湖北省烟草网信领域的知识图谱构建方法与设计文档；烟草工单语义解析模型（含预训练权重、算法代码）；GraphRAG 可解释推理框架与合规规则库（湖北烟草定制版）；阶段性技术报告（含算法验证数据）。</w:t>
            </w:r>
          </w:p>
          <w:p w14:paraId="31A28CCC">
            <w:pPr>
              <w:spacing w:line="276" w:lineRule="auto"/>
              <w:rPr>
                <w:rFonts w:hint="eastAsia"/>
                <w:b/>
                <w:bCs/>
                <w:color w:val="auto"/>
                <w:sz w:val="21"/>
                <w:szCs w:val="21"/>
              </w:rPr>
            </w:pPr>
            <w:r>
              <w:rPr>
                <w:rFonts w:hint="eastAsia"/>
                <w:b/>
                <w:bCs/>
                <w:color w:val="auto"/>
                <w:sz w:val="21"/>
                <w:szCs w:val="21"/>
              </w:rPr>
              <w:t xml:space="preserve"> </w:t>
            </w:r>
            <w:r>
              <w:rPr>
                <w:rFonts w:hint="eastAsia"/>
                <w:b/>
                <w:bCs/>
                <w:color w:val="auto"/>
                <w:sz w:val="21"/>
                <w:szCs w:val="21"/>
                <w:lang w:val="en-US" w:eastAsia="zh-CN"/>
              </w:rPr>
              <w:t xml:space="preserve">  </w:t>
            </w:r>
            <w:r>
              <w:rPr>
                <w:rFonts w:hint="eastAsia"/>
                <w:b/>
                <w:bCs/>
                <w:color w:val="auto"/>
                <w:sz w:val="21"/>
                <w:szCs w:val="21"/>
              </w:rPr>
              <w:t>3.测试验证（第13-17个月）</w:t>
            </w:r>
          </w:p>
          <w:p w14:paraId="4FF62FDA">
            <w:pPr>
              <w:spacing w:line="276" w:lineRule="auto"/>
              <w:ind w:firstLine="420" w:firstLineChars="200"/>
              <w:rPr>
                <w:rFonts w:hint="eastAsia"/>
                <w:color w:val="auto"/>
                <w:sz w:val="21"/>
                <w:szCs w:val="21"/>
              </w:rPr>
            </w:pPr>
            <w:r>
              <w:rPr>
                <w:rFonts w:hint="eastAsia"/>
                <w:color w:val="auto"/>
                <w:sz w:val="21"/>
                <w:szCs w:val="21"/>
              </w:rPr>
              <w:t>明确验证示范主体、人员、地点、方式；基于试点数据，评估工单处理效率、合规审查准确率、人力成本节约等指标，对技术方法、模型精度进行迭代优化。具体内容见：十六、验证示范方案</w:t>
            </w:r>
          </w:p>
          <w:p w14:paraId="5D80B85B">
            <w:pPr>
              <w:spacing w:line="276" w:lineRule="auto"/>
              <w:ind w:left="16"/>
              <w:rPr>
                <w:rFonts w:hint="eastAsia" w:ascii="黑体" w:hAnsi="黑体" w:eastAsia="黑体" w:cs="黑体"/>
                <w:color w:val="auto"/>
                <w:sz w:val="24"/>
                <w:szCs w:val="24"/>
              </w:rPr>
            </w:pPr>
            <w:r>
              <w:rPr>
                <w:rFonts w:hint="eastAsia" w:ascii="黑体" w:hAnsi="黑体" w:eastAsia="黑体" w:cs="黑体"/>
                <w:color w:val="auto"/>
                <w:sz w:val="24"/>
                <w:szCs w:val="24"/>
              </w:rPr>
              <w:t>（二）科研成果落地推广路径</w:t>
            </w:r>
          </w:p>
          <w:p w14:paraId="2A23BACA">
            <w:pPr>
              <w:ind w:firstLine="420" w:firstLineChars="200"/>
              <w:rPr>
                <w:rFonts w:hint="eastAsia" w:eastAsia="微软雅黑"/>
                <w:color w:val="auto"/>
                <w:sz w:val="21"/>
                <w:szCs w:val="21"/>
              </w:rPr>
            </w:pPr>
            <w:r>
              <w:rPr>
                <w:rFonts w:hint="eastAsia"/>
                <w:color w:val="auto"/>
                <w:sz w:val="21"/>
                <w:szCs w:val="21"/>
              </w:rPr>
              <w:t>围绕应用转化与规模化落地（全省系统推广），拟定以本课题承办单位为主体，精准对应用转化对象进行推广，从而实现成果的规模化落地。但上述工作，不在本科研项目范畴内，需要另行组织立项。具体步骤如下：</w:t>
            </w:r>
          </w:p>
          <w:p w14:paraId="0CE7983B">
            <w:pPr>
              <w:spacing w:line="276" w:lineRule="auto"/>
              <w:ind w:firstLine="420" w:firstLineChars="200"/>
              <w:rPr>
                <w:rFonts w:hint="eastAsia"/>
                <w:color w:val="auto"/>
              </w:rPr>
            </w:pPr>
            <w:r>
              <w:rPr>
                <w:rFonts w:hint="eastAsia" w:eastAsia="微软雅黑"/>
                <w:color w:val="auto"/>
                <w:sz w:val="21"/>
                <w:szCs w:val="21"/>
              </w:rPr>
              <w:t>1.</w:t>
            </w:r>
            <w:r>
              <w:rPr>
                <w:rFonts w:hint="eastAsia" w:ascii="微软雅黑" w:hAnsi="微软雅黑" w:eastAsia="微软雅黑" w:cs="微软雅黑"/>
                <w:color w:val="auto"/>
              </w:rPr>
              <w:t>精准对接推广</w:t>
            </w:r>
          </w:p>
          <w:p w14:paraId="5657164A">
            <w:pPr>
              <w:spacing w:line="276" w:lineRule="auto"/>
              <w:ind w:firstLine="420"/>
              <w:rPr>
                <w:rFonts w:hint="eastAsia"/>
                <w:color w:val="auto"/>
                <w:sz w:val="21"/>
                <w:szCs w:val="21"/>
              </w:rPr>
            </w:pPr>
            <w:r>
              <w:rPr>
                <w:rFonts w:hint="eastAsia"/>
                <w:color w:val="auto"/>
                <w:sz w:val="21"/>
                <w:szCs w:val="21"/>
              </w:rPr>
              <w:t>以承办单位为主体，通过示范应用，打造成功案例，围绕成功案例，组织宣传素材，面向全省系统范围分发宣贯。组织1-2 场该项目的科创成果展示会和技术成果交流会，并将相关宣传材料、使用手册、技术白皮书、成果清单等，集成到智慧鄂烟中，供各单位下载学习。围绕各单位提出的各类个性化需求及对科研成果的问询，组织线上专题的答疑会，由承办单位答疑解惑。“人工智能+”联合创新实验室（以下简称实验室），作为涉AI 类孵化推广平台，积极消化理解相关成果，做好规模化落地支持的能力储备工作。</w:t>
            </w:r>
          </w:p>
          <w:p w14:paraId="0CECC233">
            <w:pPr>
              <w:spacing w:line="276" w:lineRule="auto"/>
              <w:ind w:firstLine="420"/>
              <w:rPr>
                <w:rFonts w:hint="eastAsia"/>
                <w:color w:val="auto"/>
              </w:rPr>
            </w:pPr>
            <w:r>
              <w:rPr>
                <w:rFonts w:hint="eastAsia" w:ascii="微软雅黑" w:hAnsi="微软雅黑" w:eastAsia="微软雅黑" w:cs="微软雅黑"/>
                <w:color w:val="auto"/>
              </w:rPr>
              <w:t>2.规模化落地</w:t>
            </w:r>
          </w:p>
          <w:p w14:paraId="30722EB6">
            <w:pPr>
              <w:spacing w:line="276" w:lineRule="auto"/>
              <w:rPr>
                <w:rFonts w:hint="eastAsia"/>
                <w:color w:val="auto"/>
                <w:sz w:val="21"/>
                <w:szCs w:val="21"/>
              </w:rPr>
            </w:pPr>
            <w:r>
              <w:rPr>
                <w:rFonts w:hint="eastAsia"/>
                <w:color w:val="auto"/>
                <w:sz w:val="21"/>
                <w:szCs w:val="21"/>
              </w:rPr>
              <w:t xml:space="preserve">    承办单位（省公司+黄冈市局+随州市局）选取需求及条件相适配的地市公司（2-3 家有代表性的地市），先行小规模推广试用，实现区域规模化。依据区域地市的试点经验，反向进一步凝练成果，将成果打造成兼具实用化的成品，该软件应该集成到智慧鄂烟中，开通账号，打通数据，具备广泛试用的条件。将打磨后的成果，固化成企业标准</w:t>
            </w:r>
            <w:r>
              <w:rPr>
                <w:color w:val="auto"/>
                <w:sz w:val="21"/>
                <w:szCs w:val="21"/>
              </w:rPr>
              <w:t>/</w:t>
            </w:r>
            <w:r>
              <w:rPr>
                <w:rFonts w:hint="eastAsia"/>
                <w:color w:val="auto"/>
                <w:sz w:val="21"/>
                <w:szCs w:val="21"/>
              </w:rPr>
              <w:t>行业标准，提升成果的行业认可度和权威性，为高效率推广应用奠定坚实的基础。实验室在小规模推广、成果提炼、标准打造方面，发挥关键支撑作用，全面储备好全省推广的各项准备工作。一旦确认全省推广，主动介入提供落地实施服务。</w:t>
            </w:r>
          </w:p>
          <w:p w14:paraId="74DA01CC">
            <w:pPr>
              <w:spacing w:line="276" w:lineRule="auto"/>
              <w:ind w:firstLine="420" w:firstLineChars="200"/>
              <w:rPr>
                <w:rFonts w:hint="eastAsia"/>
                <w:color w:val="auto"/>
                <w:sz w:val="21"/>
                <w:szCs w:val="21"/>
              </w:rPr>
            </w:pPr>
            <w:r>
              <w:rPr>
                <w:rFonts w:hint="eastAsia"/>
                <w:color w:val="auto"/>
                <w:sz w:val="21"/>
                <w:szCs w:val="21"/>
              </w:rPr>
              <w:t>由于该模式涉及到科技项目研究、示范验证、成果推广，其不同主体之间的核心智能不同，发力点差异显著，为避免工作空白和职能交叉，拟定如下职能定位和工作分工：</w:t>
            </w:r>
          </w:p>
          <w:p w14:paraId="69F869EF">
            <w:pPr>
              <w:spacing w:line="276" w:lineRule="auto"/>
              <w:ind w:firstLine="420" w:firstLineChars="200"/>
              <w:rPr>
                <w:rFonts w:hint="eastAsia"/>
                <w:color w:val="auto"/>
                <w:sz w:val="21"/>
                <w:szCs w:val="21"/>
              </w:rPr>
            </w:pPr>
            <w:r>
              <w:rPr>
                <w:rFonts w:hint="eastAsia"/>
                <w:color w:val="auto"/>
                <w:sz w:val="21"/>
                <w:szCs w:val="21"/>
              </w:rPr>
              <w:t>（1）承办单位：负责统筹科研阶段的总体研究工作和成果输出，是科研活动的主要推动力。</w:t>
            </w:r>
          </w:p>
          <w:p w14:paraId="4D807352">
            <w:pPr>
              <w:spacing w:line="276" w:lineRule="auto"/>
              <w:ind w:firstLine="420" w:firstLineChars="200"/>
              <w:rPr>
                <w:rFonts w:hint="eastAsia"/>
                <w:color w:val="auto"/>
                <w:sz w:val="21"/>
                <w:szCs w:val="21"/>
              </w:rPr>
            </w:pPr>
            <w:r>
              <w:rPr>
                <w:rFonts w:hint="eastAsia"/>
                <w:color w:val="auto"/>
                <w:sz w:val="21"/>
                <w:szCs w:val="21"/>
              </w:rPr>
              <w:t>（2）外协单位：负责协助承办单位做成果梳理、知识产权确认、示范验证对接。</w:t>
            </w:r>
          </w:p>
          <w:p w14:paraId="5ECAA58A">
            <w:pPr>
              <w:spacing w:line="276" w:lineRule="auto"/>
              <w:ind w:firstLine="420" w:firstLineChars="200"/>
              <w:rPr>
                <w:rFonts w:hint="eastAsia"/>
                <w:color w:val="auto"/>
                <w:sz w:val="21"/>
                <w:szCs w:val="21"/>
              </w:rPr>
            </w:pPr>
            <w:r>
              <w:rPr>
                <w:rFonts w:hint="eastAsia"/>
                <w:color w:val="auto"/>
                <w:sz w:val="21"/>
                <w:szCs w:val="21"/>
              </w:rPr>
              <w:t>（3）推广应用单位：负责做需求和痛点梳理、科研成果对接、场景提供。</w:t>
            </w:r>
          </w:p>
          <w:p w14:paraId="227949B2">
            <w:pPr>
              <w:spacing w:line="276" w:lineRule="auto"/>
              <w:ind w:firstLine="420" w:firstLineChars="200"/>
              <w:rPr>
                <w:rFonts w:hint="eastAsia"/>
                <w:color w:val="auto"/>
                <w:sz w:val="21"/>
                <w:szCs w:val="21"/>
              </w:rPr>
            </w:pPr>
            <w:r>
              <w:rPr>
                <w:rFonts w:hint="eastAsia"/>
                <w:color w:val="auto"/>
                <w:sz w:val="21"/>
                <w:szCs w:val="21"/>
              </w:rPr>
              <w:t>（4）实验室：负责协助将成果落地应用，是成果孵化应用的主要推动力。</w:t>
            </w:r>
          </w:p>
          <w:p w14:paraId="309A186B">
            <w:pPr>
              <w:spacing w:line="276" w:lineRule="auto"/>
              <w:ind w:firstLine="420" w:firstLineChars="200"/>
              <w:rPr>
                <w:rFonts w:hint="eastAsia"/>
                <w:color w:val="auto"/>
                <w:sz w:val="21"/>
                <w:szCs w:val="21"/>
              </w:rPr>
            </w:pPr>
            <w:r>
              <w:rPr>
                <w:rFonts w:hint="eastAsia"/>
                <w:color w:val="auto"/>
                <w:sz w:val="21"/>
                <w:szCs w:val="21"/>
              </w:rPr>
              <w:t>（5）业务主管部门（科技处、信息中心）：负责保障成果在科研及推广过程中的各类人才、资金、平台、机制，实行风控管理。</w:t>
            </w:r>
          </w:p>
          <w:p w14:paraId="7703C343">
            <w:pPr>
              <w:spacing w:line="276" w:lineRule="auto"/>
              <w:ind w:firstLine="420" w:firstLineChars="200"/>
              <w:rPr>
                <w:rFonts w:hint="eastAsia"/>
                <w:color w:val="auto"/>
                <w:sz w:val="21"/>
                <w:szCs w:val="21"/>
              </w:rPr>
            </w:pPr>
            <w:r>
              <w:rPr>
                <w:rFonts w:hint="eastAsia"/>
                <w:color w:val="auto"/>
                <w:sz w:val="21"/>
                <w:szCs w:val="21"/>
              </w:rPr>
              <w:t>为确保本项目及后续类似项目的推广模式可复用性，进一步提高工作效率及积极性，建议借鉴实验室运营方案的相关激励条款，将科研成果落地推广全过程，探索引入服务购买的方式，实行“实体化、市场化”运作模式。</w:t>
            </w:r>
          </w:p>
          <w:p w14:paraId="7D75FFBB">
            <w:pPr>
              <w:pStyle w:val="10"/>
              <w:spacing w:line="276" w:lineRule="auto"/>
              <w:ind w:firstLine="0" w:firstLineChars="0"/>
              <w:rPr>
                <w:rFonts w:hint="eastAsia"/>
                <w:color w:val="auto"/>
              </w:rPr>
            </w:pPr>
          </w:p>
          <w:p w14:paraId="5B5A1F11">
            <w:pPr>
              <w:rPr>
                <w:rFonts w:hint="eastAsia"/>
                <w:color w:val="auto"/>
              </w:rPr>
            </w:pPr>
          </w:p>
        </w:tc>
      </w:tr>
      <w:tr w14:paraId="079E88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9662" w:type="dxa"/>
            <w:gridSpan w:val="2"/>
          </w:tcPr>
          <w:p w14:paraId="511D0E3E">
            <w:pPr>
              <w:spacing w:before="36" w:line="222" w:lineRule="auto"/>
              <w:ind w:left="16"/>
              <w:rPr>
                <w:rFonts w:hint="eastAsia" w:ascii="黑体" w:hAnsi="黑体" w:eastAsia="黑体" w:cs="黑体"/>
                <w:color w:val="auto"/>
                <w:sz w:val="24"/>
                <w:szCs w:val="24"/>
              </w:rPr>
            </w:pPr>
            <w:r>
              <w:rPr>
                <w:rFonts w:ascii="黑体" w:hAnsi="黑体" w:eastAsia="黑体" w:cs="黑体"/>
                <w:color w:val="auto"/>
                <w:spacing w:val="-1"/>
                <w:sz w:val="24"/>
                <w:szCs w:val="24"/>
              </w:rPr>
              <w:t>十八、项目申报单位(部门)前置审查</w:t>
            </w:r>
          </w:p>
        </w:tc>
      </w:tr>
      <w:tr w14:paraId="219E44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9" w:hRule="atLeast"/>
        </w:trPr>
        <w:tc>
          <w:tcPr>
            <w:tcW w:w="9662" w:type="dxa"/>
            <w:gridSpan w:val="2"/>
          </w:tcPr>
          <w:p w14:paraId="1AEDC594">
            <w:pPr>
              <w:spacing w:before="153" w:line="223" w:lineRule="auto"/>
              <w:ind w:left="8"/>
              <w:rPr>
                <w:rFonts w:hint="eastAsia" w:ascii="楷体" w:hAnsi="楷体" w:eastAsia="楷体" w:cs="楷体"/>
                <w:color w:val="auto"/>
                <w:sz w:val="20"/>
                <w:szCs w:val="20"/>
              </w:rPr>
            </w:pPr>
            <w:r>
              <w:rPr>
                <w:rFonts w:ascii="楷体" w:hAnsi="楷体" w:eastAsia="楷体" w:cs="楷体"/>
                <w:color w:val="auto"/>
                <w:spacing w:val="3"/>
                <w:sz w:val="20"/>
                <w:szCs w:val="20"/>
              </w:rPr>
              <w:t>（</w:t>
            </w:r>
            <w:r>
              <w:rPr>
                <w:rFonts w:ascii="楷体" w:hAnsi="楷体" w:eastAsia="楷体" w:cs="楷体"/>
                <w:color w:val="auto"/>
                <w:spacing w:val="-52"/>
                <w:sz w:val="20"/>
                <w:szCs w:val="20"/>
              </w:rPr>
              <w:t xml:space="preserve"> </w:t>
            </w:r>
            <w:r>
              <w:rPr>
                <w:rFonts w:ascii="楷体" w:hAnsi="楷体" w:eastAsia="楷体" w:cs="楷体"/>
                <w:color w:val="auto"/>
                <w:spacing w:val="3"/>
                <w:sz w:val="20"/>
                <w:szCs w:val="20"/>
              </w:rPr>
              <w:t>一）必要性审查</w:t>
            </w:r>
          </w:p>
        </w:tc>
      </w:tr>
      <w:tr w14:paraId="0EB636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9" w:hRule="atLeast"/>
        </w:trPr>
        <w:tc>
          <w:tcPr>
            <w:tcW w:w="7424" w:type="dxa"/>
          </w:tcPr>
          <w:p w14:paraId="6390D9A4">
            <w:pPr>
              <w:pStyle w:val="17"/>
              <w:spacing w:before="154" w:line="227" w:lineRule="auto"/>
              <w:ind w:left="135"/>
              <w:rPr>
                <w:rFonts w:hint="eastAsia"/>
                <w:color w:val="auto"/>
                <w:lang w:eastAsia="zh-CN"/>
              </w:rPr>
            </w:pPr>
            <w:r>
              <w:rPr>
                <w:color w:val="auto"/>
                <w:spacing w:val="8"/>
                <w:lang w:eastAsia="zh-CN"/>
              </w:rPr>
              <w:t>1.拟解决的问题是否明确具体，且需要通过项目研究予以解决；</w:t>
            </w:r>
          </w:p>
        </w:tc>
        <w:tc>
          <w:tcPr>
            <w:tcW w:w="2238" w:type="dxa"/>
          </w:tcPr>
          <w:p w14:paraId="3BD5BD1B">
            <w:pPr>
              <w:pStyle w:val="17"/>
              <w:spacing w:before="154"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2C7B8C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7424" w:type="dxa"/>
          </w:tcPr>
          <w:p w14:paraId="2817F8AB">
            <w:pPr>
              <w:pStyle w:val="17"/>
              <w:spacing w:before="156" w:line="228" w:lineRule="auto"/>
              <w:ind w:left="122"/>
              <w:rPr>
                <w:rFonts w:hint="eastAsia"/>
                <w:color w:val="auto"/>
                <w:lang w:eastAsia="zh-CN"/>
              </w:rPr>
            </w:pPr>
            <w:r>
              <w:rPr>
                <w:color w:val="auto"/>
                <w:spacing w:val="8"/>
                <w:lang w:eastAsia="zh-CN"/>
              </w:rPr>
              <w:t>2.是否需要开展委外合作，委外合作内容是否符合要求；</w:t>
            </w:r>
          </w:p>
        </w:tc>
        <w:tc>
          <w:tcPr>
            <w:tcW w:w="2238" w:type="dxa"/>
          </w:tcPr>
          <w:p w14:paraId="783CD2CD">
            <w:pPr>
              <w:pStyle w:val="17"/>
              <w:spacing w:before="156"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6FDD6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9662" w:type="dxa"/>
            <w:gridSpan w:val="2"/>
          </w:tcPr>
          <w:p w14:paraId="1CAC116C">
            <w:pPr>
              <w:spacing w:before="154" w:line="223" w:lineRule="auto"/>
              <w:ind w:left="8"/>
              <w:rPr>
                <w:rFonts w:hint="eastAsia" w:ascii="楷体" w:hAnsi="楷体" w:eastAsia="楷体" w:cs="楷体"/>
                <w:color w:val="auto"/>
                <w:sz w:val="20"/>
                <w:szCs w:val="20"/>
              </w:rPr>
            </w:pPr>
            <w:r>
              <w:rPr>
                <w:rFonts w:ascii="楷体" w:hAnsi="楷体" w:eastAsia="楷体" w:cs="楷体"/>
                <w:color w:val="auto"/>
                <w:spacing w:val="3"/>
                <w:sz w:val="20"/>
                <w:szCs w:val="20"/>
              </w:rPr>
              <w:t>（</w:t>
            </w:r>
            <w:r>
              <w:rPr>
                <w:rFonts w:ascii="楷体" w:hAnsi="楷体" w:eastAsia="楷体" w:cs="楷体"/>
                <w:color w:val="auto"/>
                <w:spacing w:val="-52"/>
                <w:sz w:val="20"/>
                <w:szCs w:val="20"/>
              </w:rPr>
              <w:t xml:space="preserve"> </w:t>
            </w:r>
            <w:r>
              <w:rPr>
                <w:rFonts w:ascii="楷体" w:hAnsi="楷体" w:eastAsia="楷体" w:cs="楷体"/>
                <w:color w:val="auto"/>
                <w:spacing w:val="3"/>
                <w:sz w:val="20"/>
                <w:szCs w:val="20"/>
              </w:rPr>
              <w:t>二）可行性审查</w:t>
            </w:r>
          </w:p>
        </w:tc>
      </w:tr>
      <w:tr w14:paraId="2DA99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7424" w:type="dxa"/>
          </w:tcPr>
          <w:p w14:paraId="0D72E99D">
            <w:pPr>
              <w:pStyle w:val="17"/>
              <w:spacing w:before="155" w:line="227" w:lineRule="auto"/>
              <w:ind w:left="135"/>
              <w:rPr>
                <w:rFonts w:hint="eastAsia"/>
                <w:color w:val="auto"/>
                <w:lang w:eastAsia="zh-CN"/>
              </w:rPr>
            </w:pPr>
            <w:r>
              <w:rPr>
                <w:color w:val="auto"/>
                <w:spacing w:val="8"/>
                <w:lang w:eastAsia="zh-CN"/>
              </w:rPr>
              <w:t>1.项目研究任务、技术路线、进度安排、团队组成是否合理可行；</w:t>
            </w:r>
          </w:p>
        </w:tc>
        <w:tc>
          <w:tcPr>
            <w:tcW w:w="2238" w:type="dxa"/>
          </w:tcPr>
          <w:p w14:paraId="1E95644E">
            <w:pPr>
              <w:pStyle w:val="17"/>
              <w:spacing w:before="155"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171A95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7424" w:type="dxa"/>
          </w:tcPr>
          <w:p w14:paraId="78979FD6">
            <w:pPr>
              <w:pStyle w:val="17"/>
              <w:spacing w:before="155" w:line="228" w:lineRule="auto"/>
              <w:ind w:left="122"/>
              <w:rPr>
                <w:rFonts w:hint="eastAsia"/>
                <w:color w:val="auto"/>
              </w:rPr>
            </w:pPr>
            <w:r>
              <w:rPr>
                <w:color w:val="auto"/>
                <w:spacing w:val="7"/>
              </w:rPr>
              <w:t>2.成果交付物是否清晰明确；</w:t>
            </w:r>
          </w:p>
        </w:tc>
        <w:tc>
          <w:tcPr>
            <w:tcW w:w="2238" w:type="dxa"/>
          </w:tcPr>
          <w:p w14:paraId="2D8B6394">
            <w:pPr>
              <w:pStyle w:val="17"/>
              <w:spacing w:before="155"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375743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9662" w:type="dxa"/>
            <w:gridSpan w:val="2"/>
          </w:tcPr>
          <w:p w14:paraId="2DB65C32">
            <w:pPr>
              <w:spacing w:before="154" w:line="223" w:lineRule="auto"/>
              <w:ind w:left="8"/>
              <w:rPr>
                <w:rFonts w:hint="eastAsia" w:ascii="楷体" w:hAnsi="楷体" w:eastAsia="楷体" w:cs="楷体"/>
                <w:color w:val="auto"/>
                <w:sz w:val="20"/>
                <w:szCs w:val="20"/>
              </w:rPr>
            </w:pPr>
            <w:r>
              <w:rPr>
                <w:rFonts w:ascii="楷体" w:hAnsi="楷体" w:eastAsia="楷体" w:cs="楷体"/>
                <w:color w:val="auto"/>
                <w:spacing w:val="3"/>
                <w:sz w:val="20"/>
                <w:szCs w:val="20"/>
              </w:rPr>
              <w:t>（</w:t>
            </w:r>
            <w:r>
              <w:rPr>
                <w:rFonts w:ascii="楷体" w:hAnsi="楷体" w:eastAsia="楷体" w:cs="楷体"/>
                <w:color w:val="auto"/>
                <w:spacing w:val="-52"/>
                <w:sz w:val="20"/>
                <w:szCs w:val="20"/>
              </w:rPr>
              <w:t xml:space="preserve"> </w:t>
            </w:r>
            <w:r>
              <w:rPr>
                <w:rFonts w:ascii="楷体" w:hAnsi="楷体" w:eastAsia="楷体" w:cs="楷体"/>
                <w:color w:val="auto"/>
                <w:spacing w:val="3"/>
                <w:sz w:val="20"/>
                <w:szCs w:val="20"/>
              </w:rPr>
              <w:t>三）规范性审查</w:t>
            </w:r>
          </w:p>
        </w:tc>
      </w:tr>
      <w:tr w14:paraId="18DF5F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7424" w:type="dxa"/>
          </w:tcPr>
          <w:p w14:paraId="09389488">
            <w:pPr>
              <w:pStyle w:val="17"/>
              <w:spacing w:before="154" w:line="227" w:lineRule="auto"/>
              <w:ind w:left="135"/>
              <w:rPr>
                <w:rFonts w:hint="eastAsia"/>
                <w:color w:val="auto"/>
                <w:lang w:eastAsia="zh-CN"/>
              </w:rPr>
            </w:pPr>
            <w:r>
              <w:rPr>
                <w:color w:val="auto"/>
                <w:spacing w:val="8"/>
                <w:lang w:eastAsia="zh-CN"/>
              </w:rPr>
              <w:t>1.申报材料是否清楚完整、填写内容是否符合要求</w:t>
            </w:r>
          </w:p>
        </w:tc>
        <w:tc>
          <w:tcPr>
            <w:tcW w:w="2238" w:type="dxa"/>
          </w:tcPr>
          <w:p w14:paraId="05AA1746">
            <w:pPr>
              <w:pStyle w:val="17"/>
              <w:spacing w:before="154"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4266AE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trPr>
        <w:tc>
          <w:tcPr>
            <w:tcW w:w="7424" w:type="dxa"/>
          </w:tcPr>
          <w:p w14:paraId="2EAA496B">
            <w:pPr>
              <w:pStyle w:val="17"/>
              <w:spacing w:before="145" w:line="228" w:lineRule="auto"/>
              <w:ind w:left="122"/>
              <w:rPr>
                <w:rFonts w:hint="eastAsia"/>
                <w:color w:val="auto"/>
                <w:lang w:eastAsia="zh-CN"/>
              </w:rPr>
            </w:pPr>
            <w:r>
              <w:rPr>
                <w:color w:val="auto"/>
                <w:spacing w:val="7"/>
                <w:lang w:eastAsia="zh-CN"/>
              </w:rPr>
              <w:t>2. 委外合作方式选择是否合规；</w:t>
            </w:r>
          </w:p>
        </w:tc>
        <w:tc>
          <w:tcPr>
            <w:tcW w:w="2238" w:type="dxa"/>
          </w:tcPr>
          <w:p w14:paraId="6C6B46C0">
            <w:pPr>
              <w:pStyle w:val="17"/>
              <w:spacing w:before="144"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2C5CFF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trPr>
        <w:tc>
          <w:tcPr>
            <w:tcW w:w="7424" w:type="dxa"/>
          </w:tcPr>
          <w:p w14:paraId="00B36B19">
            <w:pPr>
              <w:pStyle w:val="17"/>
              <w:spacing w:before="143" w:line="228" w:lineRule="auto"/>
              <w:ind w:left="124"/>
              <w:rPr>
                <w:rFonts w:hint="eastAsia"/>
                <w:color w:val="auto"/>
                <w:lang w:eastAsia="zh-CN"/>
              </w:rPr>
            </w:pPr>
            <w:r>
              <w:rPr>
                <w:color w:val="auto"/>
                <w:spacing w:val="8"/>
                <w:lang w:eastAsia="zh-CN"/>
              </w:rPr>
              <w:t>3.总经费预算、委外经费预算是否合规；</w:t>
            </w:r>
          </w:p>
        </w:tc>
        <w:tc>
          <w:tcPr>
            <w:tcW w:w="2238" w:type="dxa"/>
          </w:tcPr>
          <w:p w14:paraId="701DDB67">
            <w:pPr>
              <w:pStyle w:val="17"/>
              <w:spacing w:before="143"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41101F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424" w:type="dxa"/>
          </w:tcPr>
          <w:p w14:paraId="410C5F9A">
            <w:pPr>
              <w:pStyle w:val="17"/>
              <w:spacing w:before="34" w:line="233" w:lineRule="auto"/>
              <w:ind w:left="122" w:right="3" w:hanging="3"/>
              <w:rPr>
                <w:rFonts w:hint="eastAsia"/>
                <w:color w:val="auto"/>
                <w:lang w:eastAsia="zh-CN"/>
              </w:rPr>
            </w:pPr>
            <w:r>
              <w:rPr>
                <w:color w:val="auto"/>
                <w:spacing w:val="8"/>
                <w:lang w:eastAsia="zh-CN"/>
              </w:rPr>
              <w:t>4.是否存在将投资项目、咨询项目、信息化项目或更适合于群众性创新项目异化</w:t>
            </w:r>
            <w:r>
              <w:rPr>
                <w:color w:val="auto"/>
                <w:spacing w:val="6"/>
                <w:lang w:eastAsia="zh-CN"/>
              </w:rPr>
              <w:t>为科技项目。</w:t>
            </w:r>
          </w:p>
        </w:tc>
        <w:tc>
          <w:tcPr>
            <w:tcW w:w="2238" w:type="dxa"/>
          </w:tcPr>
          <w:p w14:paraId="43595F9D">
            <w:pPr>
              <w:pStyle w:val="17"/>
              <w:spacing w:before="168" w:line="207" w:lineRule="auto"/>
              <w:ind w:left="126"/>
              <w:rPr>
                <w:rFonts w:hint="eastAsia"/>
                <w:color w:val="auto"/>
              </w:rPr>
            </w:pPr>
            <w:r>
              <w:rPr>
                <w:rFonts w:ascii="微软雅黑" w:hAnsi="微软雅黑" w:eastAsia="微软雅黑" w:cs="微软雅黑"/>
                <w:color w:val="auto"/>
                <w:spacing w:val="27"/>
                <w:sz w:val="18"/>
                <w:szCs w:val="18"/>
              </w:rPr>
              <w:t>□</w:t>
            </w:r>
            <w:r>
              <w:rPr>
                <w:color w:val="auto"/>
                <w:spacing w:val="27"/>
              </w:rPr>
              <w:t>是</w:t>
            </w:r>
            <w:r>
              <w:rPr>
                <w:color w:val="auto"/>
                <w:spacing w:val="11"/>
              </w:rPr>
              <w:t xml:space="preserve">   </w:t>
            </w:r>
            <w:r>
              <w:rPr>
                <w:rFonts w:ascii="微软雅黑" w:hAnsi="微软雅黑" w:eastAsia="微软雅黑" w:cs="微软雅黑"/>
                <w:color w:val="auto"/>
                <w:spacing w:val="27"/>
              </w:rPr>
              <w:t>□</w:t>
            </w:r>
            <w:r>
              <w:rPr>
                <w:color w:val="auto"/>
                <w:spacing w:val="27"/>
              </w:rPr>
              <w:t>否</w:t>
            </w:r>
          </w:p>
        </w:tc>
      </w:tr>
      <w:tr w14:paraId="28DF5B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4" w:hRule="atLeast"/>
        </w:trPr>
        <w:tc>
          <w:tcPr>
            <w:tcW w:w="9662" w:type="dxa"/>
            <w:gridSpan w:val="2"/>
          </w:tcPr>
          <w:p w14:paraId="65C35F4A">
            <w:pPr>
              <w:pStyle w:val="17"/>
              <w:spacing w:before="34" w:line="228" w:lineRule="auto"/>
              <w:ind w:left="130"/>
              <w:rPr>
                <w:rFonts w:hint="eastAsia"/>
                <w:color w:val="auto"/>
              </w:rPr>
            </w:pPr>
            <w:r>
              <w:rPr>
                <w:color w:val="auto"/>
                <w:spacing w:val="5"/>
              </w:rPr>
              <w:t>审查员签字：</w:t>
            </w:r>
          </w:p>
          <w:p w14:paraId="4E6F5937">
            <w:pPr>
              <w:pStyle w:val="17"/>
              <w:spacing w:before="297" w:line="217" w:lineRule="auto"/>
              <w:ind w:left="5791"/>
              <w:rPr>
                <w:rFonts w:hint="eastAsia"/>
                <w:color w:val="auto"/>
              </w:rPr>
            </w:pPr>
            <w:r>
              <w:rPr>
                <w:color w:val="auto"/>
                <w:spacing w:val="-2"/>
              </w:rPr>
              <w:t>年</w:t>
            </w:r>
            <w:r>
              <w:rPr>
                <w:color w:val="auto"/>
                <w:spacing w:val="8"/>
              </w:rPr>
              <w:t xml:space="preserve">    </w:t>
            </w:r>
            <w:r>
              <w:rPr>
                <w:color w:val="auto"/>
                <w:spacing w:val="-2"/>
              </w:rPr>
              <w:t>月</w:t>
            </w:r>
            <w:r>
              <w:rPr>
                <w:color w:val="auto"/>
                <w:spacing w:val="12"/>
              </w:rPr>
              <w:t xml:space="preserve">      </w:t>
            </w:r>
            <w:r>
              <w:rPr>
                <w:color w:val="auto"/>
                <w:spacing w:val="-2"/>
              </w:rPr>
              <w:t>日</w:t>
            </w:r>
          </w:p>
        </w:tc>
      </w:tr>
    </w:tbl>
    <w:p w14:paraId="2711D470">
      <w:pPr>
        <w:rPr>
          <w:rFonts w:hint="eastAsia"/>
          <w:color w:val="auto"/>
        </w:rPr>
      </w:pPr>
    </w:p>
    <w:p w14:paraId="335C2E62">
      <w:pPr>
        <w:rPr>
          <w:rFonts w:hint="eastAsia"/>
          <w:color w:val="auto"/>
        </w:rPr>
        <w:sectPr>
          <w:footerReference r:id="rId15" w:type="default"/>
          <w:pgSz w:w="11910" w:h="16840"/>
          <w:pgMar w:top="1715" w:right="979" w:bottom="1057" w:left="1263" w:header="1393" w:footer="822" w:gutter="0"/>
          <w:cols w:space="720" w:num="1"/>
        </w:sectPr>
      </w:pPr>
    </w:p>
    <w:p w14:paraId="1090D904">
      <w:pPr>
        <w:spacing w:before="25" w:line="228" w:lineRule="auto"/>
        <w:ind w:left="4443"/>
        <w:rPr>
          <w:rFonts w:hint="eastAsia"/>
          <w:color w:val="auto"/>
          <w:sz w:val="20"/>
          <w:szCs w:val="20"/>
        </w:rPr>
      </w:pPr>
      <w:bookmarkStart w:id="6" w:name="_GoBack"/>
      <w:bookmarkEnd w:id="6"/>
    </w:p>
    <w:sectPr>
      <w:headerReference r:id="rId16" w:type="default"/>
      <w:footerReference r:id="rId17" w:type="default"/>
      <w:pgSz w:w="11906" w:h="16839"/>
      <w:pgMar w:top="1715" w:right="1133" w:bottom="1072" w:left="1427" w:header="1393" w:footer="83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A00CE">
    <w:pPr>
      <w:spacing w:line="229" w:lineRule="auto"/>
      <w:jc w:val="right"/>
      <w:rPr>
        <w:rFonts w:hint="eastAsia"/>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291B1C">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9++M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9++MtAgAAVwQAAA4AAAAAAAAAAQAgAAAAHwEAAGRycy9lMm9Eb2MueG1sUEsFBgAAAAAG&#10;AAYAWQEAAL4FAAAAAA==&#10;">
              <v:fill on="f" focussize="0,0"/>
              <v:stroke on="f" weight="0.5pt"/>
              <v:imagedata o:title=""/>
              <o:lock v:ext="edit" aspectratio="f"/>
              <v:textbox inset="0mm,0mm,0mm,0mm" style="mso-fit-shape-to-text:t;">
                <w:txbxContent>
                  <w:p w14:paraId="1E291B1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93A7C">
    <w:pPr>
      <w:spacing w:line="229" w:lineRule="auto"/>
      <w:rPr>
        <w:rFonts w:hint="eastAsia"/>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4A8D573">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8mXWM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8mXWMtAgAAVwQAAA4AAAAAAAAAAQAgAAAAHwEAAGRycy9lMm9Eb2MueG1sUEsFBgAAAAAG&#10;AAYAWQEAAL4FAAAAAA==&#10;">
              <v:fill on="f" focussize="0,0"/>
              <v:stroke on="f" weight="0.5pt"/>
              <v:imagedata o:title=""/>
              <o:lock v:ext="edit" aspectratio="f"/>
              <v:textbox inset="0mm,0mm,0mm,0mm" style="mso-fit-shape-to-text:t;">
                <w:txbxContent>
                  <w:p w14:paraId="24A8D573">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109DE">
    <w:pPr>
      <w:spacing w:line="229" w:lineRule="auto"/>
      <w:rPr>
        <w:rFonts w:hint="eastAsia"/>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DD163D6">
                          <w:pPr>
                            <w:pStyle w:val="8"/>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0BKD8s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7QEoPywCAABXBAAADgAAAAAAAAABACAAAAAfAQAAZHJzL2Uyb0RvYy54bWxQSwUGAAAAAAYA&#10;BgBZAQAAvQUAAAAA&#10;">
              <v:fill on="f" focussize="0,0"/>
              <v:stroke on="f" weight="0.5pt"/>
              <v:imagedata o:title=""/>
              <o:lock v:ext="edit" aspectratio="f"/>
              <v:textbox inset="0mm,0mm,0mm,0mm" style="mso-fit-shape-to-text:t;">
                <w:txbxContent>
                  <w:p w14:paraId="7DD163D6">
                    <w:pPr>
                      <w:pStyle w:val="8"/>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95B0A">
    <w:pPr>
      <w:pStyle w:val="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39DF307">
                          <w:pPr>
                            <w:pStyle w:val="8"/>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r5848t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r5848tAgAAVwQAAA4AAAAAAAAAAQAgAAAAHwEAAGRycy9lMm9Eb2MueG1sUEsFBgAAAAAG&#10;AAYAWQEAAL4FAAAAAA==&#10;">
              <v:fill on="f" focussize="0,0"/>
              <v:stroke on="f" weight="0.5pt"/>
              <v:imagedata o:title=""/>
              <o:lock v:ext="edit" aspectratio="f"/>
              <v:textbox inset="0mm,0mm,0mm,0mm" style="mso-fit-shape-to-text:t;">
                <w:txbxContent>
                  <w:p w14:paraId="239DF307">
                    <w:pPr>
                      <w:pStyle w:val="8"/>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335F">
    <w:pPr>
      <w:spacing w:line="230" w:lineRule="auto"/>
      <w:rPr>
        <w:rFonts w:hint="eastAsia"/>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BD52D40">
                          <w:pPr>
                            <w:pStyle w:val="8"/>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iE60u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CYIhOtLgIAAFcEAAAOAAAAAAAAAAEAIAAAAB8BAABkcnMvZTJvRG9jLnhtbFBLBQYAAAAA&#10;BgAGAFkBAAC/BQAAAAA=&#10;">
              <v:fill on="f" focussize="0,0"/>
              <v:stroke on="f" weight="0.5pt"/>
              <v:imagedata o:title=""/>
              <o:lock v:ext="edit" aspectratio="f"/>
              <v:textbox inset="0mm,0mm,0mm,0mm" style="mso-fit-shape-to-text:t;">
                <w:txbxContent>
                  <w:p w14:paraId="2BD52D40">
                    <w:pPr>
                      <w:pStyle w:val="8"/>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C9A31">
    <w:pPr>
      <w:pStyle w:val="8"/>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7C5F938">
                          <w:pPr>
                            <w:pStyle w:val="8"/>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2"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2S5Y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e2S5YtAgAAVwQAAA4AAAAAAAAAAQAgAAAAHwEAAGRycy9lMm9Eb2MueG1sUEsFBgAAAAAG&#10;AAYAWQEAAL4FAAAAAA==&#10;">
              <v:fill on="f" focussize="0,0"/>
              <v:stroke on="f" weight="0.5pt"/>
              <v:imagedata o:title=""/>
              <o:lock v:ext="edit" aspectratio="f"/>
              <v:textbox inset="0mm,0mm,0mm,0mm" style="mso-fit-shape-to-text:t;">
                <w:txbxContent>
                  <w:p w14:paraId="47C5F938">
                    <w:pPr>
                      <w:pStyle w:val="8"/>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F31F8">
    <w:pPr>
      <w:spacing w:line="230" w:lineRule="auto"/>
      <w:rPr>
        <w:rFonts w:hint="eastAsia"/>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666BA81">
                          <w:pPr>
                            <w:pStyle w:val="8"/>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Vtq7QtAgAAVwQAAA4AAAAAAAAAAQAgAAAAHwEAAGRycy9lMm9Eb2MueG1sUEsFBgAAAAAG&#10;AAYAWQEAAL4FAAAAAA==&#10;">
              <v:fill on="f" focussize="0,0"/>
              <v:stroke on="f" weight="0.5pt"/>
              <v:imagedata o:title=""/>
              <o:lock v:ext="edit" aspectratio="f"/>
              <v:textbox inset="0mm,0mm,0mm,0mm" style="mso-fit-shape-to-text:t;">
                <w:txbxContent>
                  <w:p w14:paraId="0666BA81">
                    <w:pPr>
                      <w:pStyle w:val="8"/>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37AD4">
    <w:pPr>
      <w:pStyle w:val="8"/>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298075B">
                          <w:pPr>
                            <w:pStyle w:val="8"/>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dORmEtAgAAVg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dORmEtAgAAVgQAAA4AAAAAAAAAAQAgAAAAHwEAAGRycy9lMm9Eb2MueG1sUEsFBgAAAAAG&#10;AAYAWQEAAL4FAAAAAA==&#10;">
              <v:fill on="f" focussize="0,0"/>
              <v:stroke on="f" weight="0.5pt"/>
              <v:imagedata o:title=""/>
              <o:lock v:ext="edit" aspectratio="f"/>
              <v:textbox inset="0mm,0mm,0mm,0mm" style="mso-fit-shape-to-text:t;">
                <w:txbxContent>
                  <w:p w14:paraId="5298075B">
                    <w:pPr>
                      <w:pStyle w:val="8"/>
                    </w:pPr>
                    <w:r>
                      <w:fldChar w:fldCharType="begin"/>
                    </w:r>
                    <w:r>
                      <w:instrText xml:space="preserve"> PAGE  \* MERGEFORMAT </w:instrText>
                    </w:r>
                    <w:r>
                      <w:fldChar w:fldCharType="separate"/>
                    </w:r>
                    <w:r>
                      <w:t>30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0CBAE">
    <w:pPr>
      <w:pStyle w:val="6"/>
      <w:spacing w:before="54" w:line="237" w:lineRule="auto"/>
      <w:ind w:right="2"/>
      <w:jc w:val="right"/>
      <w:rPr>
        <w:rFonts w:hint="eastAsia"/>
        <w:sz w:val="20"/>
        <w:szCs w:val="20"/>
      </w:rPr>
    </w:pPr>
    <w:r>
      <w:rPr>
        <w:spacing w:val="6"/>
        <w:sz w:val="20"/>
        <w:szCs w:val="20"/>
      </w:rPr>
      <w:t>Q/</w:t>
    </w:r>
    <w:r>
      <w:rPr>
        <w:sz w:val="20"/>
        <w:szCs w:val="20"/>
      </w:rPr>
      <w:t>HBYC</w:t>
    </w:r>
    <w:r>
      <w:rPr>
        <w:spacing w:val="6"/>
        <w:sz w:val="20"/>
        <w:szCs w:val="20"/>
      </w:rPr>
      <w:t xml:space="preserve"> </w:t>
    </w:r>
    <w:r>
      <w:rPr>
        <w:sz w:val="20"/>
        <w:szCs w:val="20"/>
      </w:rPr>
      <w:t>GL</w:t>
    </w:r>
    <w:r>
      <w:rPr>
        <w:spacing w:val="19"/>
        <w:sz w:val="20"/>
        <w:szCs w:val="20"/>
      </w:rPr>
      <w:t xml:space="preserve"> </w:t>
    </w:r>
    <w:r>
      <w:rPr>
        <w:sz w:val="20"/>
        <w:szCs w:val="20"/>
      </w:rPr>
      <w:t>KJ</w:t>
    </w:r>
    <w:r>
      <w:rPr>
        <w:spacing w:val="13"/>
        <w:sz w:val="20"/>
        <w:szCs w:val="20"/>
      </w:rPr>
      <w:t xml:space="preserve"> </w:t>
    </w:r>
    <w:r>
      <w:rPr>
        <w:spacing w:val="6"/>
        <w:sz w:val="20"/>
        <w:szCs w:val="20"/>
      </w:rPr>
      <w:t>04-2025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244BB">
    <w:pPr>
      <w:pStyle w:val="6"/>
      <w:spacing w:before="54" w:line="237" w:lineRule="auto"/>
      <w:ind w:left="20"/>
      <w:rPr>
        <w:rFonts w:hint="eastAsia"/>
        <w:sz w:val="20"/>
        <w:szCs w:val="20"/>
      </w:rPr>
    </w:pPr>
    <w:r>
      <w:rPr>
        <w:spacing w:val="6"/>
        <w:sz w:val="20"/>
        <w:szCs w:val="20"/>
      </w:rPr>
      <w:t>Q/</w:t>
    </w:r>
    <w:r>
      <w:rPr>
        <w:sz w:val="20"/>
        <w:szCs w:val="20"/>
      </w:rPr>
      <w:t>HBYC</w:t>
    </w:r>
    <w:r>
      <w:rPr>
        <w:spacing w:val="6"/>
        <w:sz w:val="20"/>
        <w:szCs w:val="20"/>
      </w:rPr>
      <w:t xml:space="preserve"> </w:t>
    </w:r>
    <w:r>
      <w:rPr>
        <w:sz w:val="20"/>
        <w:szCs w:val="20"/>
      </w:rPr>
      <w:t>GL</w:t>
    </w:r>
    <w:r>
      <w:rPr>
        <w:spacing w:val="19"/>
        <w:sz w:val="20"/>
        <w:szCs w:val="20"/>
      </w:rPr>
      <w:t xml:space="preserve"> </w:t>
    </w:r>
    <w:r>
      <w:rPr>
        <w:sz w:val="20"/>
        <w:szCs w:val="20"/>
      </w:rPr>
      <w:t>KJ</w:t>
    </w:r>
    <w:r>
      <w:rPr>
        <w:spacing w:val="13"/>
        <w:sz w:val="20"/>
        <w:szCs w:val="20"/>
      </w:rPr>
      <w:t xml:space="preserve"> </w:t>
    </w:r>
    <w:r>
      <w:rPr>
        <w:spacing w:val="6"/>
        <w:sz w:val="20"/>
        <w:szCs w:val="20"/>
      </w:rPr>
      <w:t>04-2025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0D55B">
    <w:pPr>
      <w:pStyle w:val="6"/>
      <w:spacing w:before="54" w:line="237" w:lineRule="auto"/>
      <w:ind w:left="167"/>
      <w:rPr>
        <w:rFonts w:hint="eastAsia"/>
        <w:sz w:val="20"/>
        <w:szCs w:val="20"/>
      </w:rPr>
    </w:pPr>
    <w:r>
      <w:rPr>
        <w:spacing w:val="6"/>
        <w:sz w:val="20"/>
        <w:szCs w:val="20"/>
      </w:rPr>
      <w:t>Q/</w:t>
    </w:r>
    <w:r>
      <w:rPr>
        <w:sz w:val="20"/>
        <w:szCs w:val="20"/>
      </w:rPr>
      <w:t>HBYC</w:t>
    </w:r>
    <w:r>
      <w:rPr>
        <w:spacing w:val="6"/>
        <w:sz w:val="20"/>
        <w:szCs w:val="20"/>
      </w:rPr>
      <w:t xml:space="preserve"> </w:t>
    </w:r>
    <w:r>
      <w:rPr>
        <w:sz w:val="20"/>
        <w:szCs w:val="20"/>
      </w:rPr>
      <w:t>GL</w:t>
    </w:r>
    <w:r>
      <w:rPr>
        <w:spacing w:val="19"/>
        <w:sz w:val="20"/>
        <w:szCs w:val="20"/>
      </w:rPr>
      <w:t xml:space="preserve"> </w:t>
    </w:r>
    <w:r>
      <w:rPr>
        <w:sz w:val="20"/>
        <w:szCs w:val="20"/>
      </w:rPr>
      <w:t>KJ</w:t>
    </w:r>
    <w:r>
      <w:rPr>
        <w:spacing w:val="13"/>
        <w:sz w:val="20"/>
        <w:szCs w:val="20"/>
      </w:rPr>
      <w:t xml:space="preserve"> </w:t>
    </w:r>
    <w:r>
      <w:rPr>
        <w:spacing w:val="6"/>
        <w:sz w:val="20"/>
        <w:szCs w:val="20"/>
      </w:rPr>
      <w:t>04-2025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27951">
    <w:pPr>
      <w:pStyle w:val="6"/>
      <w:spacing w:before="54" w:line="237" w:lineRule="auto"/>
      <w:ind w:left="7400"/>
      <w:rPr>
        <w:rFonts w:hint="eastAsia"/>
        <w:sz w:val="20"/>
        <w:szCs w:val="20"/>
      </w:rPr>
    </w:pPr>
    <w:r>
      <w:rPr>
        <w:spacing w:val="6"/>
        <w:sz w:val="20"/>
        <w:szCs w:val="20"/>
      </w:rPr>
      <w:t>Q/</w:t>
    </w:r>
    <w:r>
      <w:rPr>
        <w:sz w:val="20"/>
        <w:szCs w:val="20"/>
      </w:rPr>
      <w:t>HBYC</w:t>
    </w:r>
    <w:r>
      <w:rPr>
        <w:spacing w:val="6"/>
        <w:sz w:val="20"/>
        <w:szCs w:val="20"/>
      </w:rPr>
      <w:t xml:space="preserve"> </w:t>
    </w:r>
    <w:r>
      <w:rPr>
        <w:sz w:val="20"/>
        <w:szCs w:val="20"/>
      </w:rPr>
      <w:t>GL</w:t>
    </w:r>
    <w:r>
      <w:rPr>
        <w:spacing w:val="19"/>
        <w:sz w:val="20"/>
        <w:szCs w:val="20"/>
      </w:rPr>
      <w:t xml:space="preserve"> </w:t>
    </w:r>
    <w:r>
      <w:rPr>
        <w:sz w:val="20"/>
        <w:szCs w:val="20"/>
      </w:rPr>
      <w:t>KJ</w:t>
    </w:r>
    <w:r>
      <w:rPr>
        <w:spacing w:val="13"/>
        <w:sz w:val="20"/>
        <w:szCs w:val="20"/>
      </w:rPr>
      <w:t xml:space="preserve"> </w:t>
    </w:r>
    <w:r>
      <w:rPr>
        <w:spacing w:val="6"/>
        <w:sz w:val="20"/>
        <w:szCs w:val="20"/>
      </w:rPr>
      <w:t>04-2025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37F09">
    <w:pPr>
      <w:pStyle w:val="6"/>
      <w:spacing w:before="54" w:line="237" w:lineRule="auto"/>
      <w:ind w:left="142"/>
      <w:rPr>
        <w:rFonts w:hint="eastAsia"/>
        <w:sz w:val="20"/>
        <w:szCs w:val="20"/>
      </w:rPr>
    </w:pPr>
    <w:r>
      <w:rPr>
        <w:spacing w:val="6"/>
        <w:sz w:val="20"/>
        <w:szCs w:val="20"/>
      </w:rPr>
      <w:t>Q/</w:t>
    </w:r>
    <w:r>
      <w:rPr>
        <w:sz w:val="20"/>
        <w:szCs w:val="20"/>
      </w:rPr>
      <w:t>HBYC</w:t>
    </w:r>
    <w:r>
      <w:rPr>
        <w:spacing w:val="6"/>
        <w:sz w:val="20"/>
        <w:szCs w:val="20"/>
      </w:rPr>
      <w:t xml:space="preserve"> </w:t>
    </w:r>
    <w:r>
      <w:rPr>
        <w:sz w:val="20"/>
        <w:szCs w:val="20"/>
      </w:rPr>
      <w:t>GL</w:t>
    </w:r>
    <w:r>
      <w:rPr>
        <w:spacing w:val="19"/>
        <w:sz w:val="20"/>
        <w:szCs w:val="20"/>
      </w:rPr>
      <w:t xml:space="preserve"> </w:t>
    </w:r>
    <w:r>
      <w:rPr>
        <w:sz w:val="20"/>
        <w:szCs w:val="20"/>
      </w:rPr>
      <w:t>KJ</w:t>
    </w:r>
    <w:r>
      <w:rPr>
        <w:spacing w:val="13"/>
        <w:sz w:val="20"/>
        <w:szCs w:val="20"/>
      </w:rPr>
      <w:t xml:space="preserve"> </w:t>
    </w:r>
    <w:r>
      <w:rPr>
        <w:spacing w:val="6"/>
        <w:sz w:val="20"/>
        <w:szCs w:val="20"/>
      </w:rPr>
      <w:t>04-2025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0BC89">
    <w:pPr>
      <w:pStyle w:val="6"/>
      <w:spacing w:before="55" w:line="226" w:lineRule="auto"/>
      <w:ind w:left="7400"/>
      <w:rPr>
        <w:rFonts w:hint="eastAsia"/>
        <w:sz w:val="20"/>
        <w:szCs w:val="20"/>
      </w:rPr>
    </w:pPr>
    <w:r>
      <w:rPr>
        <w:spacing w:val="6"/>
        <w:sz w:val="20"/>
        <w:szCs w:val="20"/>
      </w:rPr>
      <w:t>Q/</w:t>
    </w:r>
    <w:r>
      <w:rPr>
        <w:sz w:val="20"/>
        <w:szCs w:val="20"/>
      </w:rPr>
      <w:t>HBYC</w:t>
    </w:r>
    <w:r>
      <w:rPr>
        <w:spacing w:val="6"/>
        <w:sz w:val="20"/>
        <w:szCs w:val="20"/>
      </w:rPr>
      <w:t xml:space="preserve"> </w:t>
    </w:r>
    <w:r>
      <w:rPr>
        <w:sz w:val="20"/>
        <w:szCs w:val="20"/>
      </w:rPr>
      <w:t>GL</w:t>
    </w:r>
    <w:r>
      <w:rPr>
        <w:spacing w:val="19"/>
        <w:sz w:val="20"/>
        <w:szCs w:val="20"/>
      </w:rPr>
      <w:t xml:space="preserve"> </w:t>
    </w:r>
    <w:r>
      <w:rPr>
        <w:sz w:val="20"/>
        <w:szCs w:val="20"/>
      </w:rPr>
      <w:t>KJ</w:t>
    </w:r>
    <w:r>
      <w:rPr>
        <w:spacing w:val="13"/>
        <w:sz w:val="20"/>
        <w:szCs w:val="20"/>
      </w:rPr>
      <w:t xml:space="preserve"> </w:t>
    </w:r>
    <w:r>
      <w:rPr>
        <w:spacing w:val="6"/>
        <w:sz w:val="20"/>
        <w:szCs w:val="20"/>
      </w:rPr>
      <w:t>04-2025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F27B8">
    <w:pPr>
      <w:pStyle w:val="6"/>
      <w:spacing w:before="54" w:line="237" w:lineRule="auto"/>
      <w:jc w:val="right"/>
      <w:rPr>
        <w:rFonts w:hint="eastAsia"/>
        <w:sz w:val="20"/>
        <w:szCs w:val="20"/>
      </w:rPr>
    </w:pPr>
    <w:r>
      <w:rPr>
        <w:spacing w:val="7"/>
        <w:sz w:val="20"/>
        <w:szCs w:val="20"/>
      </w:rPr>
      <w:t>Q/</w:t>
    </w:r>
    <w:r>
      <w:rPr>
        <w:sz w:val="20"/>
        <w:szCs w:val="20"/>
      </w:rPr>
      <w:t>HBYC</w:t>
    </w:r>
    <w:r>
      <w:rPr>
        <w:spacing w:val="7"/>
        <w:sz w:val="20"/>
        <w:szCs w:val="20"/>
      </w:rPr>
      <w:t xml:space="preserve"> </w:t>
    </w:r>
    <w:r>
      <w:rPr>
        <w:sz w:val="20"/>
        <w:szCs w:val="20"/>
      </w:rPr>
      <w:t>GL</w:t>
    </w:r>
    <w:r>
      <w:rPr>
        <w:spacing w:val="13"/>
        <w:sz w:val="20"/>
        <w:szCs w:val="20"/>
      </w:rPr>
      <w:t xml:space="preserve"> </w:t>
    </w:r>
    <w:r>
      <w:rPr>
        <w:sz w:val="20"/>
        <w:szCs w:val="20"/>
      </w:rPr>
      <w:t>KJ</w:t>
    </w:r>
    <w:r>
      <w:rPr>
        <w:spacing w:val="11"/>
        <w:sz w:val="20"/>
        <w:szCs w:val="20"/>
      </w:rPr>
      <w:t xml:space="preserve"> </w:t>
    </w:r>
    <w:r>
      <w:rPr>
        <w:spacing w:val="7"/>
        <w:sz w:val="20"/>
        <w:szCs w:val="20"/>
      </w:rPr>
      <w:t>04-2025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6AF08B"/>
    <w:multiLevelType w:val="singleLevel"/>
    <w:tmpl w:val="EE6AF08B"/>
    <w:lvl w:ilvl="0" w:tentative="0">
      <w:start w:val="3"/>
      <w:numFmt w:val="decimal"/>
      <w:suff w:val="nothing"/>
      <w:lvlText w:val="（%1）"/>
      <w:lvlJc w:val="left"/>
    </w:lvl>
  </w:abstractNum>
  <w:abstractNum w:abstractNumId="1">
    <w:nsid w:val="4D50976D"/>
    <w:multiLevelType w:val="singleLevel"/>
    <w:tmpl w:val="4D50976D"/>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spaceForUL/>
    <w:balanceSingleByteDoubleByteWidth/>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g1ZDYzZTY5ZjA4N2M0NWM2ODNlZDYwNGYwMGNlNTQifQ=="/>
  </w:docVars>
  <w:rsids>
    <w:rsidRoot w:val="008E05D5"/>
    <w:rsid w:val="000009E4"/>
    <w:rsid w:val="00006C42"/>
    <w:rsid w:val="00007363"/>
    <w:rsid w:val="00012168"/>
    <w:rsid w:val="000310A8"/>
    <w:rsid w:val="000350F5"/>
    <w:rsid w:val="00035D31"/>
    <w:rsid w:val="0003751A"/>
    <w:rsid w:val="00040107"/>
    <w:rsid w:val="00045C1A"/>
    <w:rsid w:val="00053539"/>
    <w:rsid w:val="000566C3"/>
    <w:rsid w:val="000572F0"/>
    <w:rsid w:val="000648DD"/>
    <w:rsid w:val="00066578"/>
    <w:rsid w:val="00072B38"/>
    <w:rsid w:val="00091249"/>
    <w:rsid w:val="000D021C"/>
    <w:rsid w:val="000D322E"/>
    <w:rsid w:val="000E3E5E"/>
    <w:rsid w:val="000E503B"/>
    <w:rsid w:val="000E760B"/>
    <w:rsid w:val="000F5A28"/>
    <w:rsid w:val="001117CF"/>
    <w:rsid w:val="00113326"/>
    <w:rsid w:val="00121BB0"/>
    <w:rsid w:val="00133110"/>
    <w:rsid w:val="00136939"/>
    <w:rsid w:val="00151E36"/>
    <w:rsid w:val="00160CE7"/>
    <w:rsid w:val="00160E6C"/>
    <w:rsid w:val="0016344D"/>
    <w:rsid w:val="00174F3C"/>
    <w:rsid w:val="001904B2"/>
    <w:rsid w:val="00191655"/>
    <w:rsid w:val="00196AB7"/>
    <w:rsid w:val="001A0E59"/>
    <w:rsid w:val="001B6652"/>
    <w:rsid w:val="001E39D8"/>
    <w:rsid w:val="001E40B4"/>
    <w:rsid w:val="001E5C11"/>
    <w:rsid w:val="00221881"/>
    <w:rsid w:val="002235D8"/>
    <w:rsid w:val="00235D6C"/>
    <w:rsid w:val="00242178"/>
    <w:rsid w:val="00244EE5"/>
    <w:rsid w:val="00252CB5"/>
    <w:rsid w:val="00253502"/>
    <w:rsid w:val="00256454"/>
    <w:rsid w:val="00265F24"/>
    <w:rsid w:val="00270763"/>
    <w:rsid w:val="00281D81"/>
    <w:rsid w:val="00283103"/>
    <w:rsid w:val="0028551A"/>
    <w:rsid w:val="002A274D"/>
    <w:rsid w:val="002A3DAB"/>
    <w:rsid w:val="002A5926"/>
    <w:rsid w:val="002A795D"/>
    <w:rsid w:val="002B0484"/>
    <w:rsid w:val="002B20F0"/>
    <w:rsid w:val="002B4E5A"/>
    <w:rsid w:val="002D0954"/>
    <w:rsid w:val="002D5573"/>
    <w:rsid w:val="002D624F"/>
    <w:rsid w:val="002F215B"/>
    <w:rsid w:val="002F5EBE"/>
    <w:rsid w:val="003200C3"/>
    <w:rsid w:val="00322F73"/>
    <w:rsid w:val="00346A44"/>
    <w:rsid w:val="00362F29"/>
    <w:rsid w:val="0037149D"/>
    <w:rsid w:val="00373943"/>
    <w:rsid w:val="003838DA"/>
    <w:rsid w:val="003848F9"/>
    <w:rsid w:val="003850F0"/>
    <w:rsid w:val="003970AD"/>
    <w:rsid w:val="003A09B2"/>
    <w:rsid w:val="003B3AD1"/>
    <w:rsid w:val="003B7FF5"/>
    <w:rsid w:val="003C187F"/>
    <w:rsid w:val="003C5048"/>
    <w:rsid w:val="003E1794"/>
    <w:rsid w:val="00402A31"/>
    <w:rsid w:val="0040394F"/>
    <w:rsid w:val="00412AB9"/>
    <w:rsid w:val="00412EC2"/>
    <w:rsid w:val="004163E1"/>
    <w:rsid w:val="00441331"/>
    <w:rsid w:val="00453706"/>
    <w:rsid w:val="0046106D"/>
    <w:rsid w:val="00471DEB"/>
    <w:rsid w:val="004908AF"/>
    <w:rsid w:val="00495447"/>
    <w:rsid w:val="004A2678"/>
    <w:rsid w:val="004B6250"/>
    <w:rsid w:val="004E603F"/>
    <w:rsid w:val="004E6410"/>
    <w:rsid w:val="005136DA"/>
    <w:rsid w:val="005304E6"/>
    <w:rsid w:val="0053095D"/>
    <w:rsid w:val="005410F5"/>
    <w:rsid w:val="00545FBD"/>
    <w:rsid w:val="00547284"/>
    <w:rsid w:val="00557E37"/>
    <w:rsid w:val="0057303B"/>
    <w:rsid w:val="005C4A2C"/>
    <w:rsid w:val="005E03E8"/>
    <w:rsid w:val="005F3419"/>
    <w:rsid w:val="00603990"/>
    <w:rsid w:val="00603AAD"/>
    <w:rsid w:val="006052AB"/>
    <w:rsid w:val="00620277"/>
    <w:rsid w:val="006271E0"/>
    <w:rsid w:val="00630490"/>
    <w:rsid w:val="00635594"/>
    <w:rsid w:val="00642359"/>
    <w:rsid w:val="006424CE"/>
    <w:rsid w:val="006444BE"/>
    <w:rsid w:val="0064603B"/>
    <w:rsid w:val="00656CEF"/>
    <w:rsid w:val="00666879"/>
    <w:rsid w:val="0068070D"/>
    <w:rsid w:val="00682F26"/>
    <w:rsid w:val="00684143"/>
    <w:rsid w:val="00690DE3"/>
    <w:rsid w:val="006968BF"/>
    <w:rsid w:val="006A07B8"/>
    <w:rsid w:val="006A2492"/>
    <w:rsid w:val="006C192D"/>
    <w:rsid w:val="006D20D1"/>
    <w:rsid w:val="006D4E09"/>
    <w:rsid w:val="006D7A8C"/>
    <w:rsid w:val="006F47F2"/>
    <w:rsid w:val="00705002"/>
    <w:rsid w:val="007062F3"/>
    <w:rsid w:val="0072468A"/>
    <w:rsid w:val="00732EC4"/>
    <w:rsid w:val="00735CD5"/>
    <w:rsid w:val="00751EC2"/>
    <w:rsid w:val="007601DB"/>
    <w:rsid w:val="0077185E"/>
    <w:rsid w:val="007747BA"/>
    <w:rsid w:val="00774D76"/>
    <w:rsid w:val="00791D09"/>
    <w:rsid w:val="007A514E"/>
    <w:rsid w:val="007B4B12"/>
    <w:rsid w:val="007B5FA9"/>
    <w:rsid w:val="007B7CBA"/>
    <w:rsid w:val="007C567B"/>
    <w:rsid w:val="007C5834"/>
    <w:rsid w:val="007C73BA"/>
    <w:rsid w:val="007C79E3"/>
    <w:rsid w:val="007D0FA9"/>
    <w:rsid w:val="007F0A6A"/>
    <w:rsid w:val="00806DB0"/>
    <w:rsid w:val="00815E75"/>
    <w:rsid w:val="00833C7A"/>
    <w:rsid w:val="0083543C"/>
    <w:rsid w:val="00851519"/>
    <w:rsid w:val="00851CA6"/>
    <w:rsid w:val="008570F3"/>
    <w:rsid w:val="00864430"/>
    <w:rsid w:val="00873CE1"/>
    <w:rsid w:val="008765D6"/>
    <w:rsid w:val="00894724"/>
    <w:rsid w:val="008A531B"/>
    <w:rsid w:val="008B525A"/>
    <w:rsid w:val="008E05D5"/>
    <w:rsid w:val="008E709C"/>
    <w:rsid w:val="008F39E4"/>
    <w:rsid w:val="008F4540"/>
    <w:rsid w:val="008F7BF5"/>
    <w:rsid w:val="009101C1"/>
    <w:rsid w:val="00911398"/>
    <w:rsid w:val="00912F35"/>
    <w:rsid w:val="009134CE"/>
    <w:rsid w:val="00914F19"/>
    <w:rsid w:val="009418FC"/>
    <w:rsid w:val="00953694"/>
    <w:rsid w:val="009605B1"/>
    <w:rsid w:val="00962C5F"/>
    <w:rsid w:val="00994FA2"/>
    <w:rsid w:val="009A3057"/>
    <w:rsid w:val="009B0F03"/>
    <w:rsid w:val="009B1D17"/>
    <w:rsid w:val="009B2CE1"/>
    <w:rsid w:val="009E0A7B"/>
    <w:rsid w:val="009F3C53"/>
    <w:rsid w:val="009F4A6C"/>
    <w:rsid w:val="00A04766"/>
    <w:rsid w:val="00A076D6"/>
    <w:rsid w:val="00A10D8B"/>
    <w:rsid w:val="00A16CF4"/>
    <w:rsid w:val="00A308CA"/>
    <w:rsid w:val="00A31C1A"/>
    <w:rsid w:val="00A43FA1"/>
    <w:rsid w:val="00A74B5C"/>
    <w:rsid w:val="00A87B0F"/>
    <w:rsid w:val="00A933A8"/>
    <w:rsid w:val="00A94EFF"/>
    <w:rsid w:val="00A964B5"/>
    <w:rsid w:val="00AB694C"/>
    <w:rsid w:val="00AC4472"/>
    <w:rsid w:val="00AD1952"/>
    <w:rsid w:val="00AD32B8"/>
    <w:rsid w:val="00AE3550"/>
    <w:rsid w:val="00AF2298"/>
    <w:rsid w:val="00B01F62"/>
    <w:rsid w:val="00B121C0"/>
    <w:rsid w:val="00B12F22"/>
    <w:rsid w:val="00B21ECA"/>
    <w:rsid w:val="00B22523"/>
    <w:rsid w:val="00B30004"/>
    <w:rsid w:val="00B42BC8"/>
    <w:rsid w:val="00B44C10"/>
    <w:rsid w:val="00B56DB6"/>
    <w:rsid w:val="00B67F02"/>
    <w:rsid w:val="00B74619"/>
    <w:rsid w:val="00B75D60"/>
    <w:rsid w:val="00B81A53"/>
    <w:rsid w:val="00B94160"/>
    <w:rsid w:val="00BA611C"/>
    <w:rsid w:val="00BB1286"/>
    <w:rsid w:val="00BB7D12"/>
    <w:rsid w:val="00BC059B"/>
    <w:rsid w:val="00BC3573"/>
    <w:rsid w:val="00BC4674"/>
    <w:rsid w:val="00BD6542"/>
    <w:rsid w:val="00BE0998"/>
    <w:rsid w:val="00BF3C98"/>
    <w:rsid w:val="00C13575"/>
    <w:rsid w:val="00C35295"/>
    <w:rsid w:val="00C357D8"/>
    <w:rsid w:val="00C45E5B"/>
    <w:rsid w:val="00C67BAC"/>
    <w:rsid w:val="00C705EE"/>
    <w:rsid w:val="00C85E9F"/>
    <w:rsid w:val="00C949FE"/>
    <w:rsid w:val="00C97CA9"/>
    <w:rsid w:val="00CB175C"/>
    <w:rsid w:val="00CC3A85"/>
    <w:rsid w:val="00CC4211"/>
    <w:rsid w:val="00CC465E"/>
    <w:rsid w:val="00CC575E"/>
    <w:rsid w:val="00CF1279"/>
    <w:rsid w:val="00D06145"/>
    <w:rsid w:val="00D153D8"/>
    <w:rsid w:val="00D163F1"/>
    <w:rsid w:val="00D20443"/>
    <w:rsid w:val="00D33ACB"/>
    <w:rsid w:val="00D33B6A"/>
    <w:rsid w:val="00D35A54"/>
    <w:rsid w:val="00D4041A"/>
    <w:rsid w:val="00D56856"/>
    <w:rsid w:val="00D5787B"/>
    <w:rsid w:val="00D614B0"/>
    <w:rsid w:val="00D66F5B"/>
    <w:rsid w:val="00D677BA"/>
    <w:rsid w:val="00D67909"/>
    <w:rsid w:val="00D741B4"/>
    <w:rsid w:val="00D82306"/>
    <w:rsid w:val="00D9012D"/>
    <w:rsid w:val="00D92086"/>
    <w:rsid w:val="00D94160"/>
    <w:rsid w:val="00DA1447"/>
    <w:rsid w:val="00DA7DF7"/>
    <w:rsid w:val="00DB2858"/>
    <w:rsid w:val="00DB6CE8"/>
    <w:rsid w:val="00DC5FF4"/>
    <w:rsid w:val="00DC7D95"/>
    <w:rsid w:val="00DD5AB2"/>
    <w:rsid w:val="00DE2249"/>
    <w:rsid w:val="00E0154F"/>
    <w:rsid w:val="00E0321A"/>
    <w:rsid w:val="00E03688"/>
    <w:rsid w:val="00E0442E"/>
    <w:rsid w:val="00E04B26"/>
    <w:rsid w:val="00E117F3"/>
    <w:rsid w:val="00E153DC"/>
    <w:rsid w:val="00E226F2"/>
    <w:rsid w:val="00E330CB"/>
    <w:rsid w:val="00E3437A"/>
    <w:rsid w:val="00E5692E"/>
    <w:rsid w:val="00E61668"/>
    <w:rsid w:val="00E67AC1"/>
    <w:rsid w:val="00E716F8"/>
    <w:rsid w:val="00E77CEA"/>
    <w:rsid w:val="00E97B18"/>
    <w:rsid w:val="00EA50F8"/>
    <w:rsid w:val="00EB34A6"/>
    <w:rsid w:val="00EB428C"/>
    <w:rsid w:val="00EC4BD8"/>
    <w:rsid w:val="00ED2DF8"/>
    <w:rsid w:val="00EF7924"/>
    <w:rsid w:val="00F00D46"/>
    <w:rsid w:val="00F227E8"/>
    <w:rsid w:val="00F5316F"/>
    <w:rsid w:val="00F6617A"/>
    <w:rsid w:val="00F70756"/>
    <w:rsid w:val="00F92998"/>
    <w:rsid w:val="00F92C58"/>
    <w:rsid w:val="00FA1495"/>
    <w:rsid w:val="00FA48E5"/>
    <w:rsid w:val="00FB136B"/>
    <w:rsid w:val="00FB19B0"/>
    <w:rsid w:val="00FB62ED"/>
    <w:rsid w:val="00FC41B1"/>
    <w:rsid w:val="00FC72DE"/>
    <w:rsid w:val="00FE62F7"/>
    <w:rsid w:val="012F05BA"/>
    <w:rsid w:val="01550B94"/>
    <w:rsid w:val="017E2709"/>
    <w:rsid w:val="01C42B8B"/>
    <w:rsid w:val="01CF32DE"/>
    <w:rsid w:val="01D75BA7"/>
    <w:rsid w:val="02147B7F"/>
    <w:rsid w:val="02354BA7"/>
    <w:rsid w:val="0297204E"/>
    <w:rsid w:val="032C78B4"/>
    <w:rsid w:val="040618DA"/>
    <w:rsid w:val="04137DFA"/>
    <w:rsid w:val="043401A5"/>
    <w:rsid w:val="04B55D3D"/>
    <w:rsid w:val="04CB2483"/>
    <w:rsid w:val="04E87101"/>
    <w:rsid w:val="050F05C1"/>
    <w:rsid w:val="055A2567"/>
    <w:rsid w:val="05700AA4"/>
    <w:rsid w:val="05DD06BF"/>
    <w:rsid w:val="065D35AE"/>
    <w:rsid w:val="06C4362D"/>
    <w:rsid w:val="073626C5"/>
    <w:rsid w:val="079D5B35"/>
    <w:rsid w:val="07C02047"/>
    <w:rsid w:val="07DC2CC9"/>
    <w:rsid w:val="080639CA"/>
    <w:rsid w:val="08D062B9"/>
    <w:rsid w:val="0AA23C86"/>
    <w:rsid w:val="0AB86CF9"/>
    <w:rsid w:val="0AE95411"/>
    <w:rsid w:val="0BED4535"/>
    <w:rsid w:val="0D181FDD"/>
    <w:rsid w:val="0D49488C"/>
    <w:rsid w:val="0D820995"/>
    <w:rsid w:val="0EF44384"/>
    <w:rsid w:val="10BB33AB"/>
    <w:rsid w:val="11622C90"/>
    <w:rsid w:val="121064E1"/>
    <w:rsid w:val="121948C4"/>
    <w:rsid w:val="123C3953"/>
    <w:rsid w:val="123E24E6"/>
    <w:rsid w:val="128F7C02"/>
    <w:rsid w:val="12D270D2"/>
    <w:rsid w:val="133612F0"/>
    <w:rsid w:val="1382040E"/>
    <w:rsid w:val="138466A3"/>
    <w:rsid w:val="13954387"/>
    <w:rsid w:val="13C76D23"/>
    <w:rsid w:val="145E6E6F"/>
    <w:rsid w:val="148F2E8B"/>
    <w:rsid w:val="15BD7BC5"/>
    <w:rsid w:val="161308AB"/>
    <w:rsid w:val="162938A7"/>
    <w:rsid w:val="164A5664"/>
    <w:rsid w:val="16F26C01"/>
    <w:rsid w:val="174156FC"/>
    <w:rsid w:val="17CC3EC8"/>
    <w:rsid w:val="180E64B6"/>
    <w:rsid w:val="18F0469C"/>
    <w:rsid w:val="19232232"/>
    <w:rsid w:val="1946144A"/>
    <w:rsid w:val="1977008B"/>
    <w:rsid w:val="198509FA"/>
    <w:rsid w:val="19DD25E4"/>
    <w:rsid w:val="19E51499"/>
    <w:rsid w:val="19F912B0"/>
    <w:rsid w:val="1B395F40"/>
    <w:rsid w:val="1B66060C"/>
    <w:rsid w:val="1BFE4A94"/>
    <w:rsid w:val="1C1E6FBE"/>
    <w:rsid w:val="1CFD0F69"/>
    <w:rsid w:val="1DE01595"/>
    <w:rsid w:val="1E1847AB"/>
    <w:rsid w:val="1EE71895"/>
    <w:rsid w:val="1F04185F"/>
    <w:rsid w:val="1F240EA8"/>
    <w:rsid w:val="1F6B21D5"/>
    <w:rsid w:val="20003815"/>
    <w:rsid w:val="20BC4349"/>
    <w:rsid w:val="21022930"/>
    <w:rsid w:val="21EF545F"/>
    <w:rsid w:val="227855A0"/>
    <w:rsid w:val="228D26CE"/>
    <w:rsid w:val="229671D0"/>
    <w:rsid w:val="2377034F"/>
    <w:rsid w:val="23FB227E"/>
    <w:rsid w:val="24127735"/>
    <w:rsid w:val="24833D88"/>
    <w:rsid w:val="248B094D"/>
    <w:rsid w:val="25D1410B"/>
    <w:rsid w:val="26153106"/>
    <w:rsid w:val="261D618B"/>
    <w:rsid w:val="26715F8C"/>
    <w:rsid w:val="27D8437B"/>
    <w:rsid w:val="2859377E"/>
    <w:rsid w:val="28AA7B1B"/>
    <w:rsid w:val="29235B3A"/>
    <w:rsid w:val="293D309F"/>
    <w:rsid w:val="29DB5FBE"/>
    <w:rsid w:val="2B267BE2"/>
    <w:rsid w:val="2B970F1A"/>
    <w:rsid w:val="2BA07916"/>
    <w:rsid w:val="2BF32780"/>
    <w:rsid w:val="2C535009"/>
    <w:rsid w:val="2C7F4189"/>
    <w:rsid w:val="2CE83F20"/>
    <w:rsid w:val="2D067C4C"/>
    <w:rsid w:val="2D98753B"/>
    <w:rsid w:val="2DBD655D"/>
    <w:rsid w:val="2F8751B6"/>
    <w:rsid w:val="2FAD0853"/>
    <w:rsid w:val="2FF36512"/>
    <w:rsid w:val="30800DD3"/>
    <w:rsid w:val="308B0B94"/>
    <w:rsid w:val="310229E2"/>
    <w:rsid w:val="31D245A1"/>
    <w:rsid w:val="32071869"/>
    <w:rsid w:val="321921D0"/>
    <w:rsid w:val="322D65F8"/>
    <w:rsid w:val="3244693E"/>
    <w:rsid w:val="33382F35"/>
    <w:rsid w:val="352D766D"/>
    <w:rsid w:val="354C01C6"/>
    <w:rsid w:val="362A4B41"/>
    <w:rsid w:val="36871F23"/>
    <w:rsid w:val="369A5D44"/>
    <w:rsid w:val="39423DBA"/>
    <w:rsid w:val="396C0E37"/>
    <w:rsid w:val="397B7AAF"/>
    <w:rsid w:val="399832EA"/>
    <w:rsid w:val="39C34E28"/>
    <w:rsid w:val="3A3F02FA"/>
    <w:rsid w:val="3A9D69C9"/>
    <w:rsid w:val="3AC56A51"/>
    <w:rsid w:val="3B1B48C3"/>
    <w:rsid w:val="3BA37D1F"/>
    <w:rsid w:val="3BD056AD"/>
    <w:rsid w:val="3BD827B4"/>
    <w:rsid w:val="3C0B0DDB"/>
    <w:rsid w:val="3CFF6FB7"/>
    <w:rsid w:val="3D673DEF"/>
    <w:rsid w:val="3D685CD9"/>
    <w:rsid w:val="3D6C3AFB"/>
    <w:rsid w:val="3D9B5C6E"/>
    <w:rsid w:val="3DB52CA2"/>
    <w:rsid w:val="3F1F55DB"/>
    <w:rsid w:val="3F242E79"/>
    <w:rsid w:val="40626CD8"/>
    <w:rsid w:val="40A7192F"/>
    <w:rsid w:val="40AE6946"/>
    <w:rsid w:val="40B01F51"/>
    <w:rsid w:val="41043EAF"/>
    <w:rsid w:val="410F6C78"/>
    <w:rsid w:val="414C5A16"/>
    <w:rsid w:val="421F6786"/>
    <w:rsid w:val="42310E70"/>
    <w:rsid w:val="428C42F8"/>
    <w:rsid w:val="43834927"/>
    <w:rsid w:val="443D7CB4"/>
    <w:rsid w:val="445552E9"/>
    <w:rsid w:val="44654E01"/>
    <w:rsid w:val="456A42A8"/>
    <w:rsid w:val="45EF7642"/>
    <w:rsid w:val="4638230E"/>
    <w:rsid w:val="46824B71"/>
    <w:rsid w:val="469638A1"/>
    <w:rsid w:val="46F61C56"/>
    <w:rsid w:val="46F81F5C"/>
    <w:rsid w:val="47650C03"/>
    <w:rsid w:val="47E20CAF"/>
    <w:rsid w:val="484D464D"/>
    <w:rsid w:val="487F0B87"/>
    <w:rsid w:val="48CF1E7D"/>
    <w:rsid w:val="48DC7D87"/>
    <w:rsid w:val="49442815"/>
    <w:rsid w:val="495C7F79"/>
    <w:rsid w:val="496C3993"/>
    <w:rsid w:val="49EF7646"/>
    <w:rsid w:val="4A064990"/>
    <w:rsid w:val="4B094738"/>
    <w:rsid w:val="4B2824A8"/>
    <w:rsid w:val="4B8A33E0"/>
    <w:rsid w:val="4BA503E3"/>
    <w:rsid w:val="4BB559E0"/>
    <w:rsid w:val="4BED2F66"/>
    <w:rsid w:val="4C531764"/>
    <w:rsid w:val="4D550108"/>
    <w:rsid w:val="4E571C5E"/>
    <w:rsid w:val="4ECA68D4"/>
    <w:rsid w:val="4F0A1ECE"/>
    <w:rsid w:val="514B268E"/>
    <w:rsid w:val="51714227"/>
    <w:rsid w:val="51750D79"/>
    <w:rsid w:val="51DF2723"/>
    <w:rsid w:val="52374280"/>
    <w:rsid w:val="52A5682A"/>
    <w:rsid w:val="54BD57B3"/>
    <w:rsid w:val="54CE55D5"/>
    <w:rsid w:val="55281B83"/>
    <w:rsid w:val="555843CB"/>
    <w:rsid w:val="558129AA"/>
    <w:rsid w:val="559D2D5A"/>
    <w:rsid w:val="56431B5F"/>
    <w:rsid w:val="56680EAC"/>
    <w:rsid w:val="5748483A"/>
    <w:rsid w:val="576D6785"/>
    <w:rsid w:val="576F647C"/>
    <w:rsid w:val="58BF28DA"/>
    <w:rsid w:val="58E028FC"/>
    <w:rsid w:val="593E70D7"/>
    <w:rsid w:val="59653481"/>
    <w:rsid w:val="59927FEE"/>
    <w:rsid w:val="59B937CD"/>
    <w:rsid w:val="5A455061"/>
    <w:rsid w:val="5ACD0A81"/>
    <w:rsid w:val="5AF74993"/>
    <w:rsid w:val="5B137D30"/>
    <w:rsid w:val="5BF94956"/>
    <w:rsid w:val="5C2D5261"/>
    <w:rsid w:val="5CE648D9"/>
    <w:rsid w:val="5D042FB1"/>
    <w:rsid w:val="5DC866D4"/>
    <w:rsid w:val="5E9C722C"/>
    <w:rsid w:val="5EB86749"/>
    <w:rsid w:val="5EBC7F0A"/>
    <w:rsid w:val="5EE50BC0"/>
    <w:rsid w:val="5EFC4888"/>
    <w:rsid w:val="5F0454EA"/>
    <w:rsid w:val="5F5C5326"/>
    <w:rsid w:val="5FA32F55"/>
    <w:rsid w:val="5FAC564B"/>
    <w:rsid w:val="5FDC5600"/>
    <w:rsid w:val="601D5A47"/>
    <w:rsid w:val="6040182A"/>
    <w:rsid w:val="60BE0C8B"/>
    <w:rsid w:val="61067B5F"/>
    <w:rsid w:val="61446386"/>
    <w:rsid w:val="615F4C5A"/>
    <w:rsid w:val="61695559"/>
    <w:rsid w:val="616E727F"/>
    <w:rsid w:val="632C2B49"/>
    <w:rsid w:val="63A36122"/>
    <w:rsid w:val="63D95197"/>
    <w:rsid w:val="642F125B"/>
    <w:rsid w:val="64C64FF0"/>
    <w:rsid w:val="64E14568"/>
    <w:rsid w:val="652B1DB4"/>
    <w:rsid w:val="654C1999"/>
    <w:rsid w:val="65801643"/>
    <w:rsid w:val="65E1157A"/>
    <w:rsid w:val="66F26570"/>
    <w:rsid w:val="67206C39"/>
    <w:rsid w:val="68832A41"/>
    <w:rsid w:val="68A8601F"/>
    <w:rsid w:val="68EE729F"/>
    <w:rsid w:val="68F20AA9"/>
    <w:rsid w:val="68FB2BCC"/>
    <w:rsid w:val="694105EE"/>
    <w:rsid w:val="6948466B"/>
    <w:rsid w:val="699207F8"/>
    <w:rsid w:val="69AB1384"/>
    <w:rsid w:val="69AF3CA3"/>
    <w:rsid w:val="6A480538"/>
    <w:rsid w:val="6A4B18E0"/>
    <w:rsid w:val="6A58493C"/>
    <w:rsid w:val="6A5B6680"/>
    <w:rsid w:val="6B8C46C5"/>
    <w:rsid w:val="6BBD714D"/>
    <w:rsid w:val="6C0B610A"/>
    <w:rsid w:val="6C232216"/>
    <w:rsid w:val="6C7603F1"/>
    <w:rsid w:val="6D292645"/>
    <w:rsid w:val="6E3658A6"/>
    <w:rsid w:val="6E8201DA"/>
    <w:rsid w:val="6F5C6C7F"/>
    <w:rsid w:val="6F912F9C"/>
    <w:rsid w:val="6FEA2BCB"/>
    <w:rsid w:val="7014264C"/>
    <w:rsid w:val="703025E3"/>
    <w:rsid w:val="70554381"/>
    <w:rsid w:val="70E909E4"/>
    <w:rsid w:val="72246E21"/>
    <w:rsid w:val="72395053"/>
    <w:rsid w:val="728E1843"/>
    <w:rsid w:val="73A27EAC"/>
    <w:rsid w:val="73BC0E3A"/>
    <w:rsid w:val="73D17C39"/>
    <w:rsid w:val="73F97190"/>
    <w:rsid w:val="74076C31"/>
    <w:rsid w:val="740C355A"/>
    <w:rsid w:val="75286882"/>
    <w:rsid w:val="75B93A51"/>
    <w:rsid w:val="75B94E29"/>
    <w:rsid w:val="762F3F04"/>
    <w:rsid w:val="76837B77"/>
    <w:rsid w:val="768D2BA5"/>
    <w:rsid w:val="768E0063"/>
    <w:rsid w:val="76C235E1"/>
    <w:rsid w:val="76EC08E6"/>
    <w:rsid w:val="77133CA5"/>
    <w:rsid w:val="778F3CFF"/>
    <w:rsid w:val="784F0B1A"/>
    <w:rsid w:val="78CA183C"/>
    <w:rsid w:val="790A4366"/>
    <w:rsid w:val="79CE58F3"/>
    <w:rsid w:val="79E61F64"/>
    <w:rsid w:val="7AB23BF5"/>
    <w:rsid w:val="7AF4245F"/>
    <w:rsid w:val="7B1D7C08"/>
    <w:rsid w:val="7B204C45"/>
    <w:rsid w:val="7B4F7695"/>
    <w:rsid w:val="7B5F1FCE"/>
    <w:rsid w:val="7B670E83"/>
    <w:rsid w:val="7B71585E"/>
    <w:rsid w:val="7C0D36B6"/>
    <w:rsid w:val="7CAB145D"/>
    <w:rsid w:val="7CF95B0B"/>
    <w:rsid w:val="7D585827"/>
    <w:rsid w:val="7D791ED0"/>
    <w:rsid w:val="7E541E25"/>
    <w:rsid w:val="7E635961"/>
    <w:rsid w:val="7E8641B5"/>
    <w:rsid w:val="7EC4700C"/>
    <w:rsid w:val="7F201A75"/>
    <w:rsid w:val="7F2903BC"/>
    <w:rsid w:val="7F547970"/>
    <w:rsid w:val="7F8643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next w:val="1"/>
    <w:link w:val="21"/>
    <w:autoRedefine/>
    <w:qFormat/>
    <w:uiPriority w:val="0"/>
    <w:pPr>
      <w:keepNext/>
      <w:keepLines/>
      <w:widowControl/>
      <w:kinsoku w:val="0"/>
      <w:adjustRightInd w:val="0"/>
      <w:snapToGrid w:val="0"/>
      <w:spacing w:before="340" w:after="330" w:line="578" w:lineRule="auto"/>
      <w:textAlignment w:val="baseline"/>
      <w:outlineLvl w:val="0"/>
    </w:pPr>
    <w:rPr>
      <w:rFonts w:ascii="Arial" w:hAnsi="Arial" w:eastAsia="Arial" w:cs="Arial"/>
      <w:b/>
      <w:bCs/>
      <w:snapToGrid w:val="0"/>
      <w:color w:val="000000"/>
      <w:kern w:val="44"/>
      <w:sz w:val="44"/>
      <w:szCs w:val="44"/>
      <w:lang w:eastAsia="en-US"/>
    </w:rPr>
  </w:style>
  <w:style w:type="paragraph" w:styleId="3">
    <w:name w:val="heading 2"/>
    <w:basedOn w:val="1"/>
    <w:next w:val="1"/>
    <w:link w:val="19"/>
    <w:autoRedefine/>
    <w:unhideWhenUsed/>
    <w:qFormat/>
    <w:uiPriority w:val="9"/>
    <w:pPr>
      <w:keepNext/>
      <w:keepLines/>
      <w:autoSpaceDE/>
      <w:autoSpaceDN/>
      <w:spacing w:before="40" w:after="40" w:line="480" w:lineRule="exact"/>
      <w:jc w:val="both"/>
      <w:outlineLvl w:val="1"/>
    </w:pPr>
    <w:rPr>
      <w:rFonts w:eastAsia="黑体" w:asciiTheme="minorHAnsi" w:hAnsiTheme="minorHAnsi" w:cstheme="majorBidi"/>
      <w:b/>
      <w:kern w:val="2"/>
      <w:sz w:val="28"/>
      <w:szCs w:val="40"/>
    </w:rPr>
  </w:style>
  <w:style w:type="paragraph" w:styleId="4">
    <w:name w:val="heading 3"/>
    <w:basedOn w:val="1"/>
    <w:next w:val="1"/>
    <w:link w:val="22"/>
    <w:autoRedefine/>
    <w:semiHidden/>
    <w:unhideWhenUsed/>
    <w:qFormat/>
    <w:uiPriority w:val="0"/>
    <w:pPr>
      <w:keepNext/>
      <w:keepLines/>
      <w:widowControl/>
      <w:kinsoku w:val="0"/>
      <w:adjustRightInd w:val="0"/>
      <w:snapToGrid w:val="0"/>
      <w:spacing w:before="260" w:after="260" w:line="416" w:lineRule="auto"/>
      <w:textAlignment w:val="baseline"/>
      <w:outlineLvl w:val="2"/>
    </w:pPr>
    <w:rPr>
      <w:rFonts w:ascii="Arial" w:hAnsi="Arial" w:eastAsia="Arial" w:cs="Arial"/>
      <w:b/>
      <w:bCs/>
      <w:snapToGrid w:val="0"/>
      <w:color w:val="000000"/>
      <w:sz w:val="32"/>
      <w:szCs w:val="32"/>
      <w:lang w:eastAsia="en-US"/>
    </w:rPr>
  </w:style>
  <w:style w:type="character" w:default="1" w:styleId="13">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5">
    <w:name w:val="annotation text"/>
    <w:basedOn w:val="1"/>
    <w:link w:val="24"/>
    <w:autoRedefine/>
    <w:qFormat/>
    <w:uiPriority w:val="0"/>
  </w:style>
  <w:style w:type="paragraph" w:styleId="6">
    <w:name w:val="Body Text"/>
    <w:basedOn w:val="1"/>
    <w:autoRedefine/>
    <w:semiHidden/>
    <w:qFormat/>
    <w:uiPriority w:val="0"/>
    <w:pPr>
      <w:widowControl/>
      <w:kinsoku w:val="0"/>
      <w:adjustRightInd w:val="0"/>
      <w:snapToGrid w:val="0"/>
      <w:textAlignment w:val="baseline"/>
    </w:pPr>
    <w:rPr>
      <w:rFonts w:ascii="黑体" w:hAnsi="黑体" w:eastAsia="黑体" w:cs="黑体"/>
      <w:snapToGrid w:val="0"/>
      <w:color w:val="000000"/>
      <w:sz w:val="47"/>
      <w:szCs w:val="47"/>
      <w:lang w:eastAsia="en-US"/>
    </w:rPr>
  </w:style>
  <w:style w:type="paragraph" w:styleId="7">
    <w:name w:val="Balloon Text"/>
    <w:basedOn w:val="1"/>
    <w:link w:val="30"/>
    <w:autoRedefine/>
    <w:qFormat/>
    <w:uiPriority w:val="0"/>
    <w:rPr>
      <w:sz w:val="18"/>
      <w:szCs w:val="18"/>
    </w:rPr>
  </w:style>
  <w:style w:type="paragraph" w:styleId="8">
    <w:name w:val="footer"/>
    <w:basedOn w:val="1"/>
    <w:autoRedefine/>
    <w:qFormat/>
    <w:uiPriority w:val="0"/>
    <w:pPr>
      <w:widowControl/>
      <w:tabs>
        <w:tab w:val="center" w:pos="4153"/>
        <w:tab w:val="right" w:pos="8306"/>
      </w:tabs>
      <w:kinsoku w:val="0"/>
      <w:adjustRightInd w:val="0"/>
      <w:snapToGrid w:val="0"/>
      <w:textAlignment w:val="baseline"/>
    </w:pPr>
    <w:rPr>
      <w:rFonts w:ascii="Arial" w:hAnsi="Arial" w:eastAsia="Arial" w:cs="Arial"/>
      <w:snapToGrid w:val="0"/>
      <w:color w:val="000000"/>
      <w:sz w:val="18"/>
      <w:szCs w:val="21"/>
      <w:lang w:eastAsia="en-US"/>
    </w:rPr>
  </w:style>
  <w:style w:type="paragraph" w:styleId="9">
    <w:name w:val="header"/>
    <w:basedOn w:val="1"/>
    <w:link w:val="18"/>
    <w:autoRedefine/>
    <w:qFormat/>
    <w:uiPriority w:val="0"/>
    <w:pPr>
      <w:widowControl/>
      <w:tabs>
        <w:tab w:val="center" w:pos="4153"/>
        <w:tab w:val="right" w:pos="8306"/>
      </w:tabs>
      <w:kinsoku w:val="0"/>
      <w:adjustRightInd w:val="0"/>
      <w:snapToGrid w:val="0"/>
      <w:jc w:val="center"/>
      <w:textAlignment w:val="baseline"/>
    </w:pPr>
    <w:rPr>
      <w:rFonts w:ascii="Arial" w:hAnsi="Arial" w:eastAsia="Arial" w:cs="Arial"/>
      <w:snapToGrid w:val="0"/>
      <w:color w:val="000000"/>
      <w:sz w:val="18"/>
      <w:szCs w:val="18"/>
      <w:lang w:eastAsia="en-US"/>
    </w:rPr>
  </w:style>
  <w:style w:type="paragraph" w:styleId="10">
    <w:name w:val="toc 1"/>
    <w:basedOn w:val="1"/>
    <w:next w:val="1"/>
    <w:autoRedefine/>
    <w:unhideWhenUsed/>
    <w:qFormat/>
    <w:uiPriority w:val="39"/>
    <w:pPr>
      <w:ind w:firstLine="440" w:firstLineChars="200"/>
      <w:jc w:val="both"/>
      <w:pPrChange w:id="0" w:author="li ruiheng" w:date="2025-12-16T05:11:00Z">
        <w:pPr>
          <w:widowControl w:val="0"/>
          <w:autoSpaceDE w:val="0"/>
          <w:autoSpaceDN w:val="0"/>
        </w:pPr>
      </w:pPrChange>
    </w:pPr>
    <w:rPr>
      <w:rPrChange w:id="1" w:author="li ruiheng" w:date="2025-12-16T05:11:00Z">
        <w:rPr>
          <w:rFonts w:ascii="宋体" w:hAnsi="宋体" w:eastAsia="宋体" w:cs="宋体"/>
          <w:sz w:val="22"/>
          <w:szCs w:val="22"/>
          <w:lang w:val="en-US" w:eastAsia="zh-CN" w:bidi="ar-SA"/>
        </w:rPr>
      </w:rPrChange>
    </w:rPr>
  </w:style>
  <w:style w:type="paragraph" w:styleId="11">
    <w:name w:val="annotation subject"/>
    <w:basedOn w:val="5"/>
    <w:next w:val="5"/>
    <w:link w:val="25"/>
    <w:autoRedefine/>
    <w:qFormat/>
    <w:uiPriority w:val="0"/>
    <w:rPr>
      <w:b/>
      <w:bCs/>
    </w:rPr>
  </w:style>
  <w:style w:type="character" w:styleId="14">
    <w:name w:val="Strong"/>
    <w:basedOn w:val="13"/>
    <w:autoRedefine/>
    <w:qFormat/>
    <w:uiPriority w:val="0"/>
    <w:rPr>
      <w:b/>
    </w:rPr>
  </w:style>
  <w:style w:type="character" w:styleId="15">
    <w:name w:val="annotation reference"/>
    <w:basedOn w:val="13"/>
    <w:autoRedefine/>
    <w:qFormat/>
    <w:uiPriority w:val="0"/>
    <w:rPr>
      <w:sz w:val="21"/>
      <w:szCs w:val="21"/>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Table Text"/>
    <w:basedOn w:val="1"/>
    <w:autoRedefine/>
    <w:semiHidden/>
    <w:qFormat/>
    <w:uiPriority w:val="0"/>
    <w:pPr>
      <w:widowControl/>
      <w:kinsoku w:val="0"/>
      <w:adjustRightInd w:val="0"/>
      <w:snapToGrid w:val="0"/>
      <w:textAlignment w:val="baseline"/>
    </w:pPr>
    <w:rPr>
      <w:snapToGrid w:val="0"/>
      <w:color w:val="000000"/>
      <w:sz w:val="20"/>
      <w:szCs w:val="20"/>
      <w:lang w:eastAsia="en-US"/>
    </w:rPr>
  </w:style>
  <w:style w:type="character" w:customStyle="1" w:styleId="18">
    <w:name w:val="页眉 字符"/>
    <w:basedOn w:val="13"/>
    <w:link w:val="9"/>
    <w:autoRedefine/>
    <w:qFormat/>
    <w:uiPriority w:val="0"/>
    <w:rPr>
      <w:rFonts w:eastAsia="Arial"/>
      <w:snapToGrid w:val="0"/>
      <w:color w:val="000000"/>
      <w:sz w:val="18"/>
      <w:szCs w:val="18"/>
      <w:lang w:eastAsia="en-US"/>
    </w:rPr>
  </w:style>
  <w:style w:type="character" w:customStyle="1" w:styleId="19">
    <w:name w:val="标题 2 字符"/>
    <w:basedOn w:val="13"/>
    <w:link w:val="3"/>
    <w:autoRedefine/>
    <w:qFormat/>
    <w:uiPriority w:val="9"/>
    <w:rPr>
      <w:rFonts w:eastAsia="黑体" w:asciiTheme="minorHAnsi" w:hAnsiTheme="minorHAnsi" w:cstheme="majorBidi"/>
      <w:b/>
      <w:kern w:val="2"/>
      <w:sz w:val="28"/>
      <w:szCs w:val="40"/>
    </w:rPr>
  </w:style>
  <w:style w:type="paragraph" w:styleId="20">
    <w:name w:val="List Paragraph"/>
    <w:basedOn w:val="1"/>
    <w:autoRedefine/>
    <w:unhideWhenUsed/>
    <w:qFormat/>
    <w:uiPriority w:val="99"/>
    <w:pPr>
      <w:widowControl/>
      <w:kinsoku w:val="0"/>
      <w:adjustRightInd w:val="0"/>
      <w:snapToGrid w:val="0"/>
      <w:ind w:firstLine="420" w:firstLineChars="200"/>
      <w:textAlignment w:val="baseline"/>
    </w:pPr>
    <w:rPr>
      <w:rFonts w:ascii="Arial" w:hAnsi="Arial" w:eastAsia="Arial" w:cs="Arial"/>
      <w:snapToGrid w:val="0"/>
      <w:color w:val="000000"/>
      <w:sz w:val="21"/>
      <w:szCs w:val="21"/>
      <w:lang w:eastAsia="en-US"/>
    </w:rPr>
  </w:style>
  <w:style w:type="character" w:customStyle="1" w:styleId="21">
    <w:name w:val="标题 1 字符"/>
    <w:basedOn w:val="13"/>
    <w:link w:val="2"/>
    <w:autoRedefine/>
    <w:qFormat/>
    <w:uiPriority w:val="0"/>
    <w:rPr>
      <w:rFonts w:eastAsia="Arial"/>
      <w:b/>
      <w:bCs/>
      <w:snapToGrid w:val="0"/>
      <w:color w:val="000000"/>
      <w:kern w:val="44"/>
      <w:sz w:val="44"/>
      <w:szCs w:val="44"/>
      <w:lang w:eastAsia="en-US"/>
    </w:rPr>
  </w:style>
  <w:style w:type="character" w:customStyle="1" w:styleId="22">
    <w:name w:val="标题 3 字符"/>
    <w:basedOn w:val="13"/>
    <w:link w:val="4"/>
    <w:autoRedefine/>
    <w:semiHidden/>
    <w:qFormat/>
    <w:uiPriority w:val="0"/>
    <w:rPr>
      <w:rFonts w:eastAsia="Arial"/>
      <w:b/>
      <w:bCs/>
      <w:snapToGrid w:val="0"/>
      <w:color w:val="000000"/>
      <w:sz w:val="32"/>
      <w:szCs w:val="32"/>
      <w:lang w:eastAsia="en-US"/>
    </w:rPr>
  </w:style>
  <w:style w:type="paragraph" w:customStyle="1" w:styleId="23">
    <w:name w:val="修订1"/>
    <w:autoRedefine/>
    <w:hidden/>
    <w:unhideWhenUsed/>
    <w:qFormat/>
    <w:uiPriority w:val="99"/>
    <w:rPr>
      <w:rFonts w:ascii="宋体" w:hAnsi="宋体" w:eastAsia="宋体" w:cs="宋体"/>
      <w:sz w:val="22"/>
      <w:szCs w:val="22"/>
      <w:lang w:val="en-US" w:eastAsia="zh-CN" w:bidi="ar-SA"/>
    </w:rPr>
  </w:style>
  <w:style w:type="character" w:customStyle="1" w:styleId="24">
    <w:name w:val="批注文字 字符"/>
    <w:basedOn w:val="13"/>
    <w:link w:val="5"/>
    <w:autoRedefine/>
    <w:qFormat/>
    <w:uiPriority w:val="0"/>
    <w:rPr>
      <w:rFonts w:ascii="宋体" w:hAnsi="宋体" w:eastAsia="宋体" w:cs="宋体"/>
      <w:sz w:val="22"/>
      <w:szCs w:val="22"/>
    </w:rPr>
  </w:style>
  <w:style w:type="character" w:customStyle="1" w:styleId="25">
    <w:name w:val="批注主题 字符"/>
    <w:basedOn w:val="24"/>
    <w:link w:val="11"/>
    <w:autoRedefine/>
    <w:qFormat/>
    <w:uiPriority w:val="0"/>
    <w:rPr>
      <w:rFonts w:ascii="宋体" w:hAnsi="宋体" w:eastAsia="宋体" w:cs="宋体"/>
      <w:b/>
      <w:bCs/>
      <w:sz w:val="22"/>
      <w:szCs w:val="22"/>
    </w:rPr>
  </w:style>
  <w:style w:type="paragraph" w:customStyle="1" w:styleId="26">
    <w:name w:val="修订2"/>
    <w:autoRedefine/>
    <w:hidden/>
    <w:unhideWhenUsed/>
    <w:qFormat/>
    <w:uiPriority w:val="99"/>
    <w:rPr>
      <w:rFonts w:ascii="宋体" w:hAnsi="宋体" w:eastAsia="宋体" w:cs="宋体"/>
      <w:sz w:val="22"/>
      <w:szCs w:val="22"/>
      <w:lang w:val="en-US" w:eastAsia="zh-CN" w:bidi="ar-SA"/>
    </w:rPr>
  </w:style>
  <w:style w:type="paragraph" w:customStyle="1" w:styleId="27">
    <w:name w:val="Table Paragraph"/>
    <w:basedOn w:val="1"/>
    <w:autoRedefine/>
    <w:qFormat/>
    <w:uiPriority w:val="1"/>
  </w:style>
  <w:style w:type="paragraph" w:customStyle="1" w:styleId="28">
    <w:name w:val="修订3"/>
    <w:autoRedefine/>
    <w:hidden/>
    <w:unhideWhenUsed/>
    <w:qFormat/>
    <w:uiPriority w:val="99"/>
    <w:rPr>
      <w:rFonts w:ascii="宋体" w:hAnsi="宋体" w:eastAsia="宋体" w:cs="宋体"/>
      <w:sz w:val="22"/>
      <w:szCs w:val="22"/>
      <w:lang w:val="en-US" w:eastAsia="zh-CN" w:bidi="ar-SA"/>
    </w:rPr>
  </w:style>
  <w:style w:type="paragraph" w:customStyle="1" w:styleId="29">
    <w:name w:val="修订4"/>
    <w:autoRedefine/>
    <w:hidden/>
    <w:unhideWhenUsed/>
    <w:qFormat/>
    <w:uiPriority w:val="99"/>
    <w:rPr>
      <w:rFonts w:ascii="宋体" w:hAnsi="宋体" w:eastAsia="宋体" w:cs="宋体"/>
      <w:sz w:val="22"/>
      <w:szCs w:val="22"/>
      <w:lang w:val="en-US" w:eastAsia="zh-CN" w:bidi="ar-SA"/>
    </w:rPr>
  </w:style>
  <w:style w:type="character" w:customStyle="1" w:styleId="30">
    <w:name w:val="批注框文本 字符"/>
    <w:basedOn w:val="13"/>
    <w:link w:val="7"/>
    <w:autoRedefine/>
    <w:qFormat/>
    <w:uiPriority w:val="0"/>
    <w:rPr>
      <w:rFonts w:ascii="宋体" w:hAnsi="宋体" w:cs="宋体"/>
      <w:sz w:val="18"/>
      <w:szCs w:val="18"/>
    </w:rPr>
  </w:style>
  <w:style w:type="paragraph" w:customStyle="1" w:styleId="31">
    <w:name w:val="修订5"/>
    <w:autoRedefine/>
    <w:hidden/>
    <w:unhideWhenUsed/>
    <w:qFormat/>
    <w:uiPriority w:val="99"/>
    <w:rPr>
      <w:rFonts w:ascii="宋体" w:hAnsi="宋体" w:eastAsia="宋体" w:cs="宋体"/>
      <w:sz w:val="22"/>
      <w:szCs w:val="22"/>
      <w:lang w:val="en-US" w:eastAsia="zh-CN" w:bidi="ar-SA"/>
    </w:rPr>
  </w:style>
  <w:style w:type="paragraph" w:customStyle="1" w:styleId="32">
    <w:name w:val="Revision"/>
    <w:autoRedefine/>
    <w:hidden/>
    <w:unhideWhenUsed/>
    <w:qFormat/>
    <w:uiPriority w:val="99"/>
    <w:rPr>
      <w:rFonts w:ascii="宋体" w:hAnsi="宋体" w:eastAsia="宋体" w:cs="宋体"/>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A66EB9-AC25-4838-AB2E-BDF9D68A5257}">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1458</Words>
  <Characters>1524</Characters>
  <Lines>174</Lines>
  <Paragraphs>48</Paragraphs>
  <TotalTime>31</TotalTime>
  <ScaleCrop>false</ScaleCrop>
  <LinksUpToDate>false</LinksUpToDate>
  <CharactersWithSpaces>1755</CharactersWithSpaces>
  <Application>WPS Office_12.1.0.25225_F1E327BC-269C-435d-A152-05C5408002CA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2026-03-16T12:08:00Z</dcterms:created>
  <dc:creator>黎根</dc:creator>
  <cp:lastModifiedBy>东方智达曾富文</cp:lastModifiedBy>
  <dcterms:modified xsi:type="dcterms:W3CDTF">2026-03-22T01:11:02Z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2025-11-27T10:23:16Z</vt:filetime>
  </property>
  <property fmtid="{D5CDD505-2E9C-101B-9397-08002B2CF9AE}" pid="4" name="KSOTemplateDocerSaveRecord">
    <vt:lpwstr>eyJoZGlkIjoiODQyZTljZDZkYTc1MmU1YTg2NWIxZTNjZTYxYTk0Y2IiLCJ1c2VySWQiOiI3NTUwMjQ5MTMifQ==</vt:lpwstr>
  </property>
  <property fmtid="{D5CDD505-2E9C-101B-9397-08002B2CF9AE}" pid="5" name="KSOProductBuildVer">
    <vt:lpwstr>2052-12.1.0.25225</vt:lpwstr>
  </property>
  <property fmtid="{D5CDD505-2E9C-101B-9397-08002B2CF9AE}" pid="6" name="ICV">
    <vt:lpwstr>67B958D0ACA3473A9653BFAE90DB3571_13</vt:lpwstr>
  </property>
</Properties>
</file>