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304"/>
        </w:tabs>
        <w:spacing w:after="0" w:before="0" w:line="259" w:lineRule="auto"/>
        <w:ind w:left="0" w:right="0" w:firstLine="0"/>
        <w:jc w:val="center"/>
        <w:rPr>
          <w:rFonts w:ascii="Cambria" w:cs="Cambria" w:eastAsia="Cambria" w:hAnsi="Cambria"/>
          <w:b w:val="0"/>
          <w:i w:val="0"/>
          <w:smallCaps w:val="0"/>
          <w:color w:val="000000"/>
          <w:sz w:val="36"/>
          <w:szCs w:val="36"/>
        </w:rPr>
      </w:pPr>
      <w:r w:rsidDel="00000000" w:rsidR="00000000" w:rsidRPr="00000000">
        <w:rPr>
          <w:rFonts w:ascii="Cambria" w:cs="Cambria" w:eastAsia="Cambria" w:hAnsi="Cambria"/>
          <w:b w:val="1"/>
          <w:sz w:val="36"/>
          <w:szCs w:val="36"/>
          <w:rtl w:val="0"/>
        </w:rPr>
        <w:t xml:space="preserve">Deciphering NBA Game 'Personality' Clusters: An Exploration of Success Factors</w:t>
      </w:r>
      <w:r w:rsidDel="00000000" w:rsidR="00000000" w:rsidRPr="00000000">
        <w:rPr>
          <w:rtl w:val="0"/>
        </w:rPr>
      </w:r>
    </w:p>
    <w:p w:rsidR="00000000" w:rsidDel="00000000" w:rsidP="00000000" w:rsidRDefault="00000000" w:rsidRPr="00000000" w14:paraId="00000002">
      <w:pPr>
        <w:tabs>
          <w:tab w:val="left" w:leader="none" w:pos="2304"/>
        </w:tabs>
        <w:jc w:val="center"/>
        <w:rPr>
          <w:rFonts w:ascii="Cambria" w:cs="Cambria" w:eastAsia="Cambria" w:hAnsi="Cambria"/>
          <w:b w:val="0"/>
          <w:i w:val="0"/>
          <w:smallCaps w:val="0"/>
          <w:color w:val="000000"/>
          <w:sz w:val="28"/>
          <w:szCs w:val="28"/>
        </w:rPr>
      </w:pPr>
      <w:r w:rsidDel="00000000" w:rsidR="00000000" w:rsidRPr="00000000">
        <w:rPr>
          <w:rtl w:val="0"/>
        </w:rPr>
      </w:r>
    </w:p>
    <w:p w:rsidR="00000000" w:rsidDel="00000000" w:rsidP="00000000" w:rsidRDefault="00000000" w:rsidRPr="00000000" w14:paraId="00000003">
      <w:pPr>
        <w:tabs>
          <w:tab w:val="left" w:leader="none" w:pos="2304"/>
        </w:tabs>
        <w:jc w:val="center"/>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Basketball</w:t>
      </w:r>
    </w:p>
    <w:p w:rsidR="00000000" w:rsidDel="00000000" w:rsidP="00000000" w:rsidRDefault="00000000" w:rsidRPr="00000000" w14:paraId="00000004">
      <w:pPr>
        <w:tabs>
          <w:tab w:val="left" w:leader="none" w:pos="2304"/>
        </w:tabs>
        <w:jc w:val="center"/>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Paper ID</w:t>
      </w:r>
    </w:p>
    <w:p w:rsidR="00000000" w:rsidDel="00000000" w:rsidP="00000000" w:rsidRDefault="00000000" w:rsidRPr="00000000" w14:paraId="00000005">
      <w:pPr>
        <w:tabs>
          <w:tab w:val="left" w:leader="none" w:pos="2304"/>
        </w:tabs>
        <w:jc w:val="both"/>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06">
      <w:pPr>
        <w:tabs>
          <w:tab w:val="left" w:leader="none" w:pos="2304"/>
        </w:tabs>
        <w:ind w:left="0" w:firstLine="0"/>
        <w:rPr>
          <w:rFonts w:ascii="Cambria" w:cs="Cambria" w:eastAsia="Cambria" w:hAnsi="Cambria"/>
          <w:b w:val="1"/>
          <w:i w:val="0"/>
          <w:smallCaps w:val="0"/>
          <w:color w:val="000000"/>
          <w:sz w:val="32"/>
          <w:szCs w:val="32"/>
        </w:rPr>
      </w:pPr>
      <w:r w:rsidDel="00000000" w:rsidR="00000000" w:rsidRPr="00000000">
        <w:rPr>
          <w:rFonts w:ascii="Cambria" w:cs="Cambria" w:eastAsia="Cambria" w:hAnsi="Cambria"/>
          <w:b w:val="1"/>
          <w:i w:val="0"/>
          <w:smallCaps w:val="0"/>
          <w:color w:val="000000"/>
          <w:sz w:val="32"/>
          <w:szCs w:val="32"/>
          <w:rtl w:val="0"/>
        </w:rPr>
        <w:t xml:space="preserve">1. Introduction </w:t>
      </w:r>
    </w:p>
    <w:p w:rsidR="00000000" w:rsidDel="00000000" w:rsidP="00000000" w:rsidRDefault="00000000" w:rsidRPr="00000000" w14:paraId="00000007">
      <w:pPr>
        <w:tabs>
          <w:tab w:val="left" w:leader="none" w:pos="2304"/>
        </w:tabs>
        <w:spacing w:after="0" w:before="0" w:line="259" w:lineRule="auto"/>
        <w:ind w:left="0" w:right="0" w:firstLine="0"/>
        <w:jc w:val="left"/>
        <w:rPr>
          <w:rFonts w:ascii="Cambria" w:cs="Cambria" w:eastAsia="Cambria" w:hAnsi="Cambria"/>
          <w:b w:val="0"/>
          <w:i w:val="0"/>
          <w:smallCaps w:val="0"/>
          <w:color w:val="000000"/>
          <w:sz w:val="22"/>
          <w:szCs w:val="22"/>
        </w:rPr>
      </w:pPr>
      <w:r w:rsidDel="00000000" w:rsidR="00000000" w:rsidRPr="00000000">
        <w:rPr>
          <w:rFonts w:ascii="Cambria" w:cs="Cambria" w:eastAsia="Cambria" w:hAnsi="Cambria"/>
          <w:rtl w:val="0"/>
        </w:rPr>
        <w:t xml:space="preserve">"This is going to be a slugfest," remarked Nick Nurse, anticipating the Raptors' 2022 Eastern Conference Playoff duel with the 76'ers [1]. Nurse's statement underscores a conventional belief: each NBA game unveils a unique personality. In this paper, through the lens of k-means clustering and apriori rule analysis, we delve into advanced box scores from NBA games, spotlighting these personality traits and pinpointing the critical factors for success in each game type.</w:t>
      </w:r>
      <w:r w:rsidDel="00000000" w:rsidR="00000000" w:rsidRPr="00000000">
        <w:rPr>
          <w:rtl w:val="0"/>
        </w:rPr>
      </w:r>
    </w:p>
    <w:p w:rsidR="00000000" w:rsidDel="00000000" w:rsidP="00000000" w:rsidRDefault="00000000" w:rsidRPr="00000000" w14:paraId="00000008">
      <w:pPr>
        <w:tabs>
          <w:tab w:val="left" w:leader="none" w:pos="2304"/>
        </w:tabs>
        <w:spacing w:after="0" w:before="0" w:line="259" w:lineRule="auto"/>
        <w:ind w:left="0" w:right="0" w:firstLine="0"/>
        <w:jc w:val="left"/>
        <w:rPr>
          <w:rFonts w:ascii="Cambria" w:cs="Cambria" w:eastAsia="Cambria" w:hAnsi="Cambria"/>
          <w:b w:val="0"/>
          <w:i w:val="0"/>
          <w:smallCaps w:val="0"/>
          <w:color w:val="000000"/>
          <w:sz w:val="22"/>
          <w:szCs w:val="22"/>
        </w:rPr>
      </w:pPr>
      <w:r w:rsidDel="00000000" w:rsidR="00000000" w:rsidRPr="00000000">
        <w:rPr>
          <w:rtl w:val="0"/>
        </w:rPr>
      </w:r>
    </w:p>
    <w:p w:rsidR="00000000" w:rsidDel="00000000" w:rsidP="00000000" w:rsidRDefault="00000000" w:rsidRPr="00000000" w14:paraId="00000009">
      <w:pPr>
        <w:tabs>
          <w:tab w:val="left" w:leader="none" w:pos="2304"/>
        </w:tabs>
        <w:ind w:left="0" w:firstLine="0"/>
        <w:rPr>
          <w:rFonts w:ascii="Cambria" w:cs="Cambria" w:eastAsia="Cambria" w:hAnsi="Cambria"/>
          <w:b w:val="1"/>
          <w:i w:val="0"/>
          <w:smallCaps w:val="0"/>
          <w:color w:val="000000"/>
          <w:sz w:val="32"/>
          <w:szCs w:val="32"/>
        </w:rPr>
      </w:pPr>
      <w:r w:rsidDel="00000000" w:rsidR="00000000" w:rsidRPr="00000000">
        <w:rPr>
          <w:rFonts w:ascii="Cambria" w:cs="Cambria" w:eastAsia="Cambria" w:hAnsi="Cambria"/>
          <w:b w:val="1"/>
          <w:i w:val="0"/>
          <w:smallCaps w:val="0"/>
          <w:color w:val="000000"/>
          <w:sz w:val="32"/>
          <w:szCs w:val="32"/>
          <w:rtl w:val="0"/>
        </w:rPr>
        <w:t xml:space="preserve">2. Methods</w:t>
      </w:r>
    </w:p>
    <w:p w:rsidR="00000000" w:rsidDel="00000000" w:rsidP="00000000" w:rsidRDefault="00000000" w:rsidRPr="00000000" w14:paraId="0000000A">
      <w:pPr>
        <w:tabs>
          <w:tab w:val="left" w:leader="none" w:pos="2304"/>
        </w:tabs>
        <w:spacing w:after="220" w:lineRule="auto"/>
        <w:rPr>
          <w:rFonts w:ascii="Cambria" w:cs="Cambria" w:eastAsia="Cambria" w:hAnsi="Cambria"/>
          <w:b w:val="0"/>
          <w:i w:val="0"/>
          <w:smallCaps w:val="0"/>
          <w:color w:val="000000"/>
          <w:sz w:val="22"/>
          <w:szCs w:val="22"/>
        </w:rPr>
      </w:pPr>
      <w:r w:rsidDel="00000000" w:rsidR="00000000" w:rsidRPr="00000000">
        <w:rPr>
          <w:rFonts w:ascii="Cambria" w:cs="Cambria" w:eastAsia="Cambria" w:hAnsi="Cambria"/>
          <w:rtl w:val="0"/>
        </w:rPr>
        <w:t xml:space="preserve">This research implements a three-phase pipeline: preprocessing, feature selection/clustering, and association mining/visualization, delineated in Figure 1.</w:t>
      </w:r>
      <w:r w:rsidDel="00000000" w:rsidR="00000000" w:rsidRPr="00000000">
        <w:rPr>
          <w:rtl w:val="0"/>
        </w:rPr>
      </w:r>
    </w:p>
    <w:p w:rsidR="00000000" w:rsidDel="00000000" w:rsidP="00000000" w:rsidRDefault="00000000" w:rsidRPr="00000000" w14:paraId="0000000B">
      <w:pPr>
        <w:tabs>
          <w:tab w:val="left" w:leader="none" w:pos="2304"/>
        </w:tabs>
        <w:spacing w:after="220" w:lineRule="auto"/>
        <w:jc w:val="center"/>
        <w:rPr/>
      </w:pPr>
      <w:r w:rsidDel="00000000" w:rsidR="00000000" w:rsidRPr="00000000">
        <w:rPr/>
        <w:drawing>
          <wp:inline distB="114300" distT="114300" distL="114300" distR="114300">
            <wp:extent cx="5943600" cy="1408898"/>
            <wp:effectExtent b="0" l="0" r="0" t="0"/>
            <wp:docPr id="1071595087" name="image1.jpg"/>
            <a:graphic>
              <a:graphicData uri="http://schemas.openxmlformats.org/drawingml/2006/picture">
                <pic:pic>
                  <pic:nvPicPr>
                    <pic:cNvPr id="0" name="image1.jpg"/>
                    <pic:cNvPicPr preferRelativeResize="0"/>
                  </pic:nvPicPr>
                  <pic:blipFill>
                    <a:blip r:embed="rId7"/>
                    <a:srcRect b="29004" l="0" r="0" t="28825"/>
                    <a:stretch>
                      <a:fillRect/>
                    </a:stretch>
                  </pic:blipFill>
                  <pic:spPr>
                    <a:xfrm>
                      <a:off x="0" y="0"/>
                      <a:ext cx="5943600" cy="140889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tabs>
          <w:tab w:val="left" w:leader="none" w:pos="2304"/>
        </w:tabs>
        <w:spacing w:after="220" w:lineRule="auto"/>
        <w:jc w:val="left"/>
        <w:rPr>
          <w:rFonts w:ascii="Cambria" w:cs="Cambria" w:eastAsia="Cambria" w:hAnsi="Cambria"/>
        </w:rPr>
      </w:pPr>
      <w:r w:rsidDel="00000000" w:rsidR="00000000" w:rsidRPr="00000000">
        <w:rPr>
          <w:rFonts w:ascii="Cambria" w:cs="Cambria" w:eastAsia="Cambria" w:hAnsi="Cambria"/>
          <w:rtl w:val="0"/>
        </w:rPr>
        <w:t xml:space="preserve">Prior NBA clustering research has centered on play-action [2], player archetypes [3], and historical eras [4]. To the best of our knowledge, this is the inaugural exploration of game personality clustering.</w:t>
      </w:r>
    </w:p>
    <w:p w:rsidR="00000000" w:rsidDel="00000000" w:rsidP="00000000" w:rsidRDefault="00000000" w:rsidRPr="00000000" w14:paraId="0000000D">
      <w:pPr>
        <w:tabs>
          <w:tab w:val="left" w:leader="none" w:pos="2304"/>
        </w:tabs>
        <w:spacing w:after="220" w:lineRule="auto"/>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1"/>
          <w:sz w:val="24"/>
          <w:szCs w:val="24"/>
          <w:rtl w:val="0"/>
        </w:rPr>
        <w:t xml:space="preserve">Feature Selection &amp; </w:t>
      </w:r>
      <w:r w:rsidDel="00000000" w:rsidR="00000000" w:rsidRPr="00000000">
        <w:rPr>
          <w:rFonts w:ascii="Cambria" w:cs="Cambria" w:eastAsia="Cambria" w:hAnsi="Cambria"/>
          <w:b w:val="1"/>
          <w:i w:val="0"/>
          <w:smallCaps w:val="0"/>
          <w:color w:val="000000"/>
          <w:sz w:val="24"/>
          <w:szCs w:val="24"/>
          <w:rtl w:val="0"/>
        </w:rPr>
        <w:t xml:space="preserve">Clustering</w:t>
      </w:r>
      <w:r w:rsidDel="00000000" w:rsidR="00000000" w:rsidRPr="00000000">
        <w:rPr>
          <w:rtl w:val="0"/>
        </w:rPr>
      </w:r>
    </w:p>
    <w:p w:rsidR="00000000" w:rsidDel="00000000" w:rsidP="00000000" w:rsidRDefault="00000000" w:rsidRPr="00000000" w14:paraId="0000000E">
      <w:pPr>
        <w:tabs>
          <w:tab w:val="left" w:leader="none" w:pos="2304"/>
        </w:tabs>
        <w:rPr>
          <w:rFonts w:ascii="Cambria" w:cs="Cambria" w:eastAsia="Cambria" w:hAnsi="Cambria"/>
        </w:rPr>
      </w:pPr>
      <w:r w:rsidDel="00000000" w:rsidR="00000000" w:rsidRPr="00000000">
        <w:rPr>
          <w:rFonts w:ascii="Cambria" w:cs="Cambria" w:eastAsia="Cambria" w:hAnsi="Cambria"/>
          <w:rtl w:val="0"/>
        </w:rPr>
        <w:t xml:space="preserve">The L1 SVC feature selection algorithm aided in pinpointing relevant data attributes from advanced box-scores spanning the 1996-2023 NBA seasons. Utilizing k-means clustering on normalized numeric features, the analysis, guided by elbow plots and silhouette scores, identified an optimal cluster set of 4. </w:t>
      </w:r>
      <w:r w:rsidDel="00000000" w:rsidR="00000000" w:rsidRPr="00000000">
        <w:rPr>
          <w:rtl w:val="0"/>
        </w:rPr>
      </w:r>
    </w:p>
    <w:p w:rsidR="00000000" w:rsidDel="00000000" w:rsidP="00000000" w:rsidRDefault="00000000" w:rsidRPr="00000000" w14:paraId="0000000F">
      <w:pPr>
        <w:tabs>
          <w:tab w:val="left" w:leader="none" w:pos="2304"/>
        </w:tabs>
        <w:spacing w:after="220" w:before="0" w:line="259" w:lineRule="auto"/>
        <w:ind w:left="0" w:right="0" w:firstLine="0"/>
        <w:jc w:val="left"/>
        <w:rPr>
          <w:rFonts w:ascii="Cambria" w:cs="Cambria" w:eastAsia="Cambria" w:hAnsi="Cambria"/>
          <w:b w:val="1"/>
          <w:i w:val="0"/>
          <w:smallCaps w:val="0"/>
          <w:color w:val="000000"/>
          <w:sz w:val="24"/>
          <w:szCs w:val="24"/>
        </w:rPr>
      </w:pPr>
      <w:r w:rsidDel="00000000" w:rsidR="00000000" w:rsidRPr="00000000">
        <w:rPr>
          <w:rFonts w:ascii="Cambria" w:cs="Cambria" w:eastAsia="Cambria" w:hAnsi="Cambria"/>
          <w:b w:val="1"/>
          <w:sz w:val="24"/>
          <w:szCs w:val="24"/>
          <w:rtl w:val="0"/>
        </w:rPr>
        <w:t xml:space="preserve">PCA &amp; </w:t>
      </w:r>
      <w:r w:rsidDel="00000000" w:rsidR="00000000" w:rsidRPr="00000000">
        <w:rPr>
          <w:rFonts w:ascii="Cambria" w:cs="Cambria" w:eastAsia="Cambria" w:hAnsi="Cambria"/>
          <w:b w:val="1"/>
          <w:i w:val="0"/>
          <w:smallCaps w:val="0"/>
          <w:color w:val="000000"/>
          <w:sz w:val="24"/>
          <w:szCs w:val="24"/>
          <w:rtl w:val="0"/>
        </w:rPr>
        <w:t xml:space="preserve">Association Mining</w:t>
      </w:r>
    </w:p>
    <w:p w:rsidR="00000000" w:rsidDel="00000000" w:rsidP="00000000" w:rsidRDefault="00000000" w:rsidRPr="00000000" w14:paraId="00000010">
      <w:pPr>
        <w:tabs>
          <w:tab w:val="left" w:leader="none" w:pos="2304"/>
        </w:tabs>
        <w:spacing w:after="220" w:lineRule="auto"/>
        <w:rPr>
          <w:rFonts w:ascii="Cambria" w:cs="Cambria" w:eastAsia="Cambria" w:hAnsi="Cambria"/>
          <w:b w:val="0"/>
          <w:i w:val="0"/>
          <w:smallCaps w:val="0"/>
          <w:color w:val="000000"/>
          <w:sz w:val="22"/>
          <w:szCs w:val="22"/>
        </w:rPr>
      </w:pPr>
      <w:r w:rsidDel="00000000" w:rsidR="00000000" w:rsidRPr="00000000">
        <w:rPr>
          <w:rFonts w:ascii="Cambria" w:cs="Cambria" w:eastAsia="Cambria" w:hAnsi="Cambria"/>
          <w:rtl w:val="0"/>
        </w:rPr>
        <w:t xml:space="preserve">In this study, Principal Component Analysis (PCA) simplifies and visualizes a multidimensional NBA game dataset in a two-dimensional space to bolster clustering analysis and unveil inherent patterns. Next, statistical categories were divided into quantiles, forming a truth-table with rows representing games and columns indicating if a category's quantile threshold was met. Organized by cluster, this data was fed to the apriori algorithm to discern success factors impacting winning.</w:t>
      </w:r>
      <w:r w:rsidDel="00000000" w:rsidR="00000000" w:rsidRPr="00000000">
        <w:rPr>
          <w:rtl w:val="0"/>
        </w:rPr>
      </w:r>
    </w:p>
    <w:p w:rsidR="00000000" w:rsidDel="00000000" w:rsidP="00000000" w:rsidRDefault="00000000" w:rsidRPr="00000000" w14:paraId="00000011">
      <w:pPr>
        <w:tabs>
          <w:tab w:val="left" w:leader="none" w:pos="2304"/>
        </w:tabs>
        <w:spacing w:after="220" w:lineRule="auto"/>
        <w:ind w:left="0" w:firstLine="0"/>
        <w:rPr>
          <w:rFonts w:ascii="Cambria" w:cs="Cambria" w:eastAsia="Cambria" w:hAnsi="Cambria"/>
          <w:b w:val="1"/>
          <w:i w:val="0"/>
          <w:smallCaps w:val="0"/>
          <w:color w:val="000000"/>
          <w:sz w:val="32"/>
          <w:szCs w:val="32"/>
        </w:rPr>
      </w:pPr>
      <w:r w:rsidDel="00000000" w:rsidR="00000000" w:rsidRPr="00000000">
        <w:rPr>
          <w:rFonts w:ascii="Cambria" w:cs="Cambria" w:eastAsia="Cambria" w:hAnsi="Cambria"/>
          <w:b w:val="1"/>
          <w:i w:val="0"/>
          <w:smallCaps w:val="0"/>
          <w:color w:val="000000"/>
          <w:sz w:val="32"/>
          <w:szCs w:val="32"/>
          <w:rtl w:val="0"/>
        </w:rPr>
        <w:t xml:space="preserve">3. Results</w:t>
      </w:r>
    </w:p>
    <w:p w:rsidR="00000000" w:rsidDel="00000000" w:rsidP="00000000" w:rsidRDefault="00000000" w:rsidRPr="00000000" w14:paraId="00000012">
      <w:pPr>
        <w:tabs>
          <w:tab w:val="left" w:leader="none" w:pos="2304"/>
        </w:tabs>
        <w:spacing w:after="220" w:lineRule="auto"/>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1"/>
          <w:sz w:val="24"/>
          <w:szCs w:val="24"/>
          <w:rtl w:val="0"/>
        </w:rPr>
        <w:t xml:space="preserve">Clusters</w:t>
      </w:r>
      <w:r w:rsidDel="00000000" w:rsidR="00000000" w:rsidRPr="00000000">
        <w:rPr>
          <w:rtl w:val="0"/>
        </w:rPr>
      </w:r>
    </w:p>
    <w:p w:rsidR="00000000" w:rsidDel="00000000" w:rsidP="00000000" w:rsidRDefault="00000000" w:rsidRPr="00000000" w14:paraId="00000013">
      <w:pPr>
        <w:tabs>
          <w:tab w:val="left" w:leader="none" w:pos="2304"/>
        </w:tabs>
        <w:rPr>
          <w:rFonts w:ascii="Cambria" w:cs="Cambria" w:eastAsia="Cambria" w:hAnsi="Cambria"/>
          <w:b w:val="0"/>
          <w:i w:val="0"/>
          <w:smallCaps w:val="0"/>
          <w:color w:val="000000"/>
          <w:sz w:val="22"/>
          <w:szCs w:val="22"/>
        </w:rPr>
      </w:pPr>
      <w:r w:rsidDel="00000000" w:rsidR="00000000" w:rsidRPr="00000000">
        <w:rPr>
          <w:rFonts w:ascii="Cambria" w:cs="Cambria" w:eastAsia="Cambria" w:hAnsi="Cambria"/>
          <w:rtl w:val="0"/>
        </w:rPr>
        <w:t xml:space="preserve">The four game clusters were summarized into feature averages to delineate </w:t>
      </w:r>
      <w:r w:rsidDel="00000000" w:rsidR="00000000" w:rsidRPr="00000000">
        <w:rPr>
          <w:rFonts w:ascii="Cambria" w:cs="Cambria" w:eastAsia="Cambria" w:hAnsi="Cambria"/>
          <w:rtl w:val="0"/>
        </w:rPr>
        <w:t xml:space="preserve">each's</w:t>
      </w:r>
      <w:r w:rsidDel="00000000" w:rsidR="00000000" w:rsidRPr="00000000">
        <w:rPr>
          <w:rFonts w:ascii="Cambria" w:cs="Cambria" w:eastAsia="Cambria" w:hAnsi="Cambria"/>
          <w:rtl w:val="0"/>
        </w:rPr>
        <w:t xml:space="preserve"> 'personality'. They were then tagged with colloquial NBA labels: track meet, shooting clinic, blowout, and slug fest. Notably, three clusters exhibited a positive scoring margin, reinforcing the home court advantage theory. Table 1 provides feature summaries for teams (</w:t>
      </w:r>
      <w:r w:rsidDel="00000000" w:rsidR="00000000" w:rsidRPr="00000000">
        <w:rPr>
          <w:rFonts w:ascii="Cambria" w:cs="Cambria" w:eastAsia="Cambria" w:hAnsi="Cambria"/>
          <w:i w:val="1"/>
          <w:rtl w:val="0"/>
        </w:rPr>
        <w:t xml:space="preserve">home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away</w:t>
      </w:r>
      <w:r w:rsidDel="00000000" w:rsidR="00000000" w:rsidRPr="00000000">
        <w:rPr>
          <w:rFonts w:ascii="Cambria" w:cs="Cambria" w:eastAsia="Cambria" w:hAnsi="Cambria"/>
          <w:rtl w:val="0"/>
        </w:rPr>
        <w:t xml:space="preserve">) across clusters.</w:t>
      </w:r>
      <w:r w:rsidDel="00000000" w:rsidR="00000000" w:rsidRPr="00000000">
        <w:rPr>
          <w:rtl w:val="0"/>
        </w:rPr>
      </w:r>
    </w:p>
    <w:tbl>
      <w:tblPr>
        <w:tblStyle w:val="Table1"/>
        <w:tblW w:w="9464.0" w:type="dxa"/>
        <w:jc w:val="left"/>
        <w:tblBorders>
          <w:top w:color="8eaadb" w:space="0" w:sz="4" w:val="single"/>
          <w:left w:color="8eaadb" w:space="0" w:sz="4" w:val="single"/>
          <w:bottom w:color="8eaadb" w:space="0" w:sz="4" w:val="single"/>
          <w:right w:color="8eaadb" w:space="0" w:sz="4" w:val="single"/>
          <w:insideH w:color="8eaadb" w:space="0" w:sz="4" w:val="single"/>
          <w:insideV w:color="ffffff" w:space="0" w:sz="4" w:val="single"/>
        </w:tblBorders>
        <w:tblLayout w:type="fixed"/>
        <w:tblLook w:val="06A0"/>
      </w:tblPr>
      <w:tblGrid>
        <w:gridCol w:w="1635"/>
        <w:gridCol w:w="1005"/>
        <w:gridCol w:w="1244"/>
        <w:gridCol w:w="1110"/>
        <w:gridCol w:w="1095"/>
        <w:gridCol w:w="1140"/>
        <w:gridCol w:w="1095"/>
        <w:gridCol w:w="1140"/>
        <w:tblGridChange w:id="0">
          <w:tblGrid>
            <w:gridCol w:w="1635"/>
            <w:gridCol w:w="1005"/>
            <w:gridCol w:w="1244"/>
            <w:gridCol w:w="1110"/>
            <w:gridCol w:w="1095"/>
            <w:gridCol w:w="1140"/>
            <w:gridCol w:w="1095"/>
            <w:gridCol w:w="1140"/>
          </w:tblGrid>
        </w:tblGridChange>
      </w:tblGrid>
      <w:tr>
        <w:trPr>
          <w:cantSplit w:val="0"/>
          <w:tblHeader w:val="0"/>
        </w:trPr>
        <w:tc>
          <w:tcPr/>
          <w:p w:rsidR="00000000" w:rsidDel="00000000" w:rsidP="00000000" w:rsidRDefault="00000000" w:rsidRPr="00000000" w14:paraId="00000014">
            <w:pPr>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Cluster Label</w:t>
            </w:r>
          </w:p>
        </w:tc>
        <w:tc>
          <w:tcPr/>
          <w:p w:rsidR="00000000" w:rsidDel="00000000" w:rsidP="00000000" w:rsidRDefault="00000000" w:rsidRPr="00000000" w14:paraId="00000015">
            <w:pPr>
              <w:spacing w:after="0" w:before="0" w:line="259" w:lineRule="auto"/>
              <w:ind w:left="0" w:right="0" w:firstLine="0"/>
              <w:jc w:val="left"/>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Score</w:t>
            </w:r>
          </w:p>
        </w:tc>
        <w:tc>
          <w:tcPr/>
          <w:p w:rsidR="00000000" w:rsidDel="00000000" w:rsidP="00000000" w:rsidRDefault="00000000" w:rsidRPr="00000000" w14:paraId="00000016">
            <w:pPr>
              <w:spacing w:after="0" w:before="0" w:line="259" w:lineRule="auto"/>
              <w:ind w:left="0" w:right="0" w:firstLine="0"/>
              <w:jc w:val="left"/>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Field Goals</w:t>
            </w:r>
          </w:p>
        </w:tc>
        <w:tc>
          <w:tcPr/>
          <w:p w:rsidR="00000000" w:rsidDel="00000000" w:rsidP="00000000" w:rsidRDefault="00000000" w:rsidRPr="00000000" w14:paraId="00000017">
            <w:pPr>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3 Point %</w:t>
            </w:r>
          </w:p>
        </w:tc>
        <w:tc>
          <w:tcPr/>
          <w:p w:rsidR="00000000" w:rsidDel="00000000" w:rsidP="00000000" w:rsidRDefault="00000000" w:rsidRPr="00000000" w14:paraId="00000018">
            <w:pPr>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Assists</w:t>
            </w:r>
          </w:p>
        </w:tc>
        <w:tc>
          <w:tcPr/>
          <w:p w:rsidR="00000000" w:rsidDel="00000000" w:rsidP="00000000" w:rsidRDefault="00000000" w:rsidRPr="00000000" w14:paraId="00000019">
            <w:pPr>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Boards</w:t>
            </w:r>
          </w:p>
        </w:tc>
        <w:tc>
          <w:tcPr/>
          <w:p w:rsidR="00000000" w:rsidDel="00000000" w:rsidP="00000000" w:rsidRDefault="00000000" w:rsidRPr="00000000" w14:paraId="0000001A">
            <w:pPr>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Fouls</w:t>
            </w:r>
          </w:p>
        </w:tc>
        <w:tc>
          <w:tcPr/>
          <w:p w:rsidR="00000000" w:rsidDel="00000000" w:rsidP="00000000" w:rsidRDefault="00000000" w:rsidRPr="00000000" w14:paraId="0000001B">
            <w:pPr>
              <w:spacing w:after="0" w:before="0" w:line="259" w:lineRule="auto"/>
              <w:ind w:left="0" w:right="0" w:firstLine="0"/>
              <w:jc w:val="left"/>
              <w:rPr/>
            </w:pPr>
            <w:r w:rsidDel="00000000" w:rsidR="00000000" w:rsidRPr="00000000">
              <w:rPr>
                <w:rFonts w:ascii="Cambria" w:cs="Cambria" w:eastAsia="Cambria" w:hAnsi="Cambria"/>
                <w:b w:val="0"/>
                <w:i w:val="0"/>
                <w:smallCaps w:val="0"/>
                <w:color w:val="ffffff"/>
                <w:sz w:val="20"/>
                <w:szCs w:val="20"/>
                <w:rtl w:val="0"/>
              </w:rPr>
              <w:t xml:space="preserve">Win %</w:t>
            </w: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‘Track Meet’</w:t>
            </w:r>
          </w:p>
        </w:tc>
        <w:tc>
          <w:tcPr/>
          <w:p w:rsidR="00000000" w:rsidDel="00000000" w:rsidP="00000000" w:rsidRDefault="00000000" w:rsidRPr="00000000" w14:paraId="0000001D">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113-112</w:t>
            </w:r>
          </w:p>
        </w:tc>
        <w:tc>
          <w:tcPr/>
          <w:p w:rsidR="00000000" w:rsidDel="00000000" w:rsidP="00000000" w:rsidRDefault="00000000" w:rsidRPr="00000000" w14:paraId="0000001E">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40.3-39.8</w:t>
            </w:r>
          </w:p>
        </w:tc>
        <w:tc>
          <w:tcPr/>
          <w:p w:rsidR="00000000" w:rsidDel="00000000" w:rsidP="00000000" w:rsidRDefault="00000000" w:rsidRPr="00000000" w14:paraId="0000001F">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.364-.359</w:t>
            </w:r>
          </w:p>
        </w:tc>
        <w:tc>
          <w:tcPr/>
          <w:p w:rsidR="00000000" w:rsidDel="00000000" w:rsidP="00000000" w:rsidRDefault="00000000" w:rsidRPr="00000000" w14:paraId="00000020">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23.4-22.5</w:t>
            </w:r>
          </w:p>
        </w:tc>
        <w:tc>
          <w:tcPr/>
          <w:p w:rsidR="00000000" w:rsidDel="00000000" w:rsidP="00000000" w:rsidRDefault="00000000" w:rsidRPr="00000000" w14:paraId="00000021">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44.6-43.7</w:t>
            </w:r>
          </w:p>
        </w:tc>
        <w:tc>
          <w:tcPr/>
          <w:p w:rsidR="00000000" w:rsidDel="00000000" w:rsidP="00000000" w:rsidRDefault="00000000" w:rsidRPr="00000000" w14:paraId="00000022">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23.6-24.5</w:t>
            </w:r>
          </w:p>
        </w:tc>
        <w:tc>
          <w:tcPr/>
          <w:p w:rsidR="00000000" w:rsidDel="00000000" w:rsidP="00000000" w:rsidRDefault="00000000" w:rsidRPr="00000000" w14:paraId="00000023">
            <w:pP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.561-.439</w:t>
            </w:r>
          </w:p>
        </w:tc>
      </w:tr>
      <w:tr>
        <w:trPr>
          <w:cantSplit w:val="0"/>
          <w:trHeight w:val="300" w:hRule="atLeast"/>
          <w:tblHeader w:val="0"/>
        </w:trPr>
        <w:tc>
          <w:tcPr/>
          <w:p w:rsidR="00000000" w:rsidDel="00000000" w:rsidP="00000000" w:rsidRDefault="00000000" w:rsidRPr="00000000" w14:paraId="00000024">
            <w:pPr>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‘Shooting Clinic’</w:t>
            </w:r>
          </w:p>
        </w:tc>
        <w:tc>
          <w:tcPr/>
          <w:p w:rsidR="00000000" w:rsidDel="00000000" w:rsidP="00000000" w:rsidRDefault="00000000" w:rsidRPr="00000000" w14:paraId="00000025">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102-111</w:t>
            </w:r>
          </w:p>
        </w:tc>
        <w:tc>
          <w:tcPr/>
          <w:p w:rsidR="00000000" w:rsidDel="00000000" w:rsidP="00000000" w:rsidRDefault="00000000" w:rsidRPr="00000000" w14:paraId="00000026">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38.2-42.3</w:t>
            </w:r>
          </w:p>
        </w:tc>
        <w:tc>
          <w:tcPr/>
          <w:p w:rsidR="00000000" w:rsidDel="00000000" w:rsidP="00000000" w:rsidRDefault="00000000" w:rsidRPr="00000000" w14:paraId="00000027">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.342-.428</w:t>
            </w:r>
          </w:p>
        </w:tc>
        <w:tc>
          <w:tcPr/>
          <w:p w:rsidR="00000000" w:rsidDel="00000000" w:rsidP="00000000" w:rsidRDefault="00000000" w:rsidRPr="00000000" w14:paraId="00000028">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22.1-26.0</w:t>
            </w:r>
          </w:p>
        </w:tc>
        <w:tc>
          <w:tcPr/>
          <w:p w:rsidR="00000000" w:rsidDel="00000000" w:rsidP="00000000" w:rsidRDefault="00000000" w:rsidRPr="00000000" w14:paraId="00000029">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40.7-42.5</w:t>
            </w:r>
          </w:p>
        </w:tc>
        <w:tc>
          <w:tcPr/>
          <w:p w:rsidR="00000000" w:rsidDel="00000000" w:rsidP="00000000" w:rsidRDefault="00000000" w:rsidRPr="00000000" w14:paraId="0000002A">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17.8-19.5</w:t>
            </w:r>
          </w:p>
        </w:tc>
        <w:tc>
          <w:tcPr/>
          <w:p w:rsidR="00000000" w:rsidDel="00000000" w:rsidP="00000000" w:rsidRDefault="00000000" w:rsidRPr="00000000" w14:paraId="0000002B">
            <w:pP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.228-.772</w:t>
            </w:r>
          </w:p>
        </w:tc>
      </w:tr>
      <w:tr>
        <w:trPr>
          <w:cantSplit w:val="0"/>
          <w:tblHeader w:val="0"/>
        </w:trPr>
        <w:tc>
          <w:tcPr/>
          <w:p w:rsidR="00000000" w:rsidDel="00000000" w:rsidP="00000000" w:rsidRDefault="00000000" w:rsidRPr="00000000" w14:paraId="0000002C">
            <w:pPr>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‘Blowout’</w:t>
            </w:r>
          </w:p>
        </w:tc>
        <w:tc>
          <w:tcPr/>
          <w:p w:rsidR="00000000" w:rsidDel="00000000" w:rsidP="00000000" w:rsidRDefault="00000000" w:rsidRPr="00000000" w14:paraId="0000002D">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114-99</w:t>
            </w:r>
          </w:p>
        </w:tc>
        <w:tc>
          <w:tcPr/>
          <w:p w:rsidR="00000000" w:rsidDel="00000000" w:rsidP="00000000" w:rsidRDefault="00000000" w:rsidRPr="00000000" w14:paraId="0000002E">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43.7-37.3</w:t>
            </w:r>
          </w:p>
        </w:tc>
        <w:tc>
          <w:tcPr/>
          <w:p w:rsidR="00000000" w:rsidDel="00000000" w:rsidP="00000000" w:rsidRDefault="00000000" w:rsidRPr="00000000" w14:paraId="0000002F">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.433-.326</w:t>
            </w:r>
          </w:p>
        </w:tc>
        <w:tc>
          <w:tcPr/>
          <w:p w:rsidR="00000000" w:rsidDel="00000000" w:rsidP="00000000" w:rsidRDefault="00000000" w:rsidRPr="00000000" w14:paraId="00000030">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27.9-21.3</w:t>
            </w:r>
          </w:p>
        </w:tc>
        <w:tc>
          <w:tcPr/>
          <w:p w:rsidR="00000000" w:rsidDel="00000000" w:rsidP="00000000" w:rsidRDefault="00000000" w:rsidRPr="00000000" w14:paraId="00000031">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44.6-40.4</w:t>
            </w:r>
          </w:p>
        </w:tc>
        <w:tc>
          <w:tcPr/>
          <w:p w:rsidR="00000000" w:rsidDel="00000000" w:rsidP="00000000" w:rsidRDefault="00000000" w:rsidRPr="00000000" w14:paraId="00000032">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18.7-17.9</w:t>
            </w:r>
          </w:p>
        </w:tc>
        <w:tc>
          <w:tcPr/>
          <w:p w:rsidR="00000000" w:rsidDel="00000000" w:rsidP="00000000" w:rsidRDefault="00000000" w:rsidRPr="00000000" w14:paraId="00000033">
            <w:pP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.932-.068</w:t>
            </w:r>
          </w:p>
        </w:tc>
      </w:tr>
      <w:tr>
        <w:trPr>
          <w:cantSplit w:val="0"/>
          <w:tblHeader w:val="0"/>
        </w:trPr>
        <w:tc>
          <w:tcPr/>
          <w:p w:rsidR="00000000" w:rsidDel="00000000" w:rsidP="00000000" w:rsidRDefault="00000000" w:rsidRPr="00000000" w14:paraId="00000034">
            <w:pPr>
              <w:rPr>
                <w:rFonts w:ascii="Cambria" w:cs="Cambria" w:eastAsia="Cambria" w:hAnsi="Cambria"/>
                <w:b w:val="0"/>
                <w:i w:val="0"/>
                <w:smallCaps w:val="0"/>
                <w:color w:val="ffffff"/>
                <w:sz w:val="20"/>
                <w:szCs w:val="20"/>
              </w:rPr>
            </w:pPr>
            <w:r w:rsidDel="00000000" w:rsidR="00000000" w:rsidRPr="00000000">
              <w:rPr>
                <w:rFonts w:ascii="Cambria" w:cs="Cambria" w:eastAsia="Cambria" w:hAnsi="Cambria"/>
                <w:b w:val="0"/>
                <w:i w:val="0"/>
                <w:smallCaps w:val="0"/>
                <w:color w:val="ffffff"/>
                <w:sz w:val="20"/>
                <w:szCs w:val="20"/>
                <w:rtl w:val="0"/>
              </w:rPr>
              <w:t xml:space="preserve">‘Slug Fest’</w:t>
            </w:r>
          </w:p>
        </w:tc>
        <w:tc>
          <w:tcPr/>
          <w:p w:rsidR="00000000" w:rsidDel="00000000" w:rsidP="00000000" w:rsidRDefault="00000000" w:rsidRPr="00000000" w14:paraId="00000035">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95-93</w:t>
            </w:r>
          </w:p>
        </w:tc>
        <w:tc>
          <w:tcPr/>
          <w:p w:rsidR="00000000" w:rsidDel="00000000" w:rsidP="00000000" w:rsidRDefault="00000000" w:rsidRPr="00000000" w14:paraId="00000036">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35.4-34.8</w:t>
            </w:r>
          </w:p>
        </w:tc>
        <w:tc>
          <w:tcPr/>
          <w:p w:rsidR="00000000" w:rsidDel="00000000" w:rsidP="00000000" w:rsidRDefault="00000000" w:rsidRPr="00000000" w14:paraId="00000037">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.314-.304</w:t>
            </w:r>
          </w:p>
        </w:tc>
        <w:tc>
          <w:tcPr/>
          <w:p w:rsidR="00000000" w:rsidDel="00000000" w:rsidP="00000000" w:rsidRDefault="00000000" w:rsidRPr="00000000" w14:paraId="00000038">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20.2-19.1</w:t>
            </w:r>
          </w:p>
        </w:tc>
        <w:tc>
          <w:tcPr/>
          <w:p w:rsidR="00000000" w:rsidDel="00000000" w:rsidP="00000000" w:rsidRDefault="00000000" w:rsidRPr="00000000" w14:paraId="00000039">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45.8-44.6</w:t>
            </w:r>
          </w:p>
        </w:tc>
        <w:tc>
          <w:tcPr/>
          <w:p w:rsidR="00000000" w:rsidDel="00000000" w:rsidP="00000000" w:rsidRDefault="00000000" w:rsidRPr="00000000" w14:paraId="0000003A">
            <w:pPr>
              <w:jc w:val="cente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19.3-20.2</w:t>
            </w:r>
          </w:p>
        </w:tc>
        <w:tc>
          <w:tcPr/>
          <w:p w:rsidR="00000000" w:rsidDel="00000000" w:rsidP="00000000" w:rsidRDefault="00000000" w:rsidRPr="00000000" w14:paraId="0000003B">
            <w:pPr>
              <w:rPr>
                <w:rFonts w:ascii="Cambria" w:cs="Cambria" w:eastAsia="Cambria" w:hAnsi="Cambria"/>
                <w:b w:val="0"/>
                <w:i w:val="0"/>
                <w:smallCaps w:val="0"/>
                <w:color w:val="000000"/>
                <w:sz w:val="20"/>
                <w:szCs w:val="20"/>
              </w:rPr>
            </w:pPr>
            <w:r w:rsidDel="00000000" w:rsidR="00000000" w:rsidRPr="00000000">
              <w:rPr>
                <w:rFonts w:ascii="Cambria" w:cs="Cambria" w:eastAsia="Cambria" w:hAnsi="Cambria"/>
                <w:b w:val="0"/>
                <w:i w:val="0"/>
                <w:smallCaps w:val="0"/>
                <w:color w:val="000000"/>
                <w:sz w:val="20"/>
                <w:szCs w:val="20"/>
                <w:rtl w:val="0"/>
              </w:rPr>
              <w:t xml:space="preserve">.596-.404</w:t>
            </w:r>
          </w:p>
        </w:tc>
      </w:tr>
    </w:tbl>
    <w:p w:rsidR="00000000" w:rsidDel="00000000" w:rsidP="00000000" w:rsidRDefault="00000000" w:rsidRPr="00000000" w14:paraId="0000003C">
      <w:pPr>
        <w:tabs>
          <w:tab w:val="left" w:leader="none" w:pos="2304"/>
        </w:tabs>
        <w:spacing w:after="220" w:before="220" w:lineRule="auto"/>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1"/>
          <w:sz w:val="24"/>
          <w:szCs w:val="24"/>
          <w:rtl w:val="0"/>
        </w:rPr>
        <w:t xml:space="preserve">Rule Sets</w:t>
      </w:r>
      <w:r w:rsidDel="00000000" w:rsidR="00000000" w:rsidRPr="00000000">
        <w:rPr>
          <w:rtl w:val="0"/>
        </w:rPr>
      </w:r>
    </w:p>
    <w:p w:rsidR="00000000" w:rsidDel="00000000" w:rsidP="00000000" w:rsidRDefault="00000000" w:rsidRPr="00000000" w14:paraId="0000003D">
      <w:pPr>
        <w:tabs>
          <w:tab w:val="left" w:leader="none" w:pos="2304"/>
        </w:tabs>
        <w:spacing w:after="0" w:before="0" w:line="259" w:lineRule="auto"/>
        <w:ind w:left="0" w:right="0" w:firstLine="0"/>
        <w:jc w:val="left"/>
        <w:rPr>
          <w:rFonts w:ascii="Cambria" w:cs="Cambria" w:eastAsia="Cambria" w:hAnsi="Cambria"/>
          <w:b w:val="0"/>
          <w:i w:val="0"/>
          <w:smallCaps w:val="0"/>
          <w:color w:val="000000"/>
          <w:sz w:val="22"/>
          <w:szCs w:val="22"/>
        </w:rPr>
      </w:pPr>
      <w:r w:rsidDel="00000000" w:rsidR="00000000" w:rsidRPr="00000000">
        <w:rPr>
          <w:rFonts w:ascii="Cambria" w:cs="Cambria" w:eastAsia="Cambria" w:hAnsi="Cambria"/>
          <w:rtl w:val="0"/>
        </w:rPr>
        <w:t xml:space="preserve">Rules targeting outcomes were extracted and ranked based on lift, showcasing their impact within each personality cluster. Our unsupervised methodology, unaware of basketball rules, necessitated filtering to eliminate noise such as: Knicks outscored Lakers. The refined rules illuminate the multivariate impact of concurrent success in multiple categories, for instance, an augmented win percentage when successful 3-point shooting aligns with high steal volume. These insights, when utilized by domain experts, could furnish a strategic advantage.</w:t>
      </w:r>
      <w:r w:rsidDel="00000000" w:rsidR="00000000" w:rsidRPr="00000000">
        <w:rPr>
          <w:rtl w:val="0"/>
        </w:rPr>
      </w:r>
    </w:p>
    <w:p w:rsidR="00000000" w:rsidDel="00000000" w:rsidP="00000000" w:rsidRDefault="00000000" w:rsidRPr="00000000" w14:paraId="0000003E">
      <w:pPr>
        <w:tabs>
          <w:tab w:val="left" w:leader="none" w:pos="2304"/>
        </w:tabs>
        <w:spacing w:after="220" w:before="22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Playoff &amp; Era Analysis</w:t>
      </w:r>
      <w:r w:rsidDel="00000000" w:rsidR="00000000" w:rsidRPr="00000000">
        <w:rPr>
          <w:rtl w:val="0"/>
        </w:rPr>
      </w:r>
    </w:p>
    <w:p w:rsidR="00000000" w:rsidDel="00000000" w:rsidP="00000000" w:rsidRDefault="00000000" w:rsidRPr="00000000" w14:paraId="0000003F">
      <w:pPr>
        <w:tabs>
          <w:tab w:val="left" w:leader="none" w:pos="2304"/>
        </w:tabs>
        <w:spacing w:after="0" w:lineRule="auto"/>
        <w:rPr>
          <w:rFonts w:ascii="Cambria" w:cs="Cambria" w:eastAsia="Cambria" w:hAnsi="Cambria"/>
        </w:rPr>
      </w:pPr>
      <w:r w:rsidDel="00000000" w:rsidR="00000000" w:rsidRPr="00000000">
        <w:rPr>
          <w:rFonts w:ascii="Cambria" w:cs="Cambria" w:eastAsia="Cambria" w:hAnsi="Cambria"/>
          <w:rtl w:val="0"/>
        </w:rPr>
        <w:t xml:space="preserve">To comprehend the game's evolution and the shifts in intensity and strategy during playoffs, data was first segregated into key demographics for separate analysis. Following Silva's delineation of Transitional (96-12) and Modern (12-current) NBA eras, games were categorized by era and further divided into regular season and playoff pools. Analysis was re-conducted to discern how trends varied across these dimensions.</w:t>
      </w:r>
      <w:r w:rsidDel="00000000" w:rsidR="00000000" w:rsidRPr="00000000">
        <w:rPr>
          <w:rtl w:val="0"/>
        </w:rPr>
      </w:r>
    </w:p>
    <w:p w:rsidR="00000000" w:rsidDel="00000000" w:rsidP="00000000" w:rsidRDefault="00000000" w:rsidRPr="00000000" w14:paraId="00000040">
      <w:pPr>
        <w:tabs>
          <w:tab w:val="left" w:leader="none" w:pos="2304"/>
        </w:tabs>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tabs>
          <w:tab w:val="left" w:leader="none" w:pos="2304"/>
        </w:tabs>
        <w:spacing w:after="0" w:before="0" w:line="259" w:lineRule="auto"/>
        <w:ind w:left="0" w:right="0" w:firstLine="0"/>
        <w:jc w:val="left"/>
        <w:rPr>
          <w:rFonts w:ascii="Cambria" w:cs="Cambria" w:eastAsia="Cambria" w:hAnsi="Cambria"/>
          <w:b w:val="1"/>
          <w:i w:val="0"/>
          <w:smallCaps w:val="0"/>
          <w:color w:val="000000"/>
          <w:sz w:val="32"/>
          <w:szCs w:val="32"/>
        </w:rPr>
      </w:pPr>
      <w:r w:rsidDel="00000000" w:rsidR="00000000" w:rsidRPr="00000000">
        <w:rPr>
          <w:rFonts w:ascii="Cambria" w:cs="Cambria" w:eastAsia="Cambria" w:hAnsi="Cambria"/>
          <w:b w:val="1"/>
          <w:i w:val="0"/>
          <w:smallCaps w:val="0"/>
          <w:color w:val="000000"/>
          <w:sz w:val="32"/>
          <w:szCs w:val="32"/>
          <w:rtl w:val="0"/>
        </w:rPr>
        <w:t xml:space="preserve">4. Conclusion</w:t>
      </w:r>
    </w:p>
    <w:p w:rsidR="00000000" w:rsidDel="00000000" w:rsidP="00000000" w:rsidRDefault="00000000" w:rsidRPr="00000000" w14:paraId="00000042">
      <w:pPr>
        <w:spacing w:after="0" w:before="0" w:line="259" w:lineRule="auto"/>
        <w:ind w:left="0" w:right="0" w:firstLine="0"/>
        <w:jc w:val="left"/>
        <w:rPr>
          <w:rFonts w:ascii="Cambria" w:cs="Cambria" w:eastAsia="Cambria" w:hAnsi="Cambria"/>
          <w:b w:val="0"/>
          <w:i w:val="0"/>
          <w:smallCaps w:val="0"/>
          <w:color w:val="000000"/>
          <w:sz w:val="22"/>
          <w:szCs w:val="22"/>
        </w:rPr>
      </w:pPr>
      <w:r w:rsidDel="00000000" w:rsidR="00000000" w:rsidRPr="00000000">
        <w:rPr>
          <w:rtl w:val="0"/>
        </w:rPr>
      </w:r>
    </w:p>
    <w:p w:rsidR="00000000" w:rsidDel="00000000" w:rsidP="00000000" w:rsidRDefault="00000000" w:rsidRPr="00000000" w14:paraId="00000043">
      <w:pPr>
        <w:spacing w:after="0" w:before="0" w:line="259"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This paper innovates in identifying key success factors within diverse personality trends of NBA games, traversing eras and contexts. We posit that this methodology bears cross-domain potential in other sports, markets, and industries, for discerning nuanced success dynamics.</w:t>
      </w:r>
    </w:p>
    <w:p w:rsidR="00000000" w:rsidDel="00000000" w:rsidP="00000000" w:rsidRDefault="00000000" w:rsidRPr="00000000" w14:paraId="00000044">
      <w:pPr>
        <w:spacing w:after="0" w:before="0" w:line="259"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46">
      <w:pPr>
        <w:tabs>
          <w:tab w:val="left" w:leader="none" w:pos="2304"/>
        </w:tabs>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47">
      <w:pPr>
        <w:tabs>
          <w:tab w:val="left" w:leader="none" w:pos="2304"/>
        </w:tabs>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48">
      <w:pPr>
        <w:tabs>
          <w:tab w:val="left" w:leader="none" w:pos="2304"/>
        </w:tabs>
        <w:jc w:val="both"/>
        <w:rPr>
          <w:rFonts w:ascii="Cambria" w:cs="Cambria" w:eastAsia="Cambria" w:hAnsi="Cambria"/>
          <w:b w:val="0"/>
          <w:i w:val="0"/>
          <w:smallCaps w:val="0"/>
          <w:color w:val="000000"/>
          <w:sz w:val="32"/>
          <w:szCs w:val="32"/>
        </w:rPr>
      </w:pPr>
      <w:r w:rsidDel="00000000" w:rsidR="00000000" w:rsidRPr="00000000">
        <w:rPr>
          <w:rFonts w:ascii="Cambria" w:cs="Cambria" w:eastAsia="Cambria" w:hAnsi="Cambria"/>
          <w:b w:val="1"/>
          <w:i w:val="0"/>
          <w:smallCaps w:val="0"/>
          <w:color w:val="000000"/>
          <w:sz w:val="32"/>
          <w:szCs w:val="32"/>
          <w:rtl w:val="0"/>
        </w:rPr>
        <w:t xml:space="preserve">References</w:t>
      </w:r>
      <w:r w:rsidDel="00000000" w:rsidR="00000000" w:rsidRPr="00000000">
        <w:rPr>
          <w:rtl w:val="0"/>
        </w:rPr>
      </w:r>
    </w:p>
    <w:p w:rsidR="00000000" w:rsidDel="00000000" w:rsidP="00000000" w:rsidRDefault="00000000" w:rsidRPr="00000000" w14:paraId="00000049">
      <w:pPr>
        <w:tabs>
          <w:tab w:val="left" w:leader="none" w:pos="2304"/>
        </w:tabs>
        <w:jc w:val="both"/>
        <w:rPr>
          <w:rFonts w:ascii="Cambria" w:cs="Cambria" w:eastAsia="Cambria" w:hAnsi="Cambria"/>
          <w:b w:val="0"/>
          <w:i w:val="0"/>
          <w:smallCaps w:val="0"/>
          <w:color w:val="000000"/>
          <w:sz w:val="22"/>
          <w:szCs w:val="22"/>
        </w:rPr>
      </w:pPr>
      <w:r w:rsidDel="00000000" w:rsidR="00000000" w:rsidRPr="00000000">
        <w:rPr>
          <w:rtl w:val="0"/>
        </w:rPr>
      </w:r>
    </w:p>
    <w:p w:rsidR="00000000" w:rsidDel="00000000" w:rsidP="00000000" w:rsidRDefault="00000000" w:rsidRPr="00000000" w14:paraId="0000004A">
      <w:pPr>
        <w:spacing w:after="120" w:lineRule="auto"/>
        <w:ind w:left="640" w:hanging="640"/>
        <w:rPr>
          <w:rFonts w:ascii="Cambria" w:cs="Cambria" w:eastAsia="Cambria" w:hAnsi="Cambria"/>
          <w:color w:val="000000"/>
          <w:sz w:val="24"/>
          <w:szCs w:val="24"/>
        </w:rPr>
      </w:pPr>
      <w:r w:rsidDel="00000000" w:rsidR="00000000" w:rsidRPr="00000000">
        <w:rPr>
          <w:rFonts w:ascii="Cambria" w:cs="Cambria" w:eastAsia="Cambria" w:hAnsi="Cambria"/>
          <w:b w:val="0"/>
          <w:i w:val="0"/>
          <w:smallCaps w:val="0"/>
          <w:color w:val="000000"/>
          <w:sz w:val="24"/>
          <w:szCs w:val="24"/>
          <w:rtl w:val="0"/>
        </w:rPr>
        <w:t xml:space="preserve">[1]</w:t>
      </w:r>
      <w:r w:rsidDel="00000000" w:rsidR="00000000" w:rsidRPr="00000000">
        <w:rPr>
          <w:rtl w:val="0"/>
        </w:rPr>
        <w:tab/>
      </w:r>
      <w:r w:rsidDel="00000000" w:rsidR="00000000" w:rsidRPr="00000000">
        <w:rPr>
          <w:rFonts w:ascii="Cambria" w:cs="Cambria" w:eastAsia="Cambria" w:hAnsi="Cambria"/>
          <w:b w:val="0"/>
          <w:i w:val="0"/>
          <w:smallCaps w:val="0"/>
          <w:color w:val="000000"/>
          <w:sz w:val="24"/>
          <w:szCs w:val="24"/>
          <w:rtl w:val="0"/>
        </w:rPr>
        <w:t xml:space="preserve">A. Rose, "Raptors Need to Avoid 'Slugfest' by Dictating Tempo to 76ers", </w:t>
      </w:r>
      <w:r w:rsidDel="00000000" w:rsidR="00000000" w:rsidRPr="00000000">
        <w:rPr>
          <w:rFonts w:ascii="Cambria" w:cs="Cambria" w:eastAsia="Cambria" w:hAnsi="Cambria"/>
          <w:b w:val="0"/>
          <w:i w:val="1"/>
          <w:smallCaps w:val="0"/>
          <w:color w:val="000000"/>
          <w:sz w:val="24"/>
          <w:szCs w:val="24"/>
          <w:rtl w:val="0"/>
        </w:rPr>
        <w:t xml:space="preserve">Sports Illustrated Toronto Raptors News, Analysis and More</w:t>
      </w:r>
      <w:r w:rsidDel="00000000" w:rsidR="00000000" w:rsidRPr="00000000">
        <w:rPr>
          <w:rFonts w:ascii="Cambria" w:cs="Cambria" w:eastAsia="Cambria" w:hAnsi="Cambria"/>
          <w:b w:val="0"/>
          <w:i w:val="0"/>
          <w:smallCaps w:val="0"/>
          <w:color w:val="000000"/>
          <w:sz w:val="24"/>
          <w:szCs w:val="24"/>
          <w:rtl w:val="0"/>
        </w:rPr>
        <w:t xml:space="preserve">, 2022. [Online]. Available: https://www.si.com/nba/raptors/news/toronto-raptors-slugfest-transition-offense-philadelphia-76ers-playoffs.</w:t>
      </w:r>
      <w:r w:rsidDel="00000000" w:rsidR="00000000" w:rsidRPr="00000000">
        <w:rPr>
          <w:rtl w:val="0"/>
        </w:rPr>
      </w:r>
    </w:p>
    <w:p w:rsidR="00000000" w:rsidDel="00000000" w:rsidP="00000000" w:rsidRDefault="00000000" w:rsidRPr="00000000" w14:paraId="0000004B">
      <w:pPr>
        <w:spacing w:after="120" w:lineRule="auto"/>
        <w:ind w:left="640" w:hanging="640"/>
        <w:rPr>
          <w:rFonts w:ascii="Cambria" w:cs="Cambria" w:eastAsia="Cambria" w:hAnsi="Cambria"/>
          <w:color w:val="000000"/>
          <w:sz w:val="24"/>
          <w:szCs w:val="24"/>
        </w:rPr>
      </w:pPr>
      <w:r w:rsidDel="00000000" w:rsidR="00000000" w:rsidRPr="00000000">
        <w:rPr>
          <w:rFonts w:ascii="Cambria" w:cs="Cambria" w:eastAsia="Cambria" w:hAnsi="Cambria"/>
          <w:b w:val="0"/>
          <w:i w:val="0"/>
          <w:smallCaps w:val="0"/>
          <w:color w:val="000000"/>
          <w:sz w:val="24"/>
          <w:szCs w:val="24"/>
          <w:rtl w:val="0"/>
        </w:rPr>
        <w:t xml:space="preserve">[2]</w:t>
      </w:r>
      <w:r w:rsidDel="00000000" w:rsidR="00000000" w:rsidRPr="00000000">
        <w:rPr>
          <w:rtl w:val="0"/>
        </w:rPr>
        <w:tab/>
      </w:r>
      <w:r w:rsidDel="00000000" w:rsidR="00000000" w:rsidRPr="00000000">
        <w:rPr>
          <w:rFonts w:ascii="Cambria" w:cs="Cambria" w:eastAsia="Cambria" w:hAnsi="Cambria"/>
          <w:b w:val="0"/>
          <w:i w:val="0"/>
          <w:smallCaps w:val="0"/>
          <w:color w:val="000000"/>
          <w:sz w:val="24"/>
          <w:szCs w:val="24"/>
          <w:rtl w:val="0"/>
        </w:rPr>
        <w:t xml:space="preserve">D. Stephanos, G. Husari, B. Bennett, M. Harrisson and E. Stephanos, “Using Hex Maps to Classify &amp; Cluster Dribble Hand-Off Variants in the NBA,” in </w:t>
      </w:r>
      <w:r w:rsidDel="00000000" w:rsidR="00000000" w:rsidRPr="00000000">
        <w:rPr>
          <w:rFonts w:ascii="Cambria" w:cs="Cambria" w:eastAsia="Cambria" w:hAnsi="Cambria"/>
          <w:b w:val="0"/>
          <w:i w:val="1"/>
          <w:smallCaps w:val="0"/>
          <w:color w:val="000000"/>
          <w:sz w:val="24"/>
          <w:szCs w:val="24"/>
          <w:rtl w:val="0"/>
        </w:rPr>
        <w:t xml:space="preserve">Proceedings of the MIT Sloan Sports Analytics Conference</w:t>
      </w:r>
      <w:r w:rsidDel="00000000" w:rsidR="00000000" w:rsidRPr="00000000">
        <w:rPr>
          <w:rFonts w:ascii="Cambria" w:cs="Cambria" w:eastAsia="Cambria" w:hAnsi="Cambria"/>
          <w:b w:val="0"/>
          <w:i w:val="0"/>
          <w:smallCaps w:val="0"/>
          <w:color w:val="000000"/>
          <w:sz w:val="24"/>
          <w:szCs w:val="24"/>
          <w:rtl w:val="0"/>
        </w:rPr>
        <w:t xml:space="preserve">, 2022.</w:t>
      </w:r>
      <w:r w:rsidDel="00000000" w:rsidR="00000000" w:rsidRPr="00000000">
        <w:rPr>
          <w:rtl w:val="0"/>
        </w:rPr>
      </w:r>
    </w:p>
    <w:p w:rsidR="00000000" w:rsidDel="00000000" w:rsidP="00000000" w:rsidRDefault="00000000" w:rsidRPr="00000000" w14:paraId="0000004C">
      <w:pPr>
        <w:spacing w:after="120" w:lineRule="auto"/>
        <w:ind w:left="640" w:hanging="640"/>
        <w:rPr>
          <w:rFonts w:ascii="Cambria" w:cs="Cambria" w:eastAsia="Cambria" w:hAnsi="Cambria"/>
          <w:color w:val="000000"/>
          <w:sz w:val="24"/>
          <w:szCs w:val="24"/>
        </w:rPr>
      </w:pPr>
      <w:r w:rsidDel="00000000" w:rsidR="00000000" w:rsidRPr="00000000">
        <w:rPr>
          <w:rFonts w:ascii="Cambria" w:cs="Cambria" w:eastAsia="Cambria" w:hAnsi="Cambria"/>
          <w:b w:val="0"/>
          <w:i w:val="0"/>
          <w:smallCaps w:val="0"/>
          <w:color w:val="000000"/>
          <w:sz w:val="24"/>
          <w:szCs w:val="24"/>
          <w:rtl w:val="0"/>
        </w:rPr>
        <w:t xml:space="preserve">[3]</w:t>
      </w:r>
      <w:r w:rsidDel="00000000" w:rsidR="00000000" w:rsidRPr="00000000">
        <w:rPr>
          <w:rtl w:val="0"/>
        </w:rPr>
        <w:tab/>
      </w:r>
      <w:r w:rsidDel="00000000" w:rsidR="00000000" w:rsidRPr="00000000">
        <w:rPr>
          <w:rFonts w:ascii="Cambria" w:cs="Cambria" w:eastAsia="Cambria" w:hAnsi="Cambria"/>
          <w:b w:val="0"/>
          <w:i w:val="0"/>
          <w:smallCaps w:val="0"/>
          <w:color w:val="000000"/>
          <w:sz w:val="24"/>
          <w:szCs w:val="24"/>
          <w:rtl w:val="0"/>
        </w:rPr>
        <w:t xml:space="preserve">S. Kalman and J. Bosch, “NBA Lineup Analysis on Clustered Player Tendencies: A new approach to the positions of basketball &amp; modeling lineup efficiency,” in </w:t>
      </w:r>
      <w:r w:rsidDel="00000000" w:rsidR="00000000" w:rsidRPr="00000000">
        <w:rPr>
          <w:rFonts w:ascii="Cambria" w:cs="Cambria" w:eastAsia="Cambria" w:hAnsi="Cambria"/>
          <w:b w:val="0"/>
          <w:i w:val="1"/>
          <w:smallCaps w:val="0"/>
          <w:color w:val="000000"/>
          <w:sz w:val="24"/>
          <w:szCs w:val="24"/>
          <w:rtl w:val="0"/>
        </w:rPr>
        <w:t xml:space="preserve">Proceedings of the MIT Sloan Sports Analytics Conference</w:t>
      </w:r>
      <w:r w:rsidDel="00000000" w:rsidR="00000000" w:rsidRPr="00000000">
        <w:rPr>
          <w:rFonts w:ascii="Cambria" w:cs="Cambria" w:eastAsia="Cambria" w:hAnsi="Cambria"/>
          <w:b w:val="0"/>
          <w:i w:val="0"/>
          <w:smallCaps w:val="0"/>
          <w:color w:val="000000"/>
          <w:sz w:val="24"/>
          <w:szCs w:val="24"/>
          <w:rtl w:val="0"/>
        </w:rPr>
        <w:t xml:space="preserve">, 2020.</w:t>
      </w:r>
      <w:r w:rsidDel="00000000" w:rsidR="00000000" w:rsidRPr="00000000">
        <w:rPr>
          <w:rtl w:val="0"/>
        </w:rPr>
      </w:r>
    </w:p>
    <w:p w:rsidR="00000000" w:rsidDel="00000000" w:rsidP="00000000" w:rsidRDefault="00000000" w:rsidRPr="00000000" w14:paraId="0000004D">
      <w:pPr>
        <w:spacing w:after="220" w:lineRule="auto"/>
        <w:ind w:left="640" w:hanging="640"/>
        <w:rPr>
          <w:rFonts w:ascii="Cambria" w:cs="Cambria" w:eastAsia="Cambria" w:hAnsi="Cambria"/>
          <w:b w:val="0"/>
          <w:i w:val="0"/>
          <w:smallCaps w:val="0"/>
          <w:color w:val="000000"/>
          <w:sz w:val="24"/>
          <w:szCs w:val="24"/>
        </w:rPr>
      </w:pPr>
      <w:r w:rsidDel="00000000" w:rsidR="00000000" w:rsidRPr="00000000">
        <w:rPr>
          <w:rFonts w:ascii="Cambria" w:cs="Cambria" w:eastAsia="Cambria" w:hAnsi="Cambria"/>
          <w:b w:val="0"/>
          <w:i w:val="0"/>
          <w:smallCaps w:val="0"/>
          <w:color w:val="000000"/>
          <w:sz w:val="24"/>
          <w:szCs w:val="24"/>
          <w:rtl w:val="0"/>
        </w:rPr>
        <w:t xml:space="preserve">[4]</w:t>
      </w:r>
      <w:r w:rsidDel="00000000" w:rsidR="00000000" w:rsidRPr="00000000">
        <w:rPr>
          <w:rtl w:val="0"/>
        </w:rPr>
        <w:tab/>
      </w:r>
      <w:r w:rsidDel="00000000" w:rsidR="00000000" w:rsidRPr="00000000">
        <w:rPr>
          <w:rFonts w:ascii="Cambria" w:cs="Cambria" w:eastAsia="Cambria" w:hAnsi="Cambria"/>
          <w:b w:val="0"/>
          <w:i w:val="0"/>
          <w:smallCaps w:val="0"/>
          <w:color w:val="000000"/>
          <w:sz w:val="24"/>
          <w:szCs w:val="24"/>
          <w:rtl w:val="0"/>
        </w:rPr>
        <w:t xml:space="preserve">J. Rocha da Silva and P. Rodrigues, "The three Eras of the NBA regular seasons: Historical trend and success factors", Journal of Sports Analytics, vol. 7, no. 4, pp. 263-275, 2021. Available: 10.3233/jsa-200525.</w:t>
      </w:r>
    </w:p>
    <w:p w:rsidR="00000000" w:rsidDel="00000000" w:rsidP="00000000" w:rsidRDefault="00000000" w:rsidRPr="00000000" w14:paraId="0000004E">
      <w:pPr>
        <w:spacing w:after="120" w:lineRule="auto"/>
        <w:ind w:left="640" w:hanging="640"/>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4F">
      <w:pPr>
        <w:spacing w:after="120" w:lineRule="auto"/>
        <w:ind w:left="640" w:hanging="640"/>
        <w:rPr>
          <w:rFonts w:ascii="Cambria" w:cs="Cambria" w:eastAsia="Cambria" w:hAnsi="Cambria"/>
          <w:b w:val="0"/>
          <w:i w:val="0"/>
          <w:smallCaps w:val="0"/>
          <w:color w:val="000000"/>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GridTable5Dark-Accent1">
    <w:name w:val="Grid Table 5 Dark Accent 1"/>
    <w:basedOn w:val="TableNormal"/>
    <w:uiPriority w:val="50"/>
    <w:pPr>
      <w:spacing w:after="0" w:line="240" w:lineRule="auto"/>
    </w:pPr>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table" w:styleId="ListTable4-Accent1">
    <w:name w:val="List Table 4 Accent 1"/>
    <w:basedOn w:val="TableNormal"/>
    <w:uiPriority w:val="49"/>
    <w:pPr>
      <w:spacing w:after="0" w:line="240" w:lineRule="auto"/>
    </w:pPr>
    <w:tblPr>
      <w:tblStyleRowBandSize w:val="1"/>
      <w:tblStyleColBandSize w:val="1"/>
      <w:tblInd w:w="0.0" w:type="dxa"/>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NDkXm+urAdSvOMHLOzAdQ7pMEg==">CgMxLjA4AHIhMXlCUXo4azV2RFRMTjhKT1JmN3cxbHg5SzNBOGhBZllX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2022-09-24T22:26:27.7726902Z</dcterms:created>
  <dc:creator>Stephanos, Dembe Koi</dc:creator>
</cp:coreProperties>
</file>