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0E9F" w:rsidRDefault="00B00E9F" w:rsidP="00B00E9F">
      <w:pPr>
        <w:pStyle w:val="NormalWeb"/>
        <w:spacing w:line="360" w:lineRule="auto"/>
        <w:jc w:val="both"/>
      </w:pPr>
      <w:r>
        <w:rPr>
          <w:rStyle w:val="Strong"/>
        </w:rPr>
        <w:t>Gender and Flood Resilience</w:t>
      </w:r>
    </w:p>
    <w:p w:rsidR="00B00E9F" w:rsidRDefault="00B00E9F" w:rsidP="00B00E9F">
      <w:pPr>
        <w:pStyle w:val="NormalWeb"/>
        <w:spacing w:line="360" w:lineRule="auto"/>
        <w:jc w:val="both"/>
      </w:pPr>
      <w:r>
        <w:t xml:space="preserve">Floods in </w:t>
      </w:r>
      <w:proofErr w:type="spellStart"/>
      <w:r>
        <w:t>Bwaise</w:t>
      </w:r>
      <w:proofErr w:type="spellEnd"/>
      <w:r>
        <w:t xml:space="preserve"> Parish, within Kawempe Division, affect wo</w:t>
      </w:r>
      <w:bookmarkStart w:id="0" w:name="_GoBack"/>
      <w:bookmarkEnd w:id="0"/>
      <w:r>
        <w:t xml:space="preserve">men and men in different ways. Women and girls often face increased risks during floods, including limited access to safe sanitation, higher caregiving burdens, and greater exposure to health and protection challenges. Men, on the other hand, may encounter heightened pressure to secure income and protect household assets in dangerous conditions. At Together for Disaster Free Communities (TODFCO), we recognize that effective flood response must address these gendered realities. Our plans prioritize gender-sensitive approaches that ensure women, men, and vulnerable groups are meaningfully involved in preparedness, response, and recovery. By integrating gender perspectives into community actions, TODFCO works to strengthen inclusive resilience and ensure that flood solutions in </w:t>
      </w:r>
      <w:proofErr w:type="spellStart"/>
      <w:r>
        <w:t>Bwaise</w:t>
      </w:r>
      <w:proofErr w:type="spellEnd"/>
      <w:r>
        <w:t xml:space="preserve"> support the safety, dignity, and needs of all residents.</w:t>
      </w:r>
    </w:p>
    <w:p w:rsidR="005F3EDE" w:rsidRDefault="005F3EDE"/>
    <w:sectPr w:rsidR="005F3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9F"/>
    <w:rsid w:val="005F3EDE"/>
    <w:rsid w:val="00B0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DDC407-0A39-45C3-87CA-0944FA975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0E9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0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0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Ahumedi Nsamba</dc:creator>
  <cp:keywords/>
  <dc:description/>
  <cp:lastModifiedBy>Ahumedi Nsamba</cp:lastModifiedBy>
  <cp:revision>1</cp:revision>
  <dcterms:created xsi:type="dcterms:W3CDTF">2026-03-16T14:16:00Z</dcterms:created>
  <dcterms:modified xsi:type="dcterms:W3CDTF">2026-03-16T14:19:00Z</dcterms:modified>
</cp:coreProperties>
</file>