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Xe69879e21770c0358c66dca1e91bc51546a51b0"/>
    <w:p>
      <w:pPr>
        <w:spacing w:after="240" w:before="0" w:line="250" w:lineRule="exact"/>
      </w:pPr>
    </w:p>
    <w:p>
      <w:pPr>
        <w:spacing w:after="240" w:before="0" w:line="250" w:lineRule="exact"/>
      </w:pPr>
    </w:p>
    <w:p>
      <w:pPr>
        <w:spacing w:after="240" w:before="0" w:line="250" w:lineRule="exact"/>
      </w:pPr>
    </w:p>
    <w:p>
      <w:pPr>
        <w:spacing w:after="240" w:before="0" w:line="250" w:lineRule="exact"/>
      </w:pPr>
    </w:p>
    <w:p>
      <w:pPr>
        <w:spacing w:after="240" w:before="0" w:line="250" w:lineRule="exact"/>
      </w:pPr>
    </w:p>
    <w:p>
      <w:pPr>
        <w:spacing w:after="200" w:before="0" w:line="300" w:lineRule="exact"/>
      </w:pPr>
      <w:r>
        <w:rPr>
          <w:rFonts w:ascii="Montserrat" w:hAnsi="Montserrat" w:cs="Montserrat" w:eastAsia="Montserrat"/>
          <w:b/>
          <w:i w:val="0"/>
          <w:color w:val="F58220"/>
          <w:sz w:val="24"/>
        </w:rPr>
        <w:t>Intetics  ·  SmartLab / DataVest</w:t>
      </w:r>
    </w:p>
    <w:p>
      <w:pPr>
        <w:spacing w:after="160" w:before="0" w:line="900" w:lineRule="exact"/>
      </w:pPr>
      <w:r>
        <w:rPr>
          <w:rFonts w:ascii="Montserrat" w:hAnsi="Montserrat" w:cs="Montserrat" w:eastAsia="Montserrat"/>
          <w:b/>
          <w:i w:val="0"/>
          <w:color w:val="F58220"/>
          <w:sz w:val="72"/>
        </w:rPr>
        <w:t>DataVest Brew</w:t>
      </w:r>
    </w:p>
    <w:p>
      <w:pPr>
        <w:pBdr>
          <w:bottom w:val="single" w:sz="36" w:space="12" w:color="F58220"/>
        </w:pBdr>
        <w:spacing w:after="480" w:before="0" w:line="450" w:lineRule="exact"/>
      </w:pPr>
      <w:r>
        <w:rPr>
          <w:rFonts w:ascii="Montserrat" w:hAnsi="Montserrat" w:cs="Montserrat" w:eastAsia="Montserrat"/>
          <w:b/>
          <w:i w:val="0"/>
          <w:color w:val="4A4A4A"/>
          <w:sz w:val="36"/>
        </w:rPr>
        <w:t>Платформа аналитики пивоваренного процесса: архитектура решения</w:t>
      </w:r>
    </w:p>
    <w:p>
      <w:pPr>
        <w:spacing w:after="120" w:before="0" w:line="250" w:lineRule="exact"/>
      </w:pPr>
    </w:p>
    <w:p>
      <w:pPr>
        <w:spacing w:after="80"/>
      </w:pPr>
      <w:r>
        <w:rPr>
          <w:rFonts w:ascii="Montserrat" w:hAnsi="Montserrat" w:cs="Montserrat" w:eastAsia="Montserrat"/>
          <w:b/>
          <w:color w:val="4A4A4A"/>
          <w:sz w:val="20"/>
        </w:rPr>
        <w:t xml:space="preserve">Дата документа:  </w:t>
      </w:r>
      <w:r>
        <w:rPr>
          <w:rFonts w:ascii="Montserrat" w:hAnsi="Montserrat" w:cs="Montserrat" w:eastAsia="Montserrat"/>
          <w:color w:val="4A4A4A"/>
          <w:sz w:val="20"/>
        </w:rPr>
        <w:t>21 октября 2026</w:t>
      </w:r>
    </w:p>
    <w:p>
      <w:pPr>
        <w:spacing w:after="80"/>
      </w:pPr>
      <w:r>
        <w:rPr>
          <w:rFonts w:ascii="Montserrat" w:hAnsi="Montserrat" w:cs="Montserrat" w:eastAsia="Montserrat"/>
          <w:b/>
          <w:color w:val="4A4A4A"/>
          <w:sz w:val="20"/>
        </w:rPr>
        <w:t xml:space="preserve">Подготовил:  </w:t>
      </w:r>
      <w:r>
        <w:rPr>
          <w:rFonts w:ascii="Montserrat" w:hAnsi="Montserrat" w:cs="Montserrat" w:eastAsia="Montserrat"/>
          <w:color w:val="4A4A4A"/>
          <w:sz w:val="20"/>
        </w:rPr>
        <w:t>Дмитрий, Intetics</w:t>
      </w:r>
    </w:p>
    <w:p>
      <w:pPr>
        <w:spacing w:after="80"/>
      </w:pPr>
      <w:r>
        <w:rPr>
          <w:rFonts w:ascii="Montserrat" w:hAnsi="Montserrat" w:cs="Montserrat" w:eastAsia="Montserrat"/>
          <w:b/>
          <w:color w:val="4A4A4A"/>
          <w:sz w:val="20"/>
        </w:rPr>
        <w:t xml:space="preserve">Статус:  </w:t>
      </w:r>
      <w:r>
        <w:rPr>
          <w:rFonts w:ascii="Montserrat" w:hAnsi="Montserrat" w:cs="Montserrat" w:eastAsia="Montserrat"/>
          <w:color w:val="4A4A4A"/>
          <w:sz w:val="20"/>
        </w:rPr>
        <w:t>Для внутреннего использования</w:t>
      </w:r>
    </w:p>
    <w:p>
      <w:pPr>
        <w:spacing w:after="360" w:before="0" w:line="250" w:lineRule="exact"/>
      </w:pPr>
    </w:p>
    <w:p>
      <w:pPr>
        <w:spacing w:after="120" w:before="0" w:line="200" w:lineRule="exact"/>
      </w:pPr>
      <w:r>
        <w:rPr>
          <w:rFonts w:ascii="Montserrat" w:hAnsi="Montserrat" w:cs="Montserrat" w:eastAsia="Montserrat"/>
          <w:b w:val="0"/>
          <w:i/>
          <w:color w:val="939598"/>
          <w:sz w:val="16"/>
        </w:rPr>
        <w:t>Экспортировано из Claude Doc «Brewery Process Intelligence Platform», вкладка «Архитектура решения (RU)». Схемы — изображения; текст и таблицы редактируются.</w:t>
      </w:r>
    </w:p>
    <w:p>
      <w:pPr>
        <w:spacing w:after="120" w:before="0" w:line="250" w:lineRule="exact"/>
      </w:pPr>
      <w:r>
        <w:br w:type="page"/>
      </w:r>
    </w:p>
    <w:p>
      <w:pPr>
        <w:pBdr>
          <w:bottom w:val="single" w:sz="8" w:space="4" w:color="F58220"/>
        </w:pBdr>
        <w:spacing w:after="200" w:before="0" w:line="500" w:lineRule="exact"/>
      </w:pPr>
      <w:r>
        <w:rPr>
          <w:rFonts w:ascii="Montserrat" w:hAnsi="Montserrat" w:cs="Montserrat" w:eastAsia="Montserrat"/>
          <w:b/>
          <w:i w:val="0"/>
          <w:color w:val="4A4A4A"/>
          <w:sz w:val="40"/>
        </w:rPr>
        <w:t>Содержание</w:t>
      </w:r>
    </w:p>
    <w:p>
      <w:r>
        <w:rPr>
          <w:rFonts w:ascii="Montserrat" w:hAnsi="Montserrat" w:cs="Montserrat" w:eastAsia="Montserrat"/>
          <w:color w:val="4A4A4A"/>
          <w:sz w:val="20"/>
        </w:rPr>
        <w:fldChar w:fldCharType="begin"/>
      </w:r>
      <w:r>
        <w:rPr>
          <w:rFonts w:ascii="Montserrat" w:hAnsi="Montserrat" w:cs="Montserrat" w:eastAsia="Montserrat"/>
          <w:color w:val="4A4A4A"/>
          <w:sz w:val="20"/>
        </w:rPr>
        <w:instrText xml:space="preserve">TOC \o "1-2" \h \z \u</w:instrText>
      </w:r>
      <w:r>
        <w:rPr>
          <w:rFonts w:ascii="Montserrat" w:hAnsi="Montserrat" w:cs="Montserrat" w:eastAsia="Montserrat"/>
          <w:color w:val="4A4A4A"/>
          <w:sz w:val="20"/>
        </w:rPr>
        <w:fldChar w:fldCharType="separate"/>
      </w:r>
      <w:r>
        <w:rPr>
          <w:rFonts w:ascii="Montserrat" w:hAnsi="Montserrat" w:cs="Montserrat" w:eastAsia="Montserrat"/>
          <w:color w:val="4A4A4A"/>
          <w:sz w:val="20"/>
        </w:rPr>
        <w:t>Щёлкните правой кнопкой мыши и выберите «Обновить поле», чтобы построить содержание.</w:t>
      </w:r>
      <w:r>
        <w:rPr>
          <w:rFonts w:ascii="Montserrat" w:hAnsi="Montserrat" w:cs="Montserrat" w:eastAsia="Montserrat"/>
          <w:color w:val="4A4A4A"/>
          <w:sz w:val="20"/>
        </w:rPr>
        <w:fldChar w:fldCharType="end"/>
      </w:r>
    </w:p>
    <w:p>
      <w:pPr>
        <w:pStyle w:val="Heading1"/>
        <w:pageBreakBefore/>
      </w:pPr>
      <w:r>
        <w:t xml:space="preserve">Платформа аналитики пивоваренного процесса — архитектура решения</w:t>
      </w:r>
    </w:p>
    <w:bookmarkStart w:id="20" w:name="резюме"/>
    <w:p>
      <w:pPr>
        <w:pStyle w:val="Heading2"/>
      </w:pPr>
      <w:r>
        <w:t xml:space="preserve">Резюме</w:t>
      </w:r>
    </w:p>
    <w:p>
      <w:pPr>
        <w:pStyle w:val="FirstParagraph"/>
      </w:pPr>
      <w:r>
        <w:rPr>
          <w:bCs/>
          <w:b/>
        </w:rPr>
        <w:t xml:space="preserve">DataVest Brew</w:t>
      </w:r>
      <w:r>
        <w:t xml:space="preserve"> </w:t>
      </w:r>
      <w:r>
        <w:t xml:space="preserve">— облачная MES-система (система управления производством) для пивоварен. Она связывает оборудование, лабораторию и людей в цеху. Это не ERP: заказы, склад и финансы остаются в системах вроде Breww. Первая отрасль — пиво. Платформа построена на шаблонах процессов, поэтому дальше могут идти другие производства на брожении: вино, сидр, квас, комбуча.</w:t>
      </w:r>
    </w:p>
    <w:p>
      <w:pPr>
        <w:pStyle w:val="BodyText"/>
      </w:pPr>
      <w:r>
        <w:t xml:space="preserve">В продукте шесть модулей:</w:t>
      </w:r>
    </w:p>
    <w:p>
      <w:pPr>
        <w:numPr>
          <w:ilvl w:val="0"/>
          <w:numId w:val="1001"/>
        </w:numPr>
        <w:pStyle w:val="Compact"/>
      </w:pPr>
      <w:r>
        <w:t xml:space="preserve">Партии и техкарты.</w:t>
      </w:r>
    </w:p>
    <w:p>
      <w:pPr>
        <w:numPr>
          <w:ilvl w:val="0"/>
          <w:numId w:val="1001"/>
        </w:numPr>
        <w:pStyle w:val="Compact"/>
      </w:pPr>
      <w:r>
        <w:t xml:space="preserve">Датчики и интеграция.</w:t>
      </w:r>
    </w:p>
    <w:p>
      <w:pPr>
        <w:numPr>
          <w:ilvl w:val="0"/>
          <w:numId w:val="1001"/>
        </w:numPr>
        <w:pStyle w:val="Compact"/>
      </w:pPr>
      <w:r>
        <w:t xml:space="preserve">Лаборатория и качество (LIMS).</w:t>
      </w:r>
    </w:p>
    <w:p>
      <w:pPr>
        <w:numPr>
          <w:ilvl w:val="0"/>
          <w:numId w:val="1001"/>
        </w:numPr>
        <w:pStyle w:val="Compact"/>
      </w:pPr>
      <w:r>
        <w:t xml:space="preserve">Производство (MES).</w:t>
      </w:r>
    </w:p>
    <w:p>
      <w:pPr>
        <w:numPr>
          <w:ilvl w:val="0"/>
          <w:numId w:val="1001"/>
        </w:numPr>
        <w:pStyle w:val="Compact"/>
      </w:pPr>
      <w:r>
        <w:t xml:space="preserve">Аналитика и ИИ.</w:t>
      </w:r>
    </w:p>
    <w:p>
      <w:pPr>
        <w:numPr>
          <w:ilvl w:val="0"/>
          <w:numId w:val="1001"/>
        </w:numPr>
        <w:pStyle w:val="Compact"/>
      </w:pPr>
      <w:r>
        <w:t xml:space="preserve">Отчёты и соответствие.</w:t>
      </w:r>
    </w:p>
    <w:p>
      <w:pPr>
        <w:pStyle w:val="FirstParagraph"/>
      </w:pPr>
      <w:r>
        <w:t xml:space="preserve">Чем продукт отличается, в порядке важности: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Интеграция «из коробки»:</w:t>
      </w:r>
      <w:r>
        <w:t xml:space="preserve"> </w:t>
      </w:r>
      <w:r>
        <w:t xml:space="preserve">датчики E+H (QWX43, pH, кислород, CO₂) и контроллеры по OPC UA, Modbus TCP и Profinet без внешнего интегратора.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Лаборатория уровня LIMS:</w:t>
      </w:r>
      <w:r>
        <w:t xml:space="preserve"> </w:t>
      </w:r>
      <w:r>
        <w:t xml:space="preserve">генерации дрожжей и их жизнеспособность, посевы и ПЦР, слепые дегустационные панели, отслеживание штаммов.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MES-функции на данных датчиков:</w:t>
      </w:r>
      <w:r>
        <w:t xml:space="preserve"> </w:t>
      </w:r>
      <w:r>
        <w:t xml:space="preserve">журнал и график CIP по автоматически найденной смене сред, задачи, одобрение розлива, техкарты, расчёт акциза.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Прогнозы на накопленных данных:</w:t>
      </w:r>
      <w:r>
        <w:t xml:space="preserve"> </w:t>
      </w:r>
      <w:r>
        <w:t xml:space="preserve">готовность партии и отклонения сейчас, вкус — позже.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Сервис точности датчиков:</w:t>
      </w:r>
      <w:r>
        <w:t xml:space="preserve"> </w:t>
      </w:r>
      <w:r>
        <w:t xml:space="preserve">журналы Offset и проверок точности, рекомендуемые интервалы проверок, анализ точности по всему парку датчиков для инженеров E+H.</w:t>
      </w:r>
    </w:p>
    <w:p>
      <w:pPr>
        <w:pStyle w:val="FirstParagraph"/>
      </w:pPr>
      <w:r>
        <w:t xml:space="preserve">Экран танков, отчёты, документ качества на партию и профили лимитов (например, для безалкогольного пива) — базовые функции, а не отличия.</w:t>
      </w:r>
    </w:p>
    <w:p>
      <w:pPr>
        <w:pStyle w:val="BodyText"/>
      </w:pPr>
      <w:r>
        <w:rPr>
          <w:bCs/>
          <w:b/>
        </w:rPr>
        <w:t xml:space="preserve">Коммерческий вариант:</w:t>
      </w:r>
      <w:r>
        <w:t xml:space="preserve"> </w:t>
      </w:r>
      <w:r>
        <w:t xml:space="preserve">Intetics как партнёр E+H по разработке. Главные доводы — наработки Intetics по документообороту и контролю качества (SmartLab, DataVest), возможности в машинном обучении и промышленная интеграция.</w:t>
      </w:r>
    </w:p>
    <w:p>
      <w:pPr>
        <w:pStyle w:val="BodyText"/>
      </w:pPr>
      <w:r>
        <w:rPr>
          <w:bCs/>
          <w:b/>
        </w:rPr>
        <w:t xml:space="preserve">Трудозатраты:</w:t>
      </w:r>
      <w:r>
        <w:t xml:space="preserve"> </w:t>
      </w:r>
      <w:r>
        <w:t xml:space="preserve">этап 1 — 63–138 человеко-недель, наиболее вероятно 98 ($235 200 при $60 в час). С резервом 15% плановая цифра — около 113 чел.-нед. (около $270 000). Команда — около 6 человек на 16–18 недель, два выпуска: 1А и 1Б. Расходы на разработку начинаются только после того, как две организации согласятся софинансировать пилот.</w:t>
      </w:r>
    </w:p>
    <w:bookmarkEnd w:id="20"/>
    <w:bookmarkStart w:id="21" w:name="входные-данные-и-границы"/>
    <w:p>
      <w:pPr>
        <w:pStyle w:val="Heading2"/>
      </w:pPr>
      <w:r>
        <w:t xml:space="preserve">Входные данные и границы</w:t>
      </w:r>
    </w:p>
    <w:p>
      <w:pPr>
        <w:pStyle w:val="FirstParagraph"/>
      </w:pPr>
      <w:r>
        <w:t xml:space="preserve">Решение опирается на:</w:t>
      </w:r>
    </w:p>
    <w:p>
      <w:pPr>
        <w:numPr>
          <w:ilvl w:val="0"/>
          <w:numId w:val="1003"/>
        </w:numPr>
        <w:pStyle w:val="Compact"/>
      </w:pPr>
      <w:r>
        <w:t xml:space="preserve">внутренние аналитические документы Intetics: анализ пробелов E+H, оценку осуществимости, отчёт Data Vest, экспертный анализ SmartLab и отчёт SmartLab;</w:t>
      </w:r>
    </w:p>
    <w:p>
      <w:pPr>
        <w:numPr>
          <w:ilvl w:val="0"/>
          <w:numId w:val="1003"/>
        </w:numPr>
        <w:pStyle w:val="Compact"/>
      </w:pPr>
      <w:r>
        <w:t xml:space="preserve">документацию E+H по QWX43;</w:t>
      </w:r>
    </w:p>
    <w:p>
      <w:pPr>
        <w:numPr>
          <w:ilvl w:val="0"/>
          <w:numId w:val="1003"/>
        </w:numPr>
        <w:pStyle w:val="Compact"/>
      </w:pPr>
      <w:r>
        <w:t xml:space="preserve">экспертизу отраслевого специалиста по пивоварению;</w:t>
      </w:r>
    </w:p>
    <w:p>
      <w:pPr>
        <w:numPr>
          <w:ilvl w:val="0"/>
          <w:numId w:val="1003"/>
        </w:numPr>
        <w:pStyle w:val="Compact"/>
      </w:pPr>
      <w:r>
        <w:t xml:space="preserve">публичные регуляторные источники.</w:t>
      </w:r>
    </w:p>
    <w:p>
      <w:pPr>
        <w:pStyle w:val="FirstParagraph"/>
      </w:pPr>
      <w:r>
        <w:t xml:space="preserve">Зафиксированные решения: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Только программное обеспечение.</w:t>
      </w:r>
      <w:r>
        <w:t xml:space="preserve"> </w:t>
      </w:r>
      <w:r>
        <w:t xml:space="preserve">Edge-шлюз работает на стандартном промышленном оборудовании.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Только чтение.</w:t>
      </w:r>
      <w:r>
        <w:t xml:space="preserve"> </w:t>
      </w:r>
      <w:r>
        <w:t xml:space="preserve">Система читает данные с датчиков и контроллеров и никогда не пишет уставки, не запускает и не останавливает оборудование.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MES, а не ERP.</w:t>
      </w:r>
      <w:r>
        <w:t xml:space="preserve"> </w:t>
      </w:r>
      <w:r>
        <w:t xml:space="preserve">Нет модулей продаж, склада и финансов. Расчёт акциза входит, потому что зависит от производственных данных.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Сначала пиво.</w:t>
      </w:r>
      <w:r>
        <w:t xml:space="preserve"> </w:t>
      </w:r>
      <w:r>
        <w:t xml:space="preserve">Шаблоны процессов делают ядро независимым от пива.</w:t>
      </w:r>
    </w:p>
    <w:p>
      <w:pPr>
        <w:pStyle w:val="FirstParagraph"/>
      </w:pPr>
      <w:r>
        <w:t xml:space="preserve">Трудозатраты оценены по модели пакетов работ DataVest (1 чел.-нед. = 40 ч × $60 = $2 400). Заявления вендоров опубликованы ими самими. Числовые значения по умолчанию — проектные заглушки, которые нужно подтвердить на этапе исследования.</w:t>
      </w:r>
    </w:p>
    <w:bookmarkEnd w:id="21"/>
    <w:bookmarkStart w:id="28" w:name="рынок-и-базовый-уровень-eh"/>
    <w:p>
      <w:pPr>
        <w:pStyle w:val="Heading2"/>
      </w:pPr>
      <w:r>
        <w:t xml:space="preserve">Рынок и базовый уровень E+H</w:t>
      </w:r>
    </w:p>
    <w:bookmarkStart w:id="22" w:name="датчик-брожения-qwx43"/>
    <w:p>
      <w:pPr>
        <w:pStyle w:val="Heading3"/>
      </w:pPr>
      <w:r>
        <w:t xml:space="preserve">Датчик брожения QWX43</w:t>
      </w:r>
    </w:p>
    <w:p>
      <w:pPr>
        <w:pStyle w:val="FirstParagraph"/>
      </w:pPr>
      <w:r>
        <w:t xml:space="preserve">QWX43 стоит в танке, работает непрерывно и даёт временные ряды.</w:t>
      </w:r>
    </w:p>
    <w:tbl>
      <w:tblPr>
        <w:tblW w:w="9026" w:type="dxa"/>
        <w:tblBorders>
          <w:top w:val="single" w:sz="4" w:space="0" w:color="939598"/>
          <w:left w:val="single" w:sz="4" w:space="0" w:color="939598"/>
          <w:bottom w:val="single" w:sz="4" w:space="0" w:color="939598"/>
          <w:right w:val="single" w:sz="4" w:space="0" w:color="939598"/>
          <w:insideH w:val="single" w:sz="4" w:space="0" w:color="939598"/>
          <w:insideV w:val="single" w:sz="4" w:space="0" w:color="939598"/>
        </w:tblBorders>
        <w:tblLayout w:type="fixed"/>
        <w:tblCellMar>
          <w:top w:w="57" w:type="dxa"/>
          <w:left w:w="100" w:type="dxa"/>
          <w:bottom w:w="57" w:type="dxa"/>
          <w:right w:w="100" w:type="dxa"/>
        </w:tblCellMar>
        <w:tblLook w:firstRow="1" w:lastRow="0" w:firstColumn="0" w:lastColumn="0" w:noHBand="0" w:noVBand="0" w:val="0020"/>
      </w:tblPr>
      <w:tblGrid>
        <w:gridCol w:w="2299"/>
        <w:gridCol w:w="6727"/>
      </w:tblGrid>
      <w:tr>
        <w:trPr>
          <w:tblHeader w:val="true"/>
          <w:tblHeader/>
        </w:trPr>
        <w:tc>
          <w:tcPr>
            <w:tcW w:w="2299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Измеряемая величина</w:t>
            </w:r>
          </w:p>
        </w:tc>
        <w:tc>
          <w:tcPr>
            <w:tcW w:w="6727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Что показывает</w:t>
            </w:r>
          </w:p>
        </w:tc>
      </w:tr>
      <w:tr>
        <w:trPr/>
        <w:tc>
          <w:tcPr>
            <w:tcW w:w="229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Плотность</w:t>
            </w:r>
          </w:p>
        </w:tc>
        <w:tc>
          <w:tcPr>
            <w:tcW w:w="672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Скорость падения показывает активность дрожжей. Плотность без изменений 1–2 дня означает конец основного брожения</w:t>
            </w:r>
          </w:p>
        </w:tc>
      </w:tr>
      <w:tr>
        <w:trPr/>
        <w:tc>
          <w:tcPr>
            <w:tcW w:w="229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Вязкость</w:t>
            </w:r>
          </w:p>
        </w:tc>
        <w:tc>
          <w:tcPr>
            <w:tcW w:w="672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Зависит от температуры, сахаров и высокомолекулярных веществ; косвенно показывает качество фильтрации и оседание дрожжей</w:t>
            </w:r>
          </w:p>
        </w:tc>
      </w:tr>
      <w:tr>
        <w:trPr/>
        <w:tc>
          <w:tcPr>
            <w:tcW w:w="229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Скорость звука</w:t>
            </w:r>
          </w:p>
        </w:tc>
        <w:tc>
          <w:tcPr>
            <w:tcW w:w="672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Разделяет плотность на «сахарную» и «спиртовую» части. Резкое изменение означает перекачку или смену среды (пиво, вода, моющий раствор): так видны новая партия и мойка</w:t>
            </w:r>
          </w:p>
        </w:tc>
      </w:tr>
      <w:tr>
        <w:trPr/>
        <w:tc>
          <w:tcPr>
            <w:tcW w:w="229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Температура</w:t>
            </w:r>
          </w:p>
        </w:tc>
        <w:tc>
          <w:tcPr>
            <w:tcW w:w="672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Главный параметр управления; автоматика охлаждения использует её, чтобы не допустить перегрева</w:t>
            </w:r>
          </w:p>
        </w:tc>
      </w:tr>
    </w:tbl>
    <w:p/>
    <w:tbl>
      <w:tblPr>
        <w:tblW w:w="9026" w:type="dxa"/>
        <w:tblBorders>
          <w:top w:val="single" w:sz="4" w:space="0" w:color="939598"/>
          <w:left w:val="single" w:sz="4" w:space="0" w:color="939598"/>
          <w:bottom w:val="single" w:sz="4" w:space="0" w:color="939598"/>
          <w:right w:val="single" w:sz="4" w:space="0" w:color="939598"/>
          <w:insideH w:val="single" w:sz="4" w:space="0" w:color="939598"/>
          <w:insideV w:val="single" w:sz="4" w:space="0" w:color="939598"/>
        </w:tblBorders>
        <w:tblLayout w:type="fixed"/>
        <w:tblCellMar>
          <w:top w:w="57" w:type="dxa"/>
          <w:left w:w="100" w:type="dxa"/>
          <w:bottom w:w="57" w:type="dxa"/>
          <w:right w:w="100" w:type="dxa"/>
        </w:tblCellMar>
        <w:tblLook w:firstRow="1" w:lastRow="0" w:firstColumn="0" w:lastColumn="0" w:noHBand="0" w:noVBand="0" w:val="0020"/>
      </w:tblPr>
      <w:tblGrid>
        <w:gridCol w:w="3321"/>
        <w:gridCol w:w="5705"/>
      </w:tblGrid>
      <w:tr>
        <w:trPr>
          <w:tblHeader w:val="true"/>
          <w:tblHeader/>
        </w:trPr>
        <w:tc>
          <w:tcPr>
            <w:tcW w:w="3321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Расчётный параметр</w:t>
            </w:r>
          </w:p>
        </w:tc>
        <w:tc>
          <w:tcPr>
            <w:tcW w:w="5705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Как получается</w:t>
            </w:r>
          </w:p>
        </w:tc>
      </w:tr>
      <w:tr>
        <w:trPr/>
        <w:tc>
          <w:tcPr>
            <w:tcW w:w="332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Содержание спирта (по объёму и массе)</w:t>
            </w:r>
          </w:p>
        </w:tc>
        <w:tc>
          <w:tcPr>
            <w:tcW w:w="570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Из изменения плотности и скорости звука; показывает накопление спирта без проб</w:t>
            </w:r>
          </w:p>
        </w:tc>
      </w:tr>
      <w:tr>
        <w:trPr/>
        <w:tc>
          <w:tcPr>
            <w:tcW w:w="332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Остаточный и начальный экстракт</w:t>
            </w:r>
          </w:p>
        </w:tc>
        <w:tc>
          <w:tcPr>
            <w:tcW w:w="570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Остаточная плотность минус плотность накопившегося спирта</w:t>
            </w:r>
          </w:p>
        </w:tc>
      </w:tr>
      <w:tr>
        <w:trPr/>
        <w:tc>
          <w:tcPr>
            <w:tcW w:w="332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Степень сбраживания</w:t>
            </w:r>
          </w:p>
        </w:tc>
        <w:tc>
          <w:tcPr>
            <w:tcW w:w="570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(начальный экстракт − остаточный экстракт) / начальный экстракт</w:t>
            </w:r>
          </w:p>
        </w:tc>
      </w:tr>
      <w:tr>
        <w:trPr/>
        <w:tc>
          <w:tcPr>
            <w:tcW w:w="332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Сбраживаемые и несбраживаемые сахара</w:t>
            </w:r>
          </w:p>
        </w:tc>
        <w:tc>
          <w:tcPr>
            <w:tcW w:w="570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Одно значение в конце брожения, не временной ряд</w:t>
            </w:r>
          </w:p>
        </w:tc>
      </w:tr>
      <w:tr>
        <w:trPr/>
        <w:tc>
          <w:tcPr>
            <w:tcW w:w="332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Скорость брожения</w:t>
            </w:r>
          </w:p>
        </w:tc>
        <w:tc>
          <w:tcPr>
            <w:tcW w:w="570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Динамика падения плотности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Обслуживание датчика:</w:t>
      </w:r>
    </w:p>
    <w:p>
      <w:pPr>
        <w:numPr>
          <w:ilvl w:val="0"/>
          <w:numId w:val="1005"/>
        </w:numPr>
        <w:pStyle w:val="Compact"/>
      </w:pPr>
      <w:r>
        <w:t xml:space="preserve">По данным E+H, срок службы не ограничен; замена нужна только при физическом повреждении.</w:t>
      </w:r>
    </w:p>
    <w:p>
      <w:pPr>
        <w:numPr>
          <w:ilvl w:val="0"/>
          <w:numId w:val="1005"/>
        </w:numPr>
        <w:pStyle w:val="Compact"/>
      </w:pPr>
      <w:r>
        <w:t xml:space="preserve">Калибровка не нужна.</w:t>
      </w:r>
    </w:p>
    <w:p>
      <w:pPr>
        <w:numPr>
          <w:ilvl w:val="0"/>
          <w:numId w:val="1005"/>
        </w:numPr>
        <w:pStyle w:val="Compact"/>
      </w:pPr>
      <w:r>
        <w:t xml:space="preserve">Датчик юстируют по воде и эталонному образцу сусла (Offset): прибор сравнивает свои значения с лабораторными и корректирует их.</w:t>
      </w:r>
    </w:p>
    <w:p>
      <w:pPr>
        <w:numPr>
          <w:ilvl w:val="0"/>
          <w:numId w:val="1005"/>
        </w:numPr>
        <w:pStyle w:val="Compact"/>
      </w:pPr>
      <w:r>
        <w:t xml:space="preserve">E+H рекомендует периодически проверять точность по воздуху и дистиллированной воде, без фиксированного интервала.</w:t>
      </w:r>
    </w:p>
    <w:p>
      <w:pPr>
        <w:numPr>
          <w:ilvl w:val="0"/>
          <w:numId w:val="1005"/>
        </w:numPr>
        <w:pStyle w:val="Compact"/>
      </w:pPr>
      <w:r>
        <w:t xml:space="preserve">Загрязнение маловероятно: датчик проходит мойку CIP вместе с танком. Пивной камень или дрожжевой налёт теоретически возможны и находятся при осмотре.</w:t>
      </w:r>
    </w:p>
    <w:p>
      <w:pPr>
        <w:pStyle w:val="FirstParagraph"/>
      </w:pPr>
      <w:r>
        <w:rPr>
          <w:bCs/>
          <w:b/>
        </w:rPr>
        <w:t xml:space="preserve">Другие датчики E+H и Netilion.</w:t>
      </w:r>
      <w:r>
        <w:t xml:space="preserve"> </w:t>
      </w:r>
      <w:r>
        <w:t xml:space="preserve">У E+H есть датчики pH, кислорода и CO₂ со своей системой подключения. Netilion Fermentation показывает танки, партии и рецепты, сравнивает с эталонной партией, само открывает и закрывает партии, показывает коды диагностики и присылает письма по порогам. Где считаются значения — в приборе или в облаке, — нужно подтвердить.</w:t>
      </w:r>
    </w:p>
    <w:bookmarkEnd w:id="22"/>
    <w:bookmarkStart w:id="23" w:name="пробелы-которые-закрывает-datavest-brew"/>
    <w:p>
      <w:pPr>
        <w:pStyle w:val="Heading3"/>
      </w:pPr>
      <w:r>
        <w:t xml:space="preserve">Пробелы, которые закрывает DataVest Brew</w:t>
      </w:r>
    </w:p>
    <w:tbl>
      <w:tblPr>
        <w:tblW w:w="9026" w:type="dxa"/>
        <w:tblBorders>
          <w:top w:val="single" w:sz="4" w:space="0" w:color="939598"/>
          <w:left w:val="single" w:sz="4" w:space="0" w:color="939598"/>
          <w:bottom w:val="single" w:sz="4" w:space="0" w:color="939598"/>
          <w:right w:val="single" w:sz="4" w:space="0" w:color="939598"/>
          <w:insideH w:val="single" w:sz="4" w:space="0" w:color="939598"/>
          <w:insideV w:val="single" w:sz="4" w:space="0" w:color="939598"/>
        </w:tblBorders>
        <w:tblLayout w:type="fixed"/>
        <w:tblCellMar>
          <w:top w:w="57" w:type="dxa"/>
          <w:left w:w="100" w:type="dxa"/>
          <w:bottom w:w="57" w:type="dxa"/>
          <w:right w:w="100" w:type="dxa"/>
        </w:tblCellMar>
        <w:tblLook w:firstRow="1" w:lastRow="0" w:firstColumn="0" w:lastColumn="0" w:noHBand="0" w:noVBand="0" w:val="0020"/>
      </w:tblPr>
      <w:tblGrid>
        <w:gridCol w:w="889"/>
        <w:gridCol w:w="3443"/>
        <w:gridCol w:w="3164"/>
        <w:gridCol w:w="1530"/>
      </w:tblGrid>
      <w:tr>
        <w:trPr>
          <w:tblHeader w:val="true"/>
          <w:tblHeader/>
        </w:trPr>
        <w:tc>
          <w:tcPr>
            <w:tcW w:w="889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№</w:t>
            </w:r>
          </w:p>
        </w:tc>
        <w:tc>
          <w:tcPr>
            <w:tcW w:w="3443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Пробел</w:t>
            </w:r>
          </w:p>
        </w:tc>
        <w:tc>
          <w:tcPr>
            <w:tcW w:w="3164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Влияние</w:t>
            </w:r>
          </w:p>
        </w:tc>
        <w:tc>
          <w:tcPr>
            <w:tcW w:w="1530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Приоритет</w:t>
            </w:r>
          </w:p>
        </w:tc>
      </w:tr>
      <w:tr>
        <w:trPr/>
        <w:tc>
          <w:tcPr>
            <w:tcW w:w="88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G1</w:t>
            </w:r>
          </w:p>
        </w:tc>
        <w:tc>
          <w:tcPr>
            <w:tcW w:w="344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Нет подключения «из коробки» для разного оборудования: ПЛК по OPC UA, Modbus TCP и Profinet и датчики E+H в одном месте</w:t>
            </w:r>
          </w:p>
        </w:tc>
        <w:tc>
          <w:tcPr>
            <w:tcW w:w="316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Нужен внешний интегратор и долгая настройка</w:t>
            </w:r>
          </w:p>
        </w:tc>
        <w:tc>
          <w:tcPr>
            <w:tcW w:w="153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Критичный</w:t>
            </w:r>
          </w:p>
        </w:tc>
      </w:tr>
      <w:tr>
        <w:trPr/>
        <w:tc>
          <w:tcPr>
            <w:tcW w:w="88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G2</w:t>
            </w:r>
          </w:p>
        </w:tc>
        <w:tc>
          <w:tcPr>
            <w:tcW w:w="344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Нет лаборатории уровня LIMS: генерации дрожжей, посевы, ПЦР, слепые панели</w:t>
            </w:r>
          </w:p>
        </w:tc>
        <w:tc>
          <w:tcPr>
            <w:tcW w:w="316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Лабораторные данные остаются в тетрадях и не связаны с партиями</w:t>
            </w:r>
          </w:p>
        </w:tc>
        <w:tc>
          <w:tcPr>
            <w:tcW w:w="153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Высокий</w:t>
            </w:r>
          </w:p>
        </w:tc>
      </w:tr>
      <w:tr>
        <w:trPr/>
        <w:tc>
          <w:tcPr>
            <w:tcW w:w="88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G3</w:t>
            </w:r>
          </w:p>
        </w:tc>
        <w:tc>
          <w:tcPr>
            <w:tcW w:w="344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Нет MES-функций на данных датчиков: CIP по смене сред, задачи, одобрение розлива, техкарты, акциз</w:t>
            </w:r>
          </w:p>
        </w:tc>
        <w:tc>
          <w:tcPr>
            <w:tcW w:w="316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Производство ведут на бумаге и в разных программах</w:t>
            </w:r>
          </w:p>
        </w:tc>
        <w:tc>
          <w:tcPr>
            <w:tcW w:w="153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Высокий</w:t>
            </w:r>
          </w:p>
        </w:tc>
      </w:tr>
      <w:tr>
        <w:trPr/>
        <w:tc>
          <w:tcPr>
            <w:tcW w:w="88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G4</w:t>
            </w:r>
          </w:p>
        </w:tc>
        <w:tc>
          <w:tcPr>
            <w:tcW w:w="344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Нет прогноза готовности, отклонений и вкуса</w:t>
            </w:r>
          </w:p>
        </w:tc>
        <w:tc>
          <w:tcPr>
            <w:tcW w:w="316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Проблемы замечают поздно</w:t>
            </w:r>
          </w:p>
        </w:tc>
        <w:tc>
          <w:tcPr>
            <w:tcW w:w="153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Высокий</w:t>
            </w:r>
          </w:p>
        </w:tc>
      </w:tr>
      <w:tr>
        <w:trPr/>
        <w:tc>
          <w:tcPr>
            <w:tcW w:w="88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G5</w:t>
            </w:r>
          </w:p>
        </w:tc>
        <w:tc>
          <w:tcPr>
            <w:tcW w:w="344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Нет журнала Offset и проверок точности, нет рекомендуемых интервалов, нет анализа точности по парку</w:t>
            </w:r>
          </w:p>
        </w:tc>
        <w:tc>
          <w:tcPr>
            <w:tcW w:w="316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Точность нельзя показать и улучшить</w:t>
            </w:r>
          </w:p>
        </w:tc>
        <w:tc>
          <w:tcPr>
            <w:tcW w:w="153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Средний–высокий</w:t>
            </w:r>
          </w:p>
        </w:tc>
      </w:tr>
      <w:tr>
        <w:trPr/>
        <w:tc>
          <w:tcPr>
            <w:tcW w:w="88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G6</w:t>
            </w:r>
          </w:p>
        </w:tc>
        <w:tc>
          <w:tcPr>
            <w:tcW w:w="344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Нет ИИ-ассистента и открытого доступа</w:t>
            </w:r>
          </w:p>
        </w:tc>
        <w:tc>
          <w:tcPr>
            <w:tcW w:w="316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Данные нельзя спросить простым языком</w:t>
            </w:r>
          </w:p>
        </w:tc>
        <w:tc>
          <w:tcPr>
            <w:tcW w:w="153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Средний</w:t>
            </w:r>
          </w:p>
        </w:tc>
      </w:tr>
      <w:tr>
        <w:trPr/>
        <w:tc>
          <w:tcPr>
            <w:tcW w:w="88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G7</w:t>
            </w:r>
          </w:p>
        </w:tc>
        <w:tc>
          <w:tcPr>
            <w:tcW w:w="344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Нет открытых цен и самостоятельного подключения</w:t>
            </w:r>
          </w:p>
        </w:tc>
        <w:tc>
          <w:tcPr>
            <w:tcW w:w="316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Сложно для малых и средних покупателей</w:t>
            </w:r>
          </w:p>
        </w:tc>
        <w:tc>
          <w:tcPr>
            <w:tcW w:w="153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Средний (коммерческий)</w:t>
            </w:r>
          </w:p>
        </w:tc>
      </w:tr>
    </w:tbl>
    <w:bookmarkEnd w:id="23"/>
    <w:bookmarkStart w:id="27" w:name="конкуренты"/>
    <w:p>
      <w:pPr>
        <w:pStyle w:val="Heading3"/>
      </w:pPr>
      <w:r>
        <w:t xml:space="preserve">Конкуренты</w:t>
      </w:r>
    </w:p>
    <w:p>
      <w:pPr>
        <w:pStyle w:val="FirstParagraph"/>
      </w:pPr>
      <w:r>
        <w:t xml:space="preserve">У E+H точные измерения, но мало сервисов вокруг них. У Breww и PLAATO удобный процесс для пивовара, но слабая связь с промышленным оборудованием.</w:t>
      </w:r>
    </w:p>
    <w:p>
      <w:pPr>
        <w:pStyle w:val="CaptionedFigure"/>
        <w:keepNext/>
        <w:spacing w:line="240" w:lineRule="auto"/>
        <w:jc w:val="center"/>
      </w:pPr>
      <w:r>
        <w:drawing>
          <wp:inline>
            <wp:extent cx="5334000" cy="3841750"/>
            <wp:effectExtent b="0" l="0" r="0" t="0"/>
            <wp:docPr descr="Рисунок 1. Карта рынка — глубина измерений и глубина пивоваренной логики" title="" id="25" name="Picture"/>
            <a:graphic>
              <a:graphicData uri="http://schemas.openxmlformats.org/drawingml/2006/picture">
                <pic:pic>
                  <pic:nvPicPr>
                    <pic:cNvPr descr="iarru-000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1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 Карта рынка — глубина измерений и глубина пивоваренной логики</w:t>
      </w:r>
    </w:p>
    <w:tbl>
      <w:tblPr>
        <w:tblW w:w="9026" w:type="dxa"/>
        <w:tblBorders>
          <w:top w:val="single" w:sz="4" w:space="0" w:color="939598"/>
          <w:left w:val="single" w:sz="4" w:space="0" w:color="939598"/>
          <w:bottom w:val="single" w:sz="4" w:space="0" w:color="939598"/>
          <w:right w:val="single" w:sz="4" w:space="0" w:color="939598"/>
          <w:insideH w:val="single" w:sz="4" w:space="0" w:color="939598"/>
          <w:insideV w:val="single" w:sz="4" w:space="0" w:color="939598"/>
        </w:tblBorders>
        <w:tblLayout w:type="fixed"/>
        <w:tblCellMar>
          <w:top w:w="57" w:type="dxa"/>
          <w:left w:w="100" w:type="dxa"/>
          <w:bottom w:w="57" w:type="dxa"/>
          <w:right w:w="100" w:type="dxa"/>
        </w:tblCellMar>
        <w:tblLook w:firstRow="1" w:lastRow="0" w:firstColumn="0" w:lastColumn="0" w:noHBand="0" w:noVBand="0" w:val="0020"/>
      </w:tblPr>
      <w:tblGrid>
        <w:gridCol w:w="2150"/>
        <w:gridCol w:w="2472"/>
        <w:gridCol w:w="4404"/>
      </w:tblGrid>
      <w:tr>
        <w:trPr>
          <w:tblHeader w:val="true"/>
          <w:tblHeader/>
        </w:trPr>
        <w:tc>
          <w:tcPr>
            <w:tcW w:w="2150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Модуль Breww</w:t>
            </w:r>
          </w:p>
        </w:tc>
        <w:tc>
          <w:tcPr>
            <w:tcW w:w="2472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Что делает</w:t>
            </w:r>
          </w:p>
        </w:tc>
        <w:tc>
          <w:tcPr>
            <w:tcW w:w="4404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DataVest Brew</w:t>
            </w:r>
          </w:p>
        </w:tc>
      </w:tr>
      <w:tr>
        <w:trPr/>
        <w:tc>
          <w:tcPr>
            <w:tcW w:w="215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Cleaning &amp; Maintenance (CIP)</w:t>
            </w:r>
          </w:p>
        </w:tc>
        <w:tc>
          <w:tcPr>
            <w:tcW w:w="2472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Журнал санитарии</w:t>
            </w:r>
          </w:p>
        </w:tc>
        <w:tc>
          <w:tcPr>
            <w:tcW w:w="440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Журнал и график CIP по найденной смене сред; моющее средство по QR или из архива</w:t>
            </w:r>
          </w:p>
        </w:tc>
      </w:tr>
      <w:tr>
        <w:trPr/>
        <w:tc>
          <w:tcPr>
            <w:tcW w:w="215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Beer Duty</w:t>
            </w:r>
          </w:p>
        </w:tc>
        <w:tc>
          <w:tcPr>
            <w:tcW w:w="2472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Расчёт налогов и акциза</w:t>
            </w:r>
          </w:p>
        </w:tc>
        <w:tc>
          <w:tcPr>
            <w:tcW w:w="440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Есть, по объёмам и крепости из производства</w:t>
            </w:r>
          </w:p>
        </w:tc>
      </w:tr>
      <w:tr>
        <w:trPr/>
        <w:tc>
          <w:tcPr>
            <w:tcW w:w="215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Одобрение фасовки</w:t>
            </w:r>
          </w:p>
        </w:tc>
        <w:tc>
          <w:tcPr>
            <w:tcW w:w="2472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Разрешение после проверки качества</w:t>
            </w:r>
          </w:p>
        </w:tc>
        <w:tc>
          <w:tcPr>
            <w:tcW w:w="440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Есть, по данным лаборатории и датчиков</w:t>
            </w:r>
          </w:p>
        </w:tc>
      </w:tr>
      <w:tr>
        <w:trPr/>
        <w:tc>
          <w:tcPr>
            <w:tcW w:w="215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Технологические карты</w:t>
            </w:r>
          </w:p>
        </w:tc>
        <w:tc>
          <w:tcPr>
            <w:tcW w:w="2472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Нормы сырья, порядок этапов</w:t>
            </w:r>
          </w:p>
        </w:tc>
        <w:tc>
          <w:tcPr>
            <w:tcW w:w="440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Есть</w:t>
            </w:r>
          </w:p>
        </w:tc>
      </w:tr>
      <w:tr>
        <w:trPr/>
        <w:tc>
          <w:tcPr>
            <w:tcW w:w="215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Planning and Batches</w:t>
            </w:r>
          </w:p>
        </w:tc>
        <w:tc>
          <w:tcPr>
            <w:tcW w:w="2472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План на календаре</w:t>
            </w:r>
          </w:p>
        </w:tc>
        <w:tc>
          <w:tcPr>
            <w:tcW w:w="440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Этап 2: планирование с ИИ (APS), которое само пересчитывает цепочку при сдвиге</w:t>
            </w:r>
          </w:p>
        </w:tc>
      </w:tr>
      <w:tr>
        <w:trPr/>
        <w:tc>
          <w:tcPr>
            <w:tcW w:w="215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Vessel &amp; Fermentation</w:t>
            </w:r>
          </w:p>
        </w:tc>
        <w:tc>
          <w:tcPr>
            <w:tcW w:w="2472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Танки и брожение</w:t>
            </w:r>
          </w:p>
        </w:tc>
        <w:tc>
          <w:tcPr>
            <w:tcW w:w="440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Есть, на данных датчиков</w:t>
            </w:r>
          </w:p>
        </w:tc>
      </w:tr>
      <w:tr>
        <w:trPr/>
        <w:tc>
          <w:tcPr>
            <w:tcW w:w="215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Packaging</w:t>
            </w:r>
          </w:p>
        </w:tc>
        <w:tc>
          <w:tcPr>
            <w:tcW w:w="2472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Розлив</w:t>
            </w:r>
          </w:p>
        </w:tc>
        <w:tc>
          <w:tcPr>
            <w:tcW w:w="440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Одобрение розлива в MVP; учёт розлива позже</w:t>
            </w:r>
          </w:p>
        </w:tc>
      </w:tr>
      <w:tr>
        <w:trPr/>
        <w:tc>
          <w:tcPr>
            <w:tcW w:w="215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Production Tasks</w:t>
            </w:r>
          </w:p>
        </w:tc>
        <w:tc>
          <w:tcPr>
            <w:tcW w:w="2472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Задачи</w:t>
            </w:r>
          </w:p>
        </w:tc>
        <w:tc>
          <w:tcPr>
            <w:tcW w:w="440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Есть</w:t>
            </w:r>
          </w:p>
        </w:tc>
      </w:tr>
      <w:tr>
        <w:trPr/>
        <w:tc>
          <w:tcPr>
            <w:tcW w:w="215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Reporting</w:t>
            </w:r>
          </w:p>
        </w:tc>
        <w:tc>
          <w:tcPr>
            <w:tcW w:w="2472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Отчёты</w:t>
            </w:r>
          </w:p>
        </w:tc>
        <w:tc>
          <w:tcPr>
            <w:tcW w:w="440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Есть</w:t>
            </w:r>
          </w:p>
        </w:tc>
      </w:tr>
    </w:tbl>
    <w:p>
      <w:pPr>
        <w:pStyle w:val="BodyText"/>
      </w:pPr>
      <w:r>
        <w:rPr>
          <w:bCs/>
          <w:b/>
        </w:rPr>
        <w:t xml:space="preserve">Где DataVest Brew сильнее Breww: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Промышленная интеграция:</w:t>
      </w:r>
      <w:r>
        <w:t xml:space="preserve"> </w:t>
      </w:r>
      <w:r>
        <w:t xml:space="preserve">у Breww нет полноценной интеграции по Modbus TCP, Profinet или OPC UA.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Лаборатория:</w:t>
      </w:r>
      <w:r>
        <w:t xml:space="preserve"> </w:t>
      </w:r>
      <w:r>
        <w:t xml:space="preserve">в Breww контроль качества — это чек-листы и поля «пройдено / не пройдено», без генераций дрожжей, посевов, ПЦР и слепых панелей.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Планирование:</w:t>
      </w:r>
      <w:r>
        <w:t xml:space="preserve"> </w:t>
      </w:r>
      <w:r>
        <w:t xml:space="preserve">календарь Breww линейный; если брожение затянулось, пивовар перестраивает план вручную.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Прогнозы:</w:t>
      </w:r>
      <w:r>
        <w:t xml:space="preserve"> </w:t>
      </w:r>
      <w:r>
        <w:t xml:space="preserve">готовность и отклонения по данным датчиков.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Широта:</w:t>
      </w:r>
      <w:r>
        <w:t xml:space="preserve"> </w:t>
      </w:r>
      <w:r>
        <w:t xml:space="preserve">Breww привязан к пиву; DataVest Brew можно расширить на другие производства на брожении.</w:t>
      </w:r>
    </w:p>
    <w:tbl>
      <w:tblPr>
        <w:tblW w:w="9026" w:type="dxa"/>
        <w:tblBorders>
          <w:top w:val="single" w:sz="4" w:space="0" w:color="939598"/>
          <w:left w:val="single" w:sz="4" w:space="0" w:color="939598"/>
          <w:bottom w:val="single" w:sz="4" w:space="0" w:color="939598"/>
          <w:right w:val="single" w:sz="4" w:space="0" w:color="939598"/>
          <w:insideH w:val="single" w:sz="4" w:space="0" w:color="939598"/>
          <w:insideV w:val="single" w:sz="4" w:space="0" w:color="939598"/>
        </w:tblBorders>
        <w:tblLayout w:type="fixed"/>
        <w:tblCellMar>
          <w:top w:w="57" w:type="dxa"/>
          <w:left w:w="100" w:type="dxa"/>
          <w:bottom w:w="57" w:type="dxa"/>
          <w:right w:w="100" w:type="dxa"/>
        </w:tblCellMar>
        <w:tblLook w:firstRow="1" w:lastRow="0" w:firstColumn="0" w:lastColumn="0" w:noHBand="0" w:noVBand="0" w:val="0020"/>
      </w:tblPr>
      <w:tblGrid>
        <w:gridCol w:w="1337"/>
        <w:gridCol w:w="2872"/>
        <w:gridCol w:w="2711"/>
        <w:gridCol w:w="2106"/>
      </w:tblGrid>
      <w:tr>
        <w:trPr>
          <w:tblHeader w:val="true"/>
          <w:tblHeader/>
        </w:trPr>
        <w:tc>
          <w:tcPr>
            <w:tcW w:w="1337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Что сравниваем</w:t>
            </w:r>
          </w:p>
        </w:tc>
        <w:tc>
          <w:tcPr>
            <w:tcW w:w="2872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DataVest Brew</w:t>
            </w:r>
          </w:p>
        </w:tc>
        <w:tc>
          <w:tcPr>
            <w:tcW w:w="2711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Breww</w:t>
            </w:r>
          </w:p>
        </w:tc>
        <w:tc>
          <w:tcPr>
            <w:tcW w:w="2106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PLAATO</w:t>
            </w:r>
          </w:p>
        </w:tc>
      </w:tr>
      <w:tr>
        <w:trPr/>
        <w:tc>
          <w:tcPr>
            <w:tcW w:w="133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Что это</w:t>
            </w:r>
          </w:p>
        </w:tc>
        <w:tc>
          <w:tcPr>
            <w:tcW w:w="2872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MES для производства</w:t>
            </w:r>
          </w:p>
        </w:tc>
        <w:tc>
          <w:tcPr>
            <w:tcW w:w="271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ERP</w:t>
            </w:r>
          </w:p>
        </w:tc>
        <w:tc>
          <w:tcPr>
            <w:tcW w:w="210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Свои датчики и аналитика</w:t>
            </w:r>
          </w:p>
        </w:tc>
      </w:tr>
      <w:tr>
        <w:trPr/>
        <w:tc>
          <w:tcPr>
            <w:tcW w:w="133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Оборудование</w:t>
            </w:r>
          </w:p>
        </w:tc>
        <w:tc>
          <w:tcPr>
            <w:tcW w:w="2872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Датчики E+H; ПЛК по OPC UA, Modbus TCP, Profinet</w:t>
            </w:r>
          </w:p>
        </w:tc>
        <w:tc>
          <w:tcPr>
            <w:tcW w:w="271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Plaato, Tilt, TankNet; промышленных протоколов нет</w:t>
            </w:r>
          </w:p>
        </w:tc>
        <w:tc>
          <w:tcPr>
            <w:tcW w:w="210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Свои датчики плотности и температуры</w:t>
            </w:r>
          </w:p>
        </w:tc>
      </w:tr>
      <w:tr>
        <w:trPr/>
        <w:tc>
          <w:tcPr>
            <w:tcW w:w="133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Лаборатория</w:t>
            </w:r>
          </w:p>
        </w:tc>
        <w:tc>
          <w:tcPr>
            <w:tcW w:w="2872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LIMS: дрожжи, посевы, ПЦР, слепые панели</w:t>
            </w:r>
          </w:p>
        </w:tc>
        <w:tc>
          <w:tcPr>
            <w:tcW w:w="271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Чек-листы «пройдено / не пройдено»</w:t>
            </w:r>
          </w:p>
        </w:tc>
        <w:tc>
          <w:tcPr>
            <w:tcW w:w="210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Заявлен приём из лабораторных систем</w:t>
            </w:r>
          </w:p>
        </w:tc>
      </w:tr>
      <w:tr>
        <w:trPr/>
        <w:tc>
          <w:tcPr>
            <w:tcW w:w="133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Производство</w:t>
            </w:r>
          </w:p>
        </w:tc>
        <w:tc>
          <w:tcPr>
            <w:tcW w:w="2872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CIP с автоопределением, задачи, розлив, техкарты, акциз</w:t>
            </w:r>
          </w:p>
        </w:tc>
        <w:tc>
          <w:tcPr>
            <w:tcW w:w="271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CIP, задачи, фасовка, техкарты, акциз, планирование</w:t>
            </w:r>
          </w:p>
        </w:tc>
        <w:tc>
          <w:tcPr>
            <w:tcW w:w="210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Нет данных</w:t>
            </w:r>
          </w:p>
        </w:tc>
      </w:tr>
      <w:tr>
        <w:trPr/>
        <w:tc>
          <w:tcPr>
            <w:tcW w:w="133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Прогнозы</w:t>
            </w:r>
          </w:p>
        </w:tc>
        <w:tc>
          <w:tcPr>
            <w:tcW w:w="2872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Готовность и отклонения; вкус позже</w:t>
            </w:r>
          </w:p>
        </w:tc>
        <w:tc>
          <w:tcPr>
            <w:tcW w:w="271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Кривые; прогноза не нашли</w:t>
            </w:r>
          </w:p>
        </w:tc>
        <w:tc>
          <w:tcPr>
            <w:tcW w:w="210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Заявлено обнаружение отклонений</w:t>
            </w:r>
          </w:p>
        </w:tc>
      </w:tr>
      <w:tr>
        <w:trPr/>
        <w:tc>
          <w:tcPr>
            <w:tcW w:w="133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Точность датчиков</w:t>
            </w:r>
          </w:p>
        </w:tc>
        <w:tc>
          <w:tcPr>
            <w:tcW w:w="2872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Журналы Offset и проверок, анализ по парку</w:t>
            </w:r>
          </w:p>
        </w:tc>
        <w:tc>
          <w:tcPr>
            <w:tcW w:w="271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Нет данных</w:t>
            </w:r>
          </w:p>
        </w:tc>
        <w:tc>
          <w:tcPr>
            <w:tcW w:w="210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Заявлено обнаружение дрейфа</w:t>
            </w:r>
          </w:p>
        </w:tc>
      </w:tr>
      <w:tr>
        <w:trPr/>
        <w:tc>
          <w:tcPr>
            <w:tcW w:w="133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Отчёты</w:t>
            </w:r>
          </w:p>
        </w:tc>
        <w:tc>
          <w:tcPr>
            <w:tcW w:w="2872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Есть</w:t>
            </w:r>
          </w:p>
        </w:tc>
        <w:tc>
          <w:tcPr>
            <w:tcW w:w="271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Есть</w:t>
            </w:r>
          </w:p>
        </w:tc>
        <w:tc>
          <w:tcPr>
            <w:tcW w:w="210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Нет данных</w:t>
            </w:r>
          </w:p>
        </w:tc>
      </w:tr>
      <w:tr>
        <w:trPr/>
        <w:tc>
          <w:tcPr>
            <w:tcW w:w="133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ИИ</w:t>
            </w:r>
          </w:p>
        </w:tc>
        <w:tc>
          <w:tcPr>
            <w:tcW w:w="2872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Прогнозы и помощник со ссылками</w:t>
            </w:r>
          </w:p>
        </w:tc>
        <w:tc>
          <w:tcPr>
            <w:tcW w:w="271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Бесплатный доступ через MCP</w:t>
            </w:r>
          </w:p>
        </w:tc>
        <w:tc>
          <w:tcPr>
            <w:tcW w:w="210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Copilot</w:t>
            </w:r>
          </w:p>
        </w:tc>
      </w:tr>
      <w:tr>
        <w:trPr/>
        <w:tc>
          <w:tcPr>
            <w:tcW w:w="133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Цены</w:t>
            </w:r>
          </w:p>
        </w:tc>
        <w:tc>
          <w:tcPr>
            <w:tcW w:w="2872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Открытые тарифы по модулям</w:t>
            </w:r>
          </w:p>
        </w:tc>
        <w:tc>
          <w:tcPr>
            <w:tcW w:w="271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Платная подписка, цены на сайте</w:t>
            </w:r>
          </w:p>
        </w:tc>
        <w:tc>
          <w:tcPr>
            <w:tcW w:w="210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По запросу</w:t>
            </w:r>
          </w:p>
        </w:tc>
      </w:tr>
    </w:tbl>
    <w:bookmarkEnd w:id="27"/>
    <w:bookmarkEnd w:id="28"/>
    <w:bookmarkStart w:id="30" w:name="ценностные-предложения"/>
    <w:p>
      <w:pPr>
        <w:pStyle w:val="Heading2"/>
      </w:pPr>
      <w:r>
        <w:t xml:space="preserve">Ценностные предложения</w:t>
      </w:r>
    </w:p>
    <w:tbl>
      <w:tblPr>
        <w:tblW w:w="9026" w:type="dxa"/>
        <w:tblBorders>
          <w:top w:val="single" w:sz="4" w:space="0" w:color="939598"/>
          <w:left w:val="single" w:sz="4" w:space="0" w:color="939598"/>
          <w:bottom w:val="single" w:sz="4" w:space="0" w:color="939598"/>
          <w:right w:val="single" w:sz="4" w:space="0" w:color="939598"/>
          <w:insideH w:val="single" w:sz="4" w:space="0" w:color="939598"/>
          <w:insideV w:val="single" w:sz="4" w:space="0" w:color="939598"/>
        </w:tblBorders>
        <w:tblLayout w:type="fixed"/>
        <w:tblCellMar>
          <w:top w:w="57" w:type="dxa"/>
          <w:left w:w="100" w:type="dxa"/>
          <w:bottom w:w="57" w:type="dxa"/>
          <w:right w:w="100" w:type="dxa"/>
        </w:tblCellMar>
        <w:tblLook w:firstRow="1" w:lastRow="0" w:firstColumn="0" w:lastColumn="0" w:noHBand="0" w:noVBand="0" w:val="0020"/>
      </w:tblPr>
      <w:tblGrid>
        <w:gridCol w:w="979"/>
        <w:gridCol w:w="1746"/>
        <w:gridCol w:w="2185"/>
        <w:gridCol w:w="3208"/>
        <w:gridCol w:w="908"/>
      </w:tblGrid>
      <w:tr>
        <w:trPr>
          <w:tblHeader w:val="true"/>
          <w:tblHeader/>
        </w:trPr>
        <w:tc>
          <w:tcPr>
            <w:tcW w:w="979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Приоритет</w:t>
            </w:r>
          </w:p>
        </w:tc>
        <w:tc>
          <w:tcPr>
            <w:tcW w:w="1746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Предложение</w:t>
            </w:r>
          </w:p>
        </w:tc>
        <w:tc>
          <w:tcPr>
            <w:tcW w:w="2185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Покупатель</w:t>
            </w:r>
          </w:p>
        </w:tc>
        <w:tc>
          <w:tcPr>
            <w:tcW w:w="3208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Что даёт платформа</w:t>
            </w:r>
          </w:p>
        </w:tc>
        <w:tc>
          <w:tcPr>
            <w:tcW w:w="908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Модули</w:t>
            </w:r>
          </w:p>
        </w:tc>
      </w:tr>
      <w:tr>
        <w:trPr/>
        <w:tc>
          <w:tcPr>
            <w:tcW w:w="97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1</w:t>
            </w:r>
          </w:p>
        </w:tc>
        <w:tc>
          <w:tcPr>
            <w:tcW w:w="174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Интеграция «из коробки»</w:t>
            </w:r>
          </w:p>
        </w:tc>
        <w:tc>
          <w:tcPr>
            <w:tcW w:w="218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Пивоварни с ПЛК на танках и датчиками E+H</w:t>
            </w:r>
          </w:p>
        </w:tc>
        <w:tc>
          <w:tcPr>
            <w:tcW w:w="3208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Подключение по OPC UA, Modbus TCP, Profinet и датчиков E+H без интегратора</w:t>
            </w:r>
          </w:p>
        </w:tc>
        <w:tc>
          <w:tcPr>
            <w:tcW w:w="908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2</w:t>
            </w:r>
          </w:p>
        </w:tc>
      </w:tr>
      <w:tr>
        <w:trPr/>
        <w:tc>
          <w:tcPr>
            <w:tcW w:w="97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2</w:t>
            </w:r>
          </w:p>
        </w:tc>
        <w:tc>
          <w:tcPr>
            <w:tcW w:w="174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Лаборатория уровня LIMS</w:t>
            </w:r>
          </w:p>
        </w:tc>
        <w:tc>
          <w:tcPr>
            <w:tcW w:w="218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Средние и крупные пивоварни</w:t>
            </w:r>
          </w:p>
        </w:tc>
        <w:tc>
          <w:tcPr>
            <w:tcW w:w="3208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Генерации и жизнеспособность дрожжей, посевы, ПЦР, слепые панели, отслеживание штаммов</w:t>
            </w:r>
          </w:p>
        </w:tc>
        <w:tc>
          <w:tcPr>
            <w:tcW w:w="908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3</w:t>
            </w:r>
          </w:p>
        </w:tc>
      </w:tr>
      <w:tr>
        <w:trPr/>
        <w:tc>
          <w:tcPr>
            <w:tcW w:w="97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3</w:t>
            </w:r>
          </w:p>
        </w:tc>
        <w:tc>
          <w:tcPr>
            <w:tcW w:w="174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MES с оповещениями</w:t>
            </w:r>
          </w:p>
        </w:tc>
        <w:tc>
          <w:tcPr>
            <w:tcW w:w="218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Руководители производства, сотрудники цеха</w:t>
            </w:r>
          </w:p>
        </w:tc>
        <w:tc>
          <w:tcPr>
            <w:tcW w:w="3208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Журнал и график CIP, задачи, одобрение розлива, техкарты, акциз</w:t>
            </w:r>
          </w:p>
        </w:tc>
        <w:tc>
          <w:tcPr>
            <w:tcW w:w="908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1, 4, 6</w:t>
            </w:r>
          </w:p>
        </w:tc>
      </w:tr>
      <w:tr>
        <w:trPr/>
        <w:tc>
          <w:tcPr>
            <w:tcW w:w="97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4</w:t>
            </w:r>
          </w:p>
        </w:tc>
        <w:tc>
          <w:tcPr>
            <w:tcW w:w="174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Прогнозы на накопленных данных</w:t>
            </w:r>
          </w:p>
        </w:tc>
        <w:tc>
          <w:tcPr>
            <w:tcW w:w="218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Главные пивовары</w:t>
            </w:r>
          </w:p>
        </w:tc>
        <w:tc>
          <w:tcPr>
            <w:tcW w:w="3208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Прогноз готовности с диапазоном, анализ отклонений; прогноз вкуса позже</w:t>
            </w:r>
          </w:p>
        </w:tc>
        <w:tc>
          <w:tcPr>
            <w:tcW w:w="908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5</w:t>
            </w:r>
          </w:p>
        </w:tc>
      </w:tr>
      <w:tr>
        <w:trPr/>
        <w:tc>
          <w:tcPr>
            <w:tcW w:w="97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5</w:t>
            </w:r>
          </w:p>
        </w:tc>
        <w:tc>
          <w:tcPr>
            <w:tcW w:w="174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Сервис точности датчиков</w:t>
            </w:r>
          </w:p>
        </w:tc>
        <w:tc>
          <w:tcPr>
            <w:tcW w:w="218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Технологи; инженеры E+H</w:t>
            </w:r>
          </w:p>
        </w:tc>
        <w:tc>
          <w:tcPr>
            <w:tcW w:w="3208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Журналы Offset и проверок, рекомендуемые интервалы, анализ точности по парку</w:t>
            </w:r>
          </w:p>
        </w:tc>
        <w:tc>
          <w:tcPr>
            <w:tcW w:w="908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2</w:t>
            </w:r>
          </w:p>
        </w:tc>
      </w:tr>
    </w:tbl>
    <w:p>
      <w:pPr>
        <w:pStyle w:val="BodyText"/>
      </w:pPr>
      <w:r>
        <w:rPr>
          <w:bCs/>
          <w:b/>
        </w:rPr>
        <w:t xml:space="preserve">Базовые функции:</w:t>
      </w:r>
      <w:r>
        <w:t xml:space="preserve"> </w:t>
      </w:r>
      <w:r>
        <w:t xml:space="preserve">экран танков, отчёты, документ качества на партию, профили лимитов. Безалкогольное пиво — один из профилей; малые пивоварни производят его редко.</w:t>
      </w:r>
    </w:p>
    <w:p>
      <w:pPr>
        <w:pStyle w:val="BodyText"/>
      </w:pPr>
      <w:r>
        <w:rPr>
          <w:bCs/>
          <w:b/>
        </w:rPr>
        <w:t xml:space="preserve">Позже:</w:t>
      </w:r>
      <w:r>
        <w:t xml:space="preserve"> </w:t>
      </w:r>
      <w:r>
        <w:t xml:space="preserve">планирование с ИИ (APS), другие производства на брожении, датчики других марок, площадки одной компании, прогноз вкуса, рекомендации по рецептуре.</w:t>
      </w:r>
    </w:p>
    <w:bookmarkStart w:id="29" w:name="регуляторная-база"/>
    <w:p>
      <w:pPr>
        <w:pStyle w:val="Heading3"/>
      </w:pPr>
      <w:r>
        <w:t xml:space="preserve">Регуляторная база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ЕС, этикетка:</w:t>
      </w:r>
      <w:r>
        <w:t xml:space="preserve"> </w:t>
      </w:r>
      <w:r>
        <w:t xml:space="preserve">для напитков крепче 1,2% крепость указывается; допуск для пива до 5,5% — ±0,5% об., крепче — ±1% об. (Регламент ЕС 1169/2011, приложение XII).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США:</w:t>
      </w:r>
      <w:r>
        <w:t xml:space="preserve"> </w:t>
      </w:r>
      <w:r>
        <w:t xml:space="preserve">пиво регулирует TTB, пищевую безопасность — FDA. Допуск на этикетке — ±0,3% об. Отчёт о производстве в TTB подают ежемесячно при объёме от 10 000 баррелей в год; малые пивоварни — ежеквартально.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Акциз:</w:t>
      </w:r>
      <w:r>
        <w:t xml:space="preserve"> </w:t>
      </w:r>
      <w:r>
        <w:t xml:space="preserve">в некоторых странах ЕС акциз на пиво считают по начальному экстракту (градусам Плато), который измеряет QWX43. Первую юрисдикцию для акциза выбираем на этапе 0.</w:t>
      </w:r>
    </w:p>
    <w:p>
      <w:pPr>
        <w:pStyle w:val="FirstParagraph"/>
      </w:pPr>
      <w:r>
        <w:t xml:space="preserve">Результаты по соответствию — поддержка решений, а не сертификация: в каждом документе качества указаны лабораторные результаты и подписант.</w:t>
      </w:r>
    </w:p>
    <w:bookmarkEnd w:id="29"/>
    <w:bookmarkEnd w:id="30"/>
    <w:bookmarkStart w:id="35" w:name="продукт-шесть-модулей"/>
    <w:p>
      <w:pPr>
        <w:pStyle w:val="Heading2"/>
      </w:pPr>
      <w:r>
        <w:t xml:space="preserve">Продукт: шесть модулей</w:t>
      </w:r>
    </w:p>
    <w:p>
      <w:pPr>
        <w:pStyle w:val="CaptionedFigure"/>
        <w:keepNext/>
        <w:spacing w:line="240" w:lineRule="auto"/>
        <w:jc w:val="center"/>
      </w:pPr>
      <w:r>
        <w:drawing>
          <wp:inline>
            <wp:extent cx="5334000" cy="3079750"/>
            <wp:effectExtent b="0" l="0" r="0" t="0"/>
            <wp:docPr descr="Рисунок 2. Продукт — шесть модулей на общей платформе" title="" id="32" name="Picture"/>
            <a:graphic>
              <a:graphicData uri="http://schemas.openxmlformats.org/drawingml/2006/picture">
                <pic:pic>
                  <pic:nvPicPr>
                    <pic:cNvPr descr="iarru-00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9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 Продукт — шесть модулей на общей платформе</w:t>
      </w:r>
    </w:p>
    <w:tbl>
      <w:tblPr>
        <w:tblW w:w="9026" w:type="dxa"/>
        <w:tblBorders>
          <w:top w:val="single" w:sz="4" w:space="0" w:color="939598"/>
          <w:left w:val="single" w:sz="4" w:space="0" w:color="939598"/>
          <w:bottom w:val="single" w:sz="4" w:space="0" w:color="939598"/>
          <w:right w:val="single" w:sz="4" w:space="0" w:color="939598"/>
          <w:insideH w:val="single" w:sz="4" w:space="0" w:color="939598"/>
          <w:insideV w:val="single" w:sz="4" w:space="0" w:color="939598"/>
        </w:tblBorders>
        <w:tblLayout w:type="fixed"/>
        <w:tblCellMar>
          <w:top w:w="57" w:type="dxa"/>
          <w:left w:w="100" w:type="dxa"/>
          <w:bottom w:w="57" w:type="dxa"/>
          <w:right w:w="100" w:type="dxa"/>
        </w:tblCellMar>
        <w:tblLook w:firstRow="1" w:lastRow="0" w:firstColumn="0" w:lastColumn="0" w:noHBand="0" w:noVBand="0" w:val="0020"/>
      </w:tblPr>
      <w:tblGrid>
        <w:gridCol w:w="1653"/>
        <w:gridCol w:w="2844"/>
        <w:gridCol w:w="2844"/>
        <w:gridCol w:w="1685"/>
      </w:tblGrid>
      <w:tr>
        <w:trPr>
          <w:tblHeader w:val="true"/>
          <w:tblHeader/>
        </w:trPr>
        <w:tc>
          <w:tcPr>
            <w:tcW w:w="1653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Модуль</w:t>
            </w:r>
          </w:p>
        </w:tc>
        <w:tc>
          <w:tcPr>
            <w:tcW w:w="2844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Функции</w:t>
            </w:r>
          </w:p>
        </w:tc>
        <w:tc>
          <w:tcPr>
            <w:tcW w:w="2844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Технические компоненты</w:t>
            </w:r>
          </w:p>
        </w:tc>
        <w:tc>
          <w:tcPr>
            <w:tcW w:w="1685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Выпуск</w:t>
            </w:r>
          </w:p>
        </w:tc>
      </w:tr>
      <w:tr>
        <w:trPr/>
        <w:tc>
          <w:tcPr>
            <w:tcW w:w="165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1. Партии и техкарты</w:t>
            </w:r>
          </w:p>
        </w:tc>
        <w:tc>
          <w:tcPr>
            <w:tcW w:w="284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Партия, рецептура и техкарта (нормы сырья, этапы: варка, брожение, сухое охмеление); количество сырья и партии поставщика; архив сырья и типовых компонентов; заполнение по QR; проверка ошибок; партия открывается по найденному заполнению</w:t>
            </w:r>
          </w:p>
        </w:tc>
        <w:tc>
          <w:tcPr>
            <w:tcW w:w="284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Модель данных, движок контекста партии, сервис техкарт</w:t>
            </w:r>
          </w:p>
        </w:tc>
        <w:tc>
          <w:tcPr>
            <w:tcW w:w="168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1А</w:t>
            </w:r>
          </w:p>
        </w:tc>
      </w:tr>
      <w:tr>
        <w:trPr/>
        <w:tc>
          <w:tcPr>
            <w:tcW w:w="165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2. Датчики и интеграция</w:t>
            </w:r>
          </w:p>
        </w:tc>
        <w:tc>
          <w:tcPr>
            <w:tcW w:w="284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QWX43 через Netilion; датчики E+H pH, кислорода и CO₂ через систему E+H; ПЛК по OPC UA и Modbus TCP (1А) и Profinet (1Б); показания онлайн; журнал Offset с формой эталонного сусла; журнал проверок точности (воздух, дистиллированная вода) с напоминаниями; определение смены сред; рекомендации по замене для датчиков с расходными частями</w:t>
            </w:r>
          </w:p>
        </w:tc>
        <w:tc>
          <w:tcPr>
            <w:tcW w:w="284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Хаб подключений, edge-шлюз, драйверы протоколов, сервис точности датчиков</w:t>
            </w:r>
          </w:p>
        </w:tc>
        <w:tc>
          <w:tcPr>
            <w:tcW w:w="168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1А, 1Б</w:t>
            </w:r>
          </w:p>
        </w:tc>
      </w:tr>
      <w:tr>
        <w:trPr/>
        <w:tc>
          <w:tcPr>
            <w:tcW w:w="165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3. Лаборатория и качество (LIMS)</w:t>
            </w:r>
          </w:p>
        </w:tc>
        <w:tc>
          <w:tcPr>
            <w:tcW w:w="284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Штаммы, генерации, концентрация клеток и графики жизнеспособности дрожжей; физико-химические результаты; журналы посевов и ПЦР; слепые дегустационные панели; спецификации и отметки о несоответствии; результаты внешней лаборатории</w:t>
            </w:r>
          </w:p>
        </w:tc>
        <w:tc>
          <w:tcPr>
            <w:tcW w:w="284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Сервис LIMS</w:t>
            </w:r>
          </w:p>
        </w:tc>
        <w:tc>
          <w:tcPr>
            <w:tcW w:w="168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Основа 1А; посевы, ПЦР, панели 1Б</w:t>
            </w:r>
          </w:p>
        </w:tc>
      </w:tr>
      <w:tr>
        <w:trPr/>
        <w:tc>
          <w:tcPr>
            <w:tcW w:w="165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4. Производство (MES)</w:t>
            </w:r>
          </w:p>
        </w:tc>
        <w:tc>
          <w:tcPr>
            <w:tcW w:w="284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Журнал и график CIP по найденной смене сред, моющее средство по QR или из архива; производственные задачи; одобрение розлива ответственным; оповещения</w:t>
            </w:r>
          </w:p>
        </w:tc>
        <w:tc>
          <w:tcPr>
            <w:tcW w:w="284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Сервис MES, движок оповещений</w:t>
            </w:r>
          </w:p>
        </w:tc>
        <w:tc>
          <w:tcPr>
            <w:tcW w:w="168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CIP 1А; задачи и розлив 1Б</w:t>
            </w:r>
          </w:p>
        </w:tc>
      </w:tr>
      <w:tr>
        <w:trPr/>
        <w:tc>
          <w:tcPr>
            <w:tcW w:w="165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5. Аналитика и ИИ</w:t>
            </w:r>
          </w:p>
        </w:tc>
        <w:tc>
          <w:tcPr>
            <w:tcW w:w="284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Стадии, лаг-фаза и остановки; прогноз готовности с диапазоном; анализ отклонений, который отличает запрограммированные температурные паузы от сбоев; сравнение партий одного рецепта; ассистент только на чтение со ссылками</w:t>
            </w:r>
          </w:p>
        </w:tc>
        <w:tc>
          <w:tcPr>
            <w:tcW w:w="284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Аналитика брожения, аналитика, ассистент и MCP-сервер</w:t>
            </w:r>
          </w:p>
        </w:tc>
        <w:tc>
          <w:tcPr>
            <w:tcW w:w="168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1А</w:t>
            </w:r>
          </w:p>
        </w:tc>
      </w:tr>
      <w:tr>
        <w:trPr/>
        <w:tc>
          <w:tcPr>
            <w:tcW w:w="165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6. Отчёты и соответствие</w:t>
            </w:r>
          </w:p>
        </w:tc>
        <w:tc>
          <w:tcPr>
            <w:tcW w:w="284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Отчёты о качестве; документ качества на партию; расчёт акциза и выгрузка декларации; профили лимитов; журнал аудита</w:t>
            </w:r>
          </w:p>
        </w:tc>
        <w:tc>
          <w:tcPr>
            <w:tcW w:w="284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Отчёты, профили соответствия, движок акциза</w:t>
            </w:r>
          </w:p>
        </w:tc>
        <w:tc>
          <w:tcPr>
            <w:tcW w:w="168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Отчёты 1А; акциз 1Б</w:t>
            </w:r>
          </w:p>
        </w:tc>
      </w:tr>
      <w:tr>
        <w:trPr/>
        <w:tc>
          <w:tcPr>
            <w:tcW w:w="165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Платформа</w:t>
            </w:r>
          </w:p>
        </w:tc>
        <w:tc>
          <w:tcPr>
            <w:tcW w:w="284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Самостоятельная регистрация, пользователи и роли, тарифы по модулям, изоляция данных, шаблоны процессов</w:t>
            </w:r>
          </w:p>
        </w:tc>
        <w:tc>
          <w:tcPr>
            <w:tcW w:w="284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Арендаторы, идентификация, движок шаблонов</w:t>
            </w:r>
          </w:p>
        </w:tc>
        <w:tc>
          <w:tcPr>
            <w:tcW w:w="168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1А</w:t>
            </w:r>
          </w:p>
        </w:tc>
      </w:tr>
    </w:tbl>
    <w:bookmarkStart w:id="34" w:name="ключевые-функции"/>
    <w:p>
      <w:pPr>
        <w:pStyle w:val="Heading3"/>
      </w:pPr>
      <w:r>
        <w:t xml:space="preserve">Ключевые функции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Определение смены сред.</w:t>
      </w:r>
      <w:r>
        <w:t xml:space="preserve"> </w:t>
      </w:r>
      <w:r>
        <w:t xml:space="preserve">Резкое изменение скорости звука показывает переход между пивом, водой и моющим раствором. Система сама открывает и закрывает партии и записывает события CIP; оператору остаётся подтвердить моющее средство.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Температурные паузы и сбои.</w:t>
      </w:r>
      <w:r>
        <w:t xml:space="preserve"> </w:t>
      </w:r>
      <w:r>
        <w:t xml:space="preserve">Техкарта задаёт запрограммированные температурные шаги, поэтому правила отклонений сравнивают показания с плановым профилем, а не с фиксированным коридором.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Offset и точность.</w:t>
      </w:r>
      <w:r>
        <w:t xml:space="preserve"> </w:t>
      </w:r>
      <w:r>
        <w:t xml:space="preserve">Offset — плановая юстировка, предупреждений о нём нет. Проверки по воздуху и дистиллированной воде отслеживаются с рекомендуемыми интервалами. Расхождение датчика и лаборатории сверх допуска снижает оценку доверия к показаниям.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Анализ точности по парку.</w:t>
      </w:r>
      <w:r>
        <w:t xml:space="preserve"> </w:t>
      </w:r>
      <w:r>
        <w:t xml:space="preserve">С согласия пивоварен обезличенные результаты проверок и Offset сводятся в отчёт о точности для инженеров E+H.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Глубина LIMS.</w:t>
      </w:r>
      <w:r>
        <w:t xml:space="preserve"> </w:t>
      </w:r>
      <w:r>
        <w:t xml:space="preserve">Жизнеспособность дрожжей показывается по штамму и генерациям; результаты посевов и ПЦР привязаны к партии; слепая панель хранит оценки каждого дегустатора и сводную оценку. Отслеживание изменений штамма от варки к варке — этап 2.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Акциз.</w:t>
      </w:r>
      <w:r>
        <w:t xml:space="preserve"> </w:t>
      </w:r>
      <w:r>
        <w:t xml:space="preserve">Ставки и правила настраиваются по юрисдикции. Начальный экстракт и крепость берутся из QWX43, объёмы — из одобрения розлива.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Прогноз вкуса (этап 3).</w:t>
      </w:r>
      <w:r>
        <w:t xml:space="preserve"> </w:t>
      </w:r>
      <w:r>
        <w:t xml:space="preserve">Модель регрессии или нейросеть ищет нелинейные связи между физико-химическими параметрами (скорость изменения плотности, экстракт, температура) и дегустационными оценками (горечь, полнота тела, диацетил, окисленность, карбонизация, сладость, ароматы дрожжей, хмеля и зерна). Она предсказывает вероятный профиль до дегустационной панели. Для неё нужны данные многих партий с оценками, связанными с данными процесса.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Динамический Offset (этап 3).</w:t>
      </w:r>
      <w:r>
        <w:t xml:space="preserve"> </w:t>
      </w:r>
      <w:r>
        <w:t xml:space="preserve">ML-модель подстраивает Offset по ходу брожения, когда меняется состав сусла; это исследовательская задача.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Только чтение.</w:t>
      </w:r>
      <w:r>
        <w:t xml:space="preserve"> </w:t>
      </w:r>
      <w:r>
        <w:t xml:space="preserve">Ни API, ни коннектор, ни инструмент не записывает в оборудование.</w:t>
      </w:r>
    </w:p>
    <w:bookmarkEnd w:id="34"/>
    <w:bookmarkEnd w:id="35"/>
    <w:bookmarkStart w:id="43" w:name="пользователи-и-потоки"/>
    <w:p>
      <w:pPr>
        <w:pStyle w:val="Heading2"/>
      </w:pPr>
      <w:r>
        <w:t xml:space="preserve">Пользователи и потоки</w:t>
      </w:r>
    </w:p>
    <w:bookmarkStart w:id="36" w:name="персоны"/>
    <w:p>
      <w:pPr>
        <w:pStyle w:val="Heading3"/>
      </w:pPr>
      <w:r>
        <w:t xml:space="preserve">Персоны</w:t>
      </w:r>
    </w:p>
    <w:tbl>
      <w:tblPr>
        <w:tblW w:w="9026" w:type="dxa"/>
        <w:tblBorders>
          <w:top w:val="single" w:sz="4" w:space="0" w:color="939598"/>
          <w:left w:val="single" w:sz="4" w:space="0" w:color="939598"/>
          <w:bottom w:val="single" w:sz="4" w:space="0" w:color="939598"/>
          <w:right w:val="single" w:sz="4" w:space="0" w:color="939598"/>
          <w:insideH w:val="single" w:sz="4" w:space="0" w:color="939598"/>
          <w:insideV w:val="single" w:sz="4" w:space="0" w:color="939598"/>
        </w:tblBorders>
        <w:tblLayout w:type="fixed"/>
        <w:tblCellMar>
          <w:top w:w="57" w:type="dxa"/>
          <w:left w:w="100" w:type="dxa"/>
          <w:bottom w:w="57" w:type="dxa"/>
          <w:right w:w="100" w:type="dxa"/>
        </w:tblCellMar>
        <w:tblLook w:firstRow="1" w:lastRow="0" w:firstColumn="0" w:lastColumn="0" w:noHBand="0" w:noVBand="0" w:val="0020"/>
      </w:tblPr>
      <w:tblGrid>
        <w:gridCol w:w="1913"/>
        <w:gridCol w:w="3783"/>
        <w:gridCol w:w="3330"/>
      </w:tblGrid>
      <w:tr>
        <w:trPr>
          <w:tblHeader w:val="true"/>
          <w:tblHeader/>
        </w:trPr>
        <w:tc>
          <w:tcPr>
            <w:tcW w:w="1913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Персона</w:t>
            </w:r>
          </w:p>
        </w:tc>
        <w:tc>
          <w:tcPr>
            <w:tcW w:w="3783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Главный вопрос</w:t>
            </w:r>
          </w:p>
        </w:tc>
        <w:tc>
          <w:tcPr>
            <w:tcW w:w="3330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Основные экраны</w:t>
            </w:r>
          </w:p>
        </w:tc>
      </w:tr>
      <w:tr>
        <w:trPr/>
        <w:tc>
          <w:tcPr>
            <w:tcW w:w="191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Главный пивовар</w:t>
            </w:r>
          </w:p>
        </w:tc>
        <w:tc>
          <w:tcPr>
            <w:tcW w:w="378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Все ли танки идут по плану и когда будет готова каждая партия?</w:t>
            </w:r>
          </w:p>
        </w:tc>
        <w:tc>
          <w:tcPr>
            <w:tcW w:w="333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Панель танков, партия, прогнозы, ассистент</w:t>
            </w:r>
          </w:p>
        </w:tc>
      </w:tr>
      <w:tr>
        <w:trPr/>
        <w:tc>
          <w:tcPr>
            <w:tcW w:w="191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Оператор цеха</w:t>
            </w:r>
          </w:p>
        </w:tc>
        <w:tc>
          <w:tcPr>
            <w:tcW w:w="378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Что сделать сегодня и как это записать?</w:t>
            </w:r>
          </w:p>
        </w:tc>
        <w:tc>
          <w:tcPr>
            <w:tcW w:w="333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Задачи, журнал CIP, ввод партии и сырья по QR</w:t>
            </w:r>
          </w:p>
        </w:tc>
      </w:tr>
      <w:tr>
        <w:trPr/>
        <w:tc>
          <w:tcPr>
            <w:tcW w:w="191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Лаборант</w:t>
            </w:r>
          </w:p>
        </w:tc>
        <w:tc>
          <w:tcPr>
            <w:tcW w:w="378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 порядке ли дрожжи и микробиология?</w:t>
            </w:r>
          </w:p>
        </w:tc>
        <w:tc>
          <w:tcPr>
            <w:tcW w:w="333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LIMS: дрожжи, посевы, ПЦР, панели</w:t>
            </w:r>
          </w:p>
        </w:tc>
      </w:tr>
      <w:tr>
        <w:trPr/>
        <w:tc>
          <w:tcPr>
            <w:tcW w:w="191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Начальник по качеству</w:t>
            </w:r>
          </w:p>
        </w:tc>
        <w:tc>
          <w:tcPr>
            <w:tcW w:w="378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Можно ли отпускать партию на розлив?</w:t>
            </w:r>
          </w:p>
        </w:tc>
        <w:tc>
          <w:tcPr>
            <w:tcW w:w="333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Качество партии, одобрение розлива, документ качества</w:t>
            </w:r>
          </w:p>
        </w:tc>
      </w:tr>
      <w:tr>
        <w:trPr/>
        <w:tc>
          <w:tcPr>
            <w:tcW w:w="191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Технолог</w:t>
            </w:r>
          </w:p>
        </w:tc>
        <w:tc>
          <w:tcPr>
            <w:tcW w:w="378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Точны ли датчики и верны ли техкарты?</w:t>
            </w:r>
          </w:p>
        </w:tc>
        <w:tc>
          <w:tcPr>
            <w:tcW w:w="333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Журналы Offset и точности, техкарты</w:t>
            </w:r>
          </w:p>
        </w:tc>
      </w:tr>
      <w:tr>
        <w:trPr/>
        <w:tc>
          <w:tcPr>
            <w:tcW w:w="191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Руководитель производства</w:t>
            </w:r>
          </w:p>
        </w:tc>
        <w:tc>
          <w:tcPr>
            <w:tcW w:w="378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Идёт ли производство по плану?</w:t>
            </w:r>
          </w:p>
        </w:tc>
        <w:tc>
          <w:tcPr>
            <w:tcW w:w="333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Панели, задачи, оповещения, отчёты</w:t>
            </w:r>
          </w:p>
        </w:tc>
      </w:tr>
      <w:tr>
        <w:trPr/>
        <w:tc>
          <w:tcPr>
            <w:tcW w:w="191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Финансы или соответствие</w:t>
            </w:r>
          </w:p>
        </w:tc>
        <w:tc>
          <w:tcPr>
            <w:tcW w:w="378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Правильно ли и вовремя ли посчитан акциз?</w:t>
            </w:r>
          </w:p>
        </w:tc>
        <w:tc>
          <w:tcPr>
            <w:tcW w:w="333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Расчёт и выгрузка акциза</w:t>
            </w:r>
          </w:p>
        </w:tc>
      </w:tr>
    </w:tbl>
    <w:bookmarkEnd w:id="36"/>
    <w:bookmarkStart w:id="37" w:name="ключевые-сценарии-использования"/>
    <w:p>
      <w:pPr>
        <w:pStyle w:val="Heading3"/>
      </w:pPr>
      <w:r>
        <w:t xml:space="preserve">Ключевые сценарии использования</w:t>
      </w:r>
    </w:p>
    <w:tbl>
      <w:tblPr>
        <w:tblW w:w="9026" w:type="dxa"/>
        <w:tblBorders>
          <w:top w:val="single" w:sz="4" w:space="0" w:color="939598"/>
          <w:left w:val="single" w:sz="4" w:space="0" w:color="939598"/>
          <w:bottom w:val="single" w:sz="4" w:space="0" w:color="939598"/>
          <w:right w:val="single" w:sz="4" w:space="0" w:color="939598"/>
          <w:insideH w:val="single" w:sz="4" w:space="0" w:color="939598"/>
          <w:insideV w:val="single" w:sz="4" w:space="0" w:color="939598"/>
        </w:tblBorders>
        <w:tblLayout w:type="fixed"/>
        <w:tblCellMar>
          <w:top w:w="57" w:type="dxa"/>
          <w:left w:w="100" w:type="dxa"/>
          <w:bottom w:w="57" w:type="dxa"/>
          <w:right w:w="100" w:type="dxa"/>
        </w:tblCellMar>
        <w:tblLook w:firstRow="1" w:lastRow="0" w:firstColumn="0" w:lastColumn="0" w:noHBand="0" w:noVBand="0" w:val="0020"/>
      </w:tblPr>
      <w:tblGrid>
        <w:gridCol w:w="1167"/>
        <w:gridCol w:w="6690"/>
        <w:gridCol w:w="1169"/>
      </w:tblGrid>
      <w:tr>
        <w:trPr>
          <w:tblHeader w:val="true"/>
          <w:tblHeader/>
        </w:trPr>
        <w:tc>
          <w:tcPr>
            <w:tcW w:w="1167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ID</w:t>
            </w:r>
          </w:p>
        </w:tc>
        <w:tc>
          <w:tcPr>
            <w:tcW w:w="6690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Сценарий</w:t>
            </w:r>
          </w:p>
        </w:tc>
        <w:tc>
          <w:tcPr>
            <w:tcW w:w="1169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Выпуск</w:t>
            </w:r>
          </w:p>
        </w:tc>
      </w:tr>
      <w:tr>
        <w:trPr/>
        <w:tc>
          <w:tcPr>
            <w:tcW w:w="116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UC1</w:t>
            </w:r>
          </w:p>
        </w:tc>
        <w:tc>
          <w:tcPr>
            <w:tcW w:w="669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Подключить ПЛК по OPC UA или Modbus TCP и сопоставить теги с ёмкостями</w:t>
            </w:r>
          </w:p>
        </w:tc>
        <w:tc>
          <w:tcPr>
            <w:tcW w:w="116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1А</w:t>
            </w:r>
          </w:p>
        </w:tc>
      </w:tr>
      <w:tr>
        <w:trPr/>
        <w:tc>
          <w:tcPr>
            <w:tcW w:w="116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UC2</w:t>
            </w:r>
          </w:p>
        </w:tc>
        <w:tc>
          <w:tcPr>
            <w:tcW w:w="669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Подключить ПЛК по Profinet через шлюз</w:t>
            </w:r>
          </w:p>
        </w:tc>
        <w:tc>
          <w:tcPr>
            <w:tcW w:w="116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1Б</w:t>
            </w:r>
          </w:p>
        </w:tc>
      </w:tr>
      <w:tr>
        <w:trPr/>
        <w:tc>
          <w:tcPr>
            <w:tcW w:w="116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UC3</w:t>
            </w:r>
          </w:p>
        </w:tc>
        <w:tc>
          <w:tcPr>
            <w:tcW w:w="669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Подключить QWX43 (1А) и датчики E+H pH, кислорода и CO₂ (1Б)</w:t>
            </w:r>
          </w:p>
        </w:tc>
        <w:tc>
          <w:tcPr>
            <w:tcW w:w="116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1А, 1Б</w:t>
            </w:r>
          </w:p>
        </w:tc>
      </w:tr>
      <w:tr>
        <w:trPr/>
        <w:tc>
          <w:tcPr>
            <w:tcW w:w="116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UC4</w:t>
            </w:r>
          </w:p>
        </w:tc>
        <w:tc>
          <w:tcPr>
            <w:tcW w:w="669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Создать техкарту; партия открывается по найденному заполнению и идёт по техкарте</w:t>
            </w:r>
          </w:p>
        </w:tc>
        <w:tc>
          <w:tcPr>
            <w:tcW w:w="116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1А</w:t>
            </w:r>
          </w:p>
        </w:tc>
      </w:tr>
      <w:tr>
        <w:trPr/>
        <w:tc>
          <w:tcPr>
            <w:tcW w:w="116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UC5</w:t>
            </w:r>
          </w:p>
        </w:tc>
        <w:tc>
          <w:tcPr>
            <w:tcW w:w="669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Ввести сырьё из архива или по QR с проверкой ошибок</w:t>
            </w:r>
          </w:p>
        </w:tc>
        <w:tc>
          <w:tcPr>
            <w:tcW w:w="116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1А</w:t>
            </w:r>
          </w:p>
        </w:tc>
      </w:tr>
      <w:tr>
        <w:trPr/>
        <w:tc>
          <w:tcPr>
            <w:tcW w:w="116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UC6</w:t>
            </w:r>
          </w:p>
        </w:tc>
        <w:tc>
          <w:tcPr>
            <w:tcW w:w="669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Утренний обзор: стадия, кривая относительно плана, прогноз готовности</w:t>
            </w:r>
          </w:p>
        </w:tc>
        <w:tc>
          <w:tcPr>
            <w:tcW w:w="116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1А</w:t>
            </w:r>
          </w:p>
        </w:tc>
      </w:tr>
      <w:tr>
        <w:trPr/>
        <w:tc>
          <w:tcPr>
            <w:tcW w:w="116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UC7</w:t>
            </w:r>
          </w:p>
        </w:tc>
        <w:tc>
          <w:tcPr>
            <w:tcW w:w="669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Оповещение об отклонении с доказательствами; температурные паузы не отмечаются</w:t>
            </w:r>
          </w:p>
        </w:tc>
        <w:tc>
          <w:tcPr>
            <w:tcW w:w="116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1А</w:t>
            </w:r>
          </w:p>
        </w:tc>
      </w:tr>
      <w:tr>
        <w:trPr/>
        <w:tc>
          <w:tcPr>
            <w:tcW w:w="116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UC8</w:t>
            </w:r>
          </w:p>
        </w:tc>
        <w:tc>
          <w:tcPr>
            <w:tcW w:w="669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CIP записывается сам по смене сред; моющее средство по QR</w:t>
            </w:r>
          </w:p>
        </w:tc>
        <w:tc>
          <w:tcPr>
            <w:tcW w:w="116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1А</w:t>
            </w:r>
          </w:p>
        </w:tc>
      </w:tr>
      <w:tr>
        <w:trPr/>
        <w:tc>
          <w:tcPr>
            <w:tcW w:w="116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UC9</w:t>
            </w:r>
          </w:p>
        </w:tc>
        <w:tc>
          <w:tcPr>
            <w:tcW w:w="669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Журнал Offset и проверка точности с напоминаниями</w:t>
            </w:r>
          </w:p>
        </w:tc>
        <w:tc>
          <w:tcPr>
            <w:tcW w:w="116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1А</w:t>
            </w:r>
          </w:p>
        </w:tc>
      </w:tr>
      <w:tr>
        <w:trPr/>
        <w:tc>
          <w:tcPr>
            <w:tcW w:w="116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UC10</w:t>
            </w:r>
          </w:p>
        </w:tc>
        <w:tc>
          <w:tcPr>
            <w:tcW w:w="669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Генерация и жизнеспособность дрожжей; физико-химические результаты</w:t>
            </w:r>
          </w:p>
        </w:tc>
        <w:tc>
          <w:tcPr>
            <w:tcW w:w="116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1А</w:t>
            </w:r>
          </w:p>
        </w:tc>
      </w:tr>
      <w:tr>
        <w:trPr/>
        <w:tc>
          <w:tcPr>
            <w:tcW w:w="116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UC11</w:t>
            </w:r>
          </w:p>
        </w:tc>
        <w:tc>
          <w:tcPr>
            <w:tcW w:w="669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Посевы, ПЦР и слепые дегустационные панели</w:t>
            </w:r>
          </w:p>
        </w:tc>
        <w:tc>
          <w:tcPr>
            <w:tcW w:w="116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1Б</w:t>
            </w:r>
          </w:p>
        </w:tc>
      </w:tr>
      <w:tr>
        <w:trPr/>
        <w:tc>
          <w:tcPr>
            <w:tcW w:w="116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UC12</w:t>
            </w:r>
          </w:p>
        </w:tc>
        <w:tc>
          <w:tcPr>
            <w:tcW w:w="669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Производственные задачи и одобрение розлива; документ качества</w:t>
            </w:r>
          </w:p>
        </w:tc>
        <w:tc>
          <w:tcPr>
            <w:tcW w:w="116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1Б</w:t>
            </w:r>
          </w:p>
        </w:tc>
      </w:tr>
      <w:tr>
        <w:trPr/>
        <w:tc>
          <w:tcPr>
            <w:tcW w:w="116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UC13</w:t>
            </w:r>
          </w:p>
        </w:tc>
        <w:tc>
          <w:tcPr>
            <w:tcW w:w="669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Расчёт акциза и выгрузка декларации</w:t>
            </w:r>
          </w:p>
        </w:tc>
        <w:tc>
          <w:tcPr>
            <w:tcW w:w="116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1Б</w:t>
            </w:r>
          </w:p>
        </w:tc>
      </w:tr>
      <w:tr>
        <w:trPr/>
        <w:tc>
          <w:tcPr>
            <w:tcW w:w="116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UC14</w:t>
            </w:r>
          </w:p>
        </w:tc>
        <w:tc>
          <w:tcPr>
            <w:tcW w:w="669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Вопрос ассистенту; сравнение партий одного рецепта</w:t>
            </w:r>
          </w:p>
        </w:tc>
        <w:tc>
          <w:tcPr>
            <w:tcW w:w="116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1А</w:t>
            </w:r>
          </w:p>
        </w:tc>
      </w:tr>
      <w:tr>
        <w:trPr/>
        <w:tc>
          <w:tcPr>
            <w:tcW w:w="116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UC15</w:t>
            </w:r>
          </w:p>
        </w:tc>
        <w:tc>
          <w:tcPr>
            <w:tcW w:w="669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Планирование с ИИ (APS)</w:t>
            </w:r>
          </w:p>
        </w:tc>
        <w:tc>
          <w:tcPr>
            <w:tcW w:w="116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Этап 2</w:t>
            </w:r>
          </w:p>
        </w:tc>
      </w:tr>
      <w:tr>
        <w:trPr/>
        <w:tc>
          <w:tcPr>
            <w:tcW w:w="116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UC16</w:t>
            </w:r>
          </w:p>
        </w:tc>
        <w:tc>
          <w:tcPr>
            <w:tcW w:w="669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Шаблоны других производств на брожении; отслеживание изменений штамма</w:t>
            </w:r>
          </w:p>
        </w:tc>
        <w:tc>
          <w:tcPr>
            <w:tcW w:w="116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Этап 2</w:t>
            </w:r>
          </w:p>
        </w:tc>
      </w:tr>
      <w:tr>
        <w:trPr/>
        <w:tc>
          <w:tcPr>
            <w:tcW w:w="116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UC17</w:t>
            </w:r>
          </w:p>
        </w:tc>
        <w:tc>
          <w:tcPr>
            <w:tcW w:w="669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Прогноз вкуса, рекомендации по рецептуре, «что если»</w:t>
            </w:r>
          </w:p>
        </w:tc>
        <w:tc>
          <w:tcPr>
            <w:tcW w:w="116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Этап 3</w:t>
            </w:r>
          </w:p>
        </w:tc>
      </w:tr>
    </w:tbl>
    <w:bookmarkEnd w:id="37"/>
    <w:bookmarkStart w:id="41" w:name="основной-поток-жизненный-цикл-партии"/>
    <w:p>
      <w:pPr>
        <w:pStyle w:val="Heading3"/>
      </w:pPr>
      <w:r>
        <w:t xml:space="preserve">Основной поток: жизненный цикл партии</w:t>
      </w:r>
    </w:p>
    <w:p>
      <w:pPr>
        <w:pStyle w:val="CaptionedFigure"/>
        <w:keepNext/>
        <w:spacing w:line="240" w:lineRule="auto"/>
        <w:jc w:val="center"/>
      </w:pPr>
      <w:r>
        <w:drawing>
          <wp:inline>
            <wp:extent cx="5334000" cy="2524125"/>
            <wp:effectExtent b="0" l="0" r="0" t="0"/>
            <wp:docPr descr="Рисунок 3. Жизненный цикл партии — автопривязка, цикл контроля, выпуск" title="" id="39" name="Picture"/>
            <a:graphic>
              <a:graphicData uri="http://schemas.openxmlformats.org/drawingml/2006/picture">
                <pic:pic>
                  <pic:nvPicPr>
                    <pic:cNvPr descr="iarru-00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3. Жизненный цикл партии — автопривязка, цикл контроля, выпуск</w:t>
      </w:r>
    </w:p>
    <w:p>
      <w:pPr>
        <w:pStyle w:val="BodyText"/>
      </w:pPr>
      <w:r>
        <w:t xml:space="preserve">Партия открывается по найденному заполнению и идёт по техкарте. Отклонения проходят цикл «оповещение — действие»; перелив передаёт партию на проверку качества и одобрение розлива.</w:t>
      </w:r>
    </w:p>
    <w:bookmarkEnd w:id="41"/>
    <w:bookmarkStart w:id="42" w:name="вспомогательные-потоки"/>
    <w:p>
      <w:pPr>
        <w:pStyle w:val="Heading3"/>
      </w:pPr>
      <w:r>
        <w:t xml:space="preserve">Вспомогательные потоки</w:t>
      </w:r>
    </w:p>
    <w:p>
      <w:pPr>
        <w:pStyle w:val="FirstParagraph"/>
      </w:pPr>
      <w:r>
        <w:rPr>
          <w:bCs/>
          <w:b/>
        </w:rPr>
        <w:t xml:space="preserve">CIP (UC8)</w:t>
      </w:r>
    </w:p>
    <w:p>
      <w:pPr>
        <w:numPr>
          <w:ilvl w:val="0"/>
          <w:numId w:val="1009"/>
        </w:numPr>
        <w:pStyle w:val="Compact"/>
      </w:pPr>
      <w:r>
        <w:t xml:space="preserve">По скорости звука видно, что в танке пиво сменилось водой и моющим раствором.</w:t>
      </w:r>
    </w:p>
    <w:p>
      <w:pPr>
        <w:numPr>
          <w:ilvl w:val="0"/>
          <w:numId w:val="1009"/>
        </w:numPr>
        <w:pStyle w:val="Compact"/>
      </w:pPr>
      <w:r>
        <w:t xml:space="preserve">Система записывает событие CIP с временем начала и конца.</w:t>
      </w:r>
    </w:p>
    <w:p>
      <w:pPr>
        <w:numPr>
          <w:ilvl w:val="0"/>
          <w:numId w:val="1009"/>
        </w:numPr>
        <w:pStyle w:val="Compact"/>
      </w:pPr>
      <w:r>
        <w:t xml:space="preserve">Оператор сканирует QR-код моющего средства или выбирает его из архива.</w:t>
      </w:r>
    </w:p>
    <w:p>
      <w:pPr>
        <w:numPr>
          <w:ilvl w:val="0"/>
          <w:numId w:val="1009"/>
        </w:numPr>
        <w:pStyle w:val="Compact"/>
      </w:pPr>
      <w:r>
        <w:t xml:space="preserve">График CIP обновляется; просроченная мойка вызывает оповещение.</w:t>
      </w:r>
    </w:p>
    <w:p>
      <w:pPr>
        <w:pStyle w:val="FirstParagraph"/>
      </w:pPr>
      <w:r>
        <w:rPr>
          <w:bCs/>
          <w:b/>
        </w:rPr>
        <w:t xml:space="preserve">Проверка точности (UC9)</w:t>
      </w:r>
    </w:p>
    <w:p>
      <w:pPr>
        <w:numPr>
          <w:ilvl w:val="0"/>
          <w:numId w:val="1010"/>
        </w:numPr>
        <w:pStyle w:val="Compact"/>
      </w:pPr>
      <w:r>
        <w:t xml:space="preserve">Система напоминает технологу о сроке проверки.</w:t>
      </w:r>
    </w:p>
    <w:p>
      <w:pPr>
        <w:numPr>
          <w:ilvl w:val="0"/>
          <w:numId w:val="1010"/>
        </w:numPr>
        <w:pStyle w:val="Compact"/>
      </w:pPr>
      <w:r>
        <w:t xml:space="preserve">Технолог проверяет датчик по воздуху и дистиллированной воде и записывает результат.</w:t>
      </w:r>
    </w:p>
    <w:p>
      <w:pPr>
        <w:numPr>
          <w:ilvl w:val="0"/>
          <w:numId w:val="1010"/>
        </w:numPr>
        <w:pStyle w:val="Compact"/>
      </w:pPr>
      <w:r>
        <w:t xml:space="preserve">Для Offset он вводит состав эталонного сусла и лабораторные значения.</w:t>
      </w:r>
    </w:p>
    <w:p>
      <w:pPr>
        <w:numPr>
          <w:ilvl w:val="0"/>
          <w:numId w:val="1010"/>
        </w:numPr>
        <w:pStyle w:val="Compact"/>
      </w:pPr>
      <w:r>
        <w:t xml:space="preserve">Результаты влияют на оценку доверия и, с согласия пивоварни, попадают в отчёт о точности по парку.</w:t>
      </w:r>
    </w:p>
    <w:p>
      <w:pPr>
        <w:pStyle w:val="FirstParagraph"/>
      </w:pPr>
      <w:r>
        <w:rPr>
          <w:bCs/>
          <w:b/>
        </w:rPr>
        <w:t xml:space="preserve">Лаборатория и выпуск (UC10–UC12)</w:t>
      </w:r>
    </w:p>
    <w:p>
      <w:pPr>
        <w:numPr>
          <w:ilvl w:val="0"/>
          <w:numId w:val="1011"/>
        </w:numPr>
        <w:pStyle w:val="Compact"/>
      </w:pPr>
      <w:r>
        <w:t xml:space="preserve">Лаборатория записывает генерацию и жизнеспособность дрожжей, результаты посевов и ПЦР.</w:t>
      </w:r>
    </w:p>
    <w:p>
      <w:pPr>
        <w:numPr>
          <w:ilvl w:val="0"/>
          <w:numId w:val="1011"/>
        </w:numPr>
        <w:pStyle w:val="Compact"/>
      </w:pPr>
      <w:r>
        <w:t xml:space="preserve">Слепая панель оценивает пиво.</w:t>
      </w:r>
    </w:p>
    <w:p>
      <w:pPr>
        <w:numPr>
          <w:ilvl w:val="0"/>
          <w:numId w:val="1011"/>
        </w:numPr>
        <w:pStyle w:val="Compact"/>
      </w:pPr>
      <w:r>
        <w:t xml:space="preserve">Несоответствия отмечаются относительно спецификации рецепта.</w:t>
      </w:r>
    </w:p>
    <w:p>
      <w:pPr>
        <w:numPr>
          <w:ilvl w:val="0"/>
          <w:numId w:val="1011"/>
        </w:numPr>
        <w:pStyle w:val="Compact"/>
      </w:pPr>
      <w:r>
        <w:t xml:space="preserve">Начальник по качеству одобряет розлив; формируется документ качества.</w:t>
      </w:r>
    </w:p>
    <w:bookmarkEnd w:id="42"/>
    <w:bookmarkEnd w:id="43"/>
    <w:bookmarkStart w:id="44" w:name="отраслевая-база"/>
    <w:p>
      <w:pPr>
        <w:pStyle w:val="Heading2"/>
      </w:pPr>
      <w:r>
        <w:t xml:space="preserve">Отраслевая база</w:t>
      </w:r>
    </w:p>
    <w:p>
      <w:pPr>
        <w:pStyle w:val="FirstParagraph"/>
      </w:pPr>
      <w:r>
        <w:t xml:space="preserve">Обе таблицы — черновики для проверки с технологом пивоварения.</w:t>
      </w:r>
    </w:p>
    <w:tbl>
      <w:tblPr>
        <w:tblW w:w="9026" w:type="dxa"/>
        <w:tblBorders>
          <w:top w:val="single" w:sz="4" w:space="0" w:color="939598"/>
          <w:left w:val="single" w:sz="4" w:space="0" w:color="939598"/>
          <w:bottom w:val="single" w:sz="4" w:space="0" w:color="939598"/>
          <w:right w:val="single" w:sz="4" w:space="0" w:color="939598"/>
          <w:insideH w:val="single" w:sz="4" w:space="0" w:color="939598"/>
          <w:insideV w:val="single" w:sz="4" w:space="0" w:color="939598"/>
        </w:tblBorders>
        <w:tblLayout w:type="fixed"/>
        <w:tblCellMar>
          <w:top w:w="57" w:type="dxa"/>
          <w:left w:w="100" w:type="dxa"/>
          <w:bottom w:w="57" w:type="dxa"/>
          <w:right w:w="100" w:type="dxa"/>
        </w:tblCellMar>
        <w:tblLook w:firstRow="1" w:lastRow="0" w:firstColumn="0" w:lastColumn="0" w:noHBand="0" w:noVBand="0" w:val="0020"/>
      </w:tblPr>
      <w:tblGrid>
        <w:gridCol w:w="2308"/>
        <w:gridCol w:w="2515"/>
        <w:gridCol w:w="1727"/>
        <w:gridCol w:w="2476"/>
      </w:tblGrid>
      <w:tr>
        <w:trPr>
          <w:tblHeader w:val="true"/>
          <w:tblHeader/>
        </w:trPr>
        <w:tc>
          <w:tcPr>
            <w:tcW w:w="2308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Проблема</w:t>
            </w:r>
          </w:p>
        </w:tc>
        <w:tc>
          <w:tcPr>
            <w:tcW w:w="2515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Как заметить</w:t>
            </w:r>
          </w:p>
        </w:tc>
        <w:tc>
          <w:tcPr>
            <w:tcW w:w="1727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Вид контроля</w:t>
            </w:r>
          </w:p>
        </w:tc>
        <w:tc>
          <w:tcPr>
            <w:tcW w:w="2476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Вероятность</w:t>
            </w:r>
          </w:p>
        </w:tc>
      </w:tr>
      <w:tr>
        <w:trPr/>
        <w:tc>
          <w:tcPr>
            <w:tcW w:w="2308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Брожение медленное или затянулось</w:t>
            </w:r>
          </w:p>
        </w:tc>
        <w:tc>
          <w:tcPr>
            <w:tcW w:w="251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Плотность почти не падает (QWX43)</w:t>
            </w:r>
          </w:p>
        </w:tc>
        <w:tc>
          <w:tcPr>
            <w:tcW w:w="172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Датчик</w:t>
            </w:r>
          </w:p>
        </w:tc>
        <w:tc>
          <w:tcPr>
            <w:tcW w:w="247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Возможно</w:t>
            </w:r>
          </w:p>
        </w:tc>
      </w:tr>
      <w:tr>
        <w:trPr/>
        <w:tc>
          <w:tcPr>
            <w:tcW w:w="2308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Неверная начальная плотность</w:t>
            </w:r>
          </w:p>
        </w:tc>
        <w:tc>
          <w:tcPr>
            <w:tcW w:w="251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Начальный экстракт; ареометр или рефрактометр</w:t>
            </w:r>
          </w:p>
        </w:tc>
        <w:tc>
          <w:tcPr>
            <w:tcW w:w="172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Датчик, лаборатория</w:t>
            </w:r>
          </w:p>
        </w:tc>
        <w:tc>
          <w:tcPr>
            <w:tcW w:w="247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Возможно</w:t>
            </w:r>
          </w:p>
        </w:tc>
      </w:tr>
      <w:tr>
        <w:trPr/>
        <w:tc>
          <w:tcPr>
            <w:tcW w:w="2308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Недоброд или слишком сильное сбраживание</w:t>
            </w:r>
          </w:p>
        </w:tc>
        <w:tc>
          <w:tcPr>
            <w:tcW w:w="251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Степень сбраживания, остаточный экстракт</w:t>
            </w:r>
          </w:p>
        </w:tc>
        <w:tc>
          <w:tcPr>
            <w:tcW w:w="172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Датчик</w:t>
            </w:r>
          </w:p>
        </w:tc>
        <w:tc>
          <w:tcPr>
            <w:tcW w:w="247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Возможно</w:t>
            </w:r>
          </w:p>
        </w:tc>
      </w:tr>
      <w:tr>
        <w:trPr/>
        <w:tc>
          <w:tcPr>
            <w:tcW w:w="2308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Крепость не по этикетке</w:t>
            </w:r>
          </w:p>
        </w:tc>
        <w:tc>
          <w:tcPr>
            <w:tcW w:w="251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Крепость (QWX43), лаборатория</w:t>
            </w:r>
          </w:p>
        </w:tc>
        <w:tc>
          <w:tcPr>
            <w:tcW w:w="172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Датчик, лаборатория</w:t>
            </w:r>
          </w:p>
        </w:tc>
        <w:tc>
          <w:tcPr>
            <w:tcW w:w="247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Возможно</w:t>
            </w:r>
          </w:p>
        </w:tc>
      </w:tr>
      <w:tr>
        <w:trPr/>
        <w:tc>
          <w:tcPr>
            <w:tcW w:w="2308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Диацетил</w:t>
            </w:r>
          </w:p>
        </w:tc>
        <w:tc>
          <w:tcPr>
            <w:tcW w:w="251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Анализ VDK, дегустация</w:t>
            </w:r>
          </w:p>
        </w:tc>
        <w:tc>
          <w:tcPr>
            <w:tcW w:w="172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Лаборатория, органолептика</w:t>
            </w:r>
          </w:p>
        </w:tc>
        <w:tc>
          <w:tcPr>
            <w:tcW w:w="247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Возможно</w:t>
            </w:r>
          </w:p>
        </w:tc>
      </w:tr>
      <w:tr>
        <w:trPr/>
        <w:tc>
          <w:tcPr>
            <w:tcW w:w="2308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Заражение</w:t>
            </w:r>
          </w:p>
        </w:tc>
        <w:tc>
          <w:tcPr>
            <w:tcW w:w="251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Кислый вкус, падение pH, посев или ПЦР</w:t>
            </w:r>
          </w:p>
        </w:tc>
        <w:tc>
          <w:tcPr>
            <w:tcW w:w="172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Лаборатория, органолептика</w:t>
            </w:r>
          </w:p>
        </w:tc>
        <w:tc>
          <w:tcPr>
            <w:tcW w:w="247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Возможно</w:t>
            </w:r>
          </w:p>
        </w:tc>
      </w:tr>
      <w:tr>
        <w:trPr/>
        <w:tc>
          <w:tcPr>
            <w:tcW w:w="2308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Окисление</w:t>
            </w:r>
          </w:p>
        </w:tc>
        <w:tc>
          <w:tcPr>
            <w:tcW w:w="251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Кислород при розливе, дегустация</w:t>
            </w:r>
          </w:p>
        </w:tc>
        <w:tc>
          <w:tcPr>
            <w:tcW w:w="172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Датчик, органолептика</w:t>
            </w:r>
          </w:p>
        </w:tc>
        <w:tc>
          <w:tcPr>
            <w:tcW w:w="247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Возможно</w:t>
            </w:r>
          </w:p>
        </w:tc>
      </w:tr>
      <w:tr>
        <w:trPr/>
        <w:tc>
          <w:tcPr>
            <w:tcW w:w="2308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Нежелательная мутность</w:t>
            </w:r>
          </w:p>
        </w:tc>
        <w:tc>
          <w:tcPr>
            <w:tcW w:w="251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Мутномер, вязкость, осмотр</w:t>
            </w:r>
          </w:p>
        </w:tc>
        <w:tc>
          <w:tcPr>
            <w:tcW w:w="172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Датчик, визуальный</w:t>
            </w:r>
          </w:p>
        </w:tc>
        <w:tc>
          <w:tcPr>
            <w:tcW w:w="247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Возможно</w:t>
            </w:r>
          </w:p>
        </w:tc>
      </w:tr>
      <w:tr>
        <w:trPr/>
        <w:tc>
          <w:tcPr>
            <w:tcW w:w="2308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Газация не по норме</w:t>
            </w:r>
          </w:p>
        </w:tc>
        <w:tc>
          <w:tcPr>
            <w:tcW w:w="251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CO₂, давление в танке</w:t>
            </w:r>
          </w:p>
        </w:tc>
        <w:tc>
          <w:tcPr>
            <w:tcW w:w="172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Датчик</w:t>
            </w:r>
          </w:p>
        </w:tc>
        <w:tc>
          <w:tcPr>
            <w:tcW w:w="247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Возможно</w:t>
            </w:r>
          </w:p>
        </w:tc>
      </w:tr>
      <w:tr>
        <w:trPr/>
        <w:tc>
          <w:tcPr>
            <w:tcW w:w="2308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Температура вне нормы</w:t>
            </w:r>
          </w:p>
        </w:tc>
        <w:tc>
          <w:tcPr>
            <w:tcW w:w="251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Температура относительно профиля техкарты</w:t>
            </w:r>
          </w:p>
        </w:tc>
        <w:tc>
          <w:tcPr>
            <w:tcW w:w="172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Датчик</w:t>
            </w:r>
          </w:p>
        </w:tc>
        <w:tc>
          <w:tcPr>
            <w:tcW w:w="247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Маловероятно: автоматика не допустит</w:t>
            </w:r>
          </w:p>
        </w:tc>
      </w:tr>
      <w:tr>
        <w:trPr/>
        <w:tc>
          <w:tcPr>
            <w:tcW w:w="2308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Слабые дрожжи</w:t>
            </w:r>
          </w:p>
        </w:tc>
        <w:tc>
          <w:tcPr>
            <w:tcW w:w="251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Медленный старт, подсчёт клеток</w:t>
            </w:r>
          </w:p>
        </w:tc>
        <w:tc>
          <w:tcPr>
            <w:tcW w:w="172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Датчик, лаборатория</w:t>
            </w:r>
          </w:p>
        </w:tc>
        <w:tc>
          <w:tcPr>
            <w:tcW w:w="247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Маловероятно: дрожжи проверяют перед засевом</w:t>
            </w:r>
          </w:p>
        </w:tc>
      </w:tr>
      <w:tr>
        <w:trPr/>
        <w:tc>
          <w:tcPr>
            <w:tcW w:w="2308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Налёт на датчике</w:t>
            </w:r>
          </w:p>
        </w:tc>
        <w:tc>
          <w:tcPr>
            <w:tcW w:w="251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Осмотр, расхождение с лабораторией</w:t>
            </w:r>
          </w:p>
        </w:tc>
        <w:tc>
          <w:tcPr>
            <w:tcW w:w="172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Визуальный</w:t>
            </w:r>
          </w:p>
        </w:tc>
        <w:tc>
          <w:tcPr>
            <w:tcW w:w="247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Редко: датчик проходит CIP</w:t>
            </w:r>
          </w:p>
        </w:tc>
      </w:tr>
    </w:tbl>
    <w:p/>
    <w:tbl>
      <w:tblPr>
        <w:tblW w:w="9026" w:type="dxa"/>
        <w:tblBorders>
          <w:top w:val="single" w:sz="4" w:space="0" w:color="939598"/>
          <w:left w:val="single" w:sz="4" w:space="0" w:color="939598"/>
          <w:bottom w:val="single" w:sz="4" w:space="0" w:color="939598"/>
          <w:right w:val="single" w:sz="4" w:space="0" w:color="939598"/>
          <w:insideH w:val="single" w:sz="4" w:space="0" w:color="939598"/>
          <w:insideV w:val="single" w:sz="4" w:space="0" w:color="939598"/>
        </w:tblBorders>
        <w:tblLayout w:type="fixed"/>
        <w:tblCellMar>
          <w:top w:w="57" w:type="dxa"/>
          <w:left w:w="100" w:type="dxa"/>
          <w:bottom w:w="57" w:type="dxa"/>
          <w:right w:w="100" w:type="dxa"/>
        </w:tblCellMar>
        <w:tblLook w:firstRow="1" w:lastRow="0" w:firstColumn="0" w:lastColumn="0" w:noHBand="0" w:noVBand="0" w:val="0020"/>
      </w:tblPr>
      <w:tblGrid>
        <w:gridCol w:w="2913"/>
        <w:gridCol w:w="6113"/>
      </w:tblGrid>
      <w:tr>
        <w:trPr>
          <w:tblHeader w:val="true"/>
          <w:tblHeader/>
        </w:trPr>
        <w:tc>
          <w:tcPr>
            <w:tcW w:w="2913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Группа показателей</w:t>
            </w:r>
          </w:p>
        </w:tc>
        <w:tc>
          <w:tcPr>
            <w:tcW w:w="6113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Показатели</w:t>
            </w:r>
          </w:p>
        </w:tc>
      </w:tr>
      <w:tr>
        <w:trPr/>
        <w:tc>
          <w:tcPr>
            <w:tcW w:w="291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Физико-химические</w:t>
            </w:r>
          </w:p>
        </w:tc>
        <w:tc>
          <w:tcPr>
            <w:tcW w:w="611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Крепость, начальная плотность, остаточный экстракт, pH, IBU, цвет (EBC), мутность (EBC), CO₂, растворённый кислород, VDK, стойкость пены</w:t>
            </w:r>
          </w:p>
        </w:tc>
      </w:tr>
      <w:tr>
        <w:trPr/>
        <w:tc>
          <w:tcPr>
            <w:tcW w:w="291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Дрожжи</w:t>
            </w:r>
          </w:p>
        </w:tc>
        <w:tc>
          <w:tcPr>
            <w:tcW w:w="611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Штамм, генерация, концентрация клеток, жизнеспособность</w:t>
            </w:r>
          </w:p>
        </w:tc>
      </w:tr>
      <w:tr>
        <w:trPr/>
        <w:tc>
          <w:tcPr>
            <w:tcW w:w="291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Микробиология</w:t>
            </w:r>
          </w:p>
        </w:tc>
        <w:tc>
          <w:tcPr>
            <w:tcW w:w="611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Посевы, ПЦР</w:t>
            </w:r>
          </w:p>
        </w:tc>
      </w:tr>
      <w:tr>
        <w:trPr/>
        <w:tc>
          <w:tcPr>
            <w:tcW w:w="291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Органолептика (слепая панель)</w:t>
            </w:r>
          </w:p>
        </w:tc>
        <w:tc>
          <w:tcPr>
            <w:tcW w:w="611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Внешний вид, аромат, вкус, горечь, полнота тела, сладость, карбонизация, послевкусие, соответствие стилю</w:t>
            </w:r>
          </w:p>
        </w:tc>
      </w:tr>
      <w:tr>
        <w:trPr/>
        <w:tc>
          <w:tcPr>
            <w:tcW w:w="291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Посторонние привкусы</w:t>
            </w:r>
          </w:p>
        </w:tc>
        <w:tc>
          <w:tcPr>
            <w:tcW w:w="611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Масляный, варёной кукурузы, зелёного яблока, картона, световой, кислый, аптечный, серный, металлический, растворитель</w:t>
            </w:r>
          </w:p>
        </w:tc>
      </w:tr>
    </w:tbl>
    <w:bookmarkEnd w:id="44"/>
    <w:bookmarkStart w:id="57" w:name="архитектура"/>
    <w:p>
      <w:pPr>
        <w:pStyle w:val="Heading2"/>
      </w:pPr>
      <w:r>
        <w:t xml:space="preserve">Архитектура</w:t>
      </w:r>
    </w:p>
    <w:p>
      <w:pPr>
        <w:pStyle w:val="FirstParagraph"/>
      </w:pPr>
      <w:r>
        <w:t xml:space="preserve">Платформа — мультиарендный облачный сервис, управляемый событиями, с edge-шлюзом на каждой пивоварне. Шлюз читает теги ПЛК по OPC UA, Modbus TCP и Profinet и отправляет их только наружу. Данные QWX43 приходят из Netilion, другие датчики E+H — через систему E+H. Лабораторные результаты и ручной ввод приходят через формы, файлы и QR-коды. Движок контекста партии привязывает каждое показание к партии, стадии и шагу техкарты; доменные сервисы, модели и ассистент работают только с данными, у которых уже есть контекст.</w:t>
      </w:r>
    </w:p>
    <w:p>
      <w:pPr>
        <w:pStyle w:val="CaptionedFigure"/>
        <w:keepNext/>
        <w:spacing w:line="240" w:lineRule="auto"/>
        <w:jc w:val="center"/>
      </w:pPr>
      <w:r>
        <w:drawing>
          <wp:inline>
            <wp:extent cx="5334000" cy="5834062"/>
            <wp:effectExtent b="0" l="0" r="0" t="0"/>
            <wp:docPr descr="Рисунок 4. Архитектура платформы — семь слоёв и сквозные механизмы" title="" id="46" name="Picture"/>
            <a:graphic>
              <a:graphicData uri="http://schemas.openxmlformats.org/drawingml/2006/picture">
                <pic:pic>
                  <pic:nvPicPr>
                    <pic:cNvPr descr="iarru-003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34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4. Архитектура платформы — семь слоёв и сквозные механизмы</w:t>
      </w:r>
    </w:p>
    <w:bookmarkStart w:id="48" w:name="слои-и-компоненты"/>
    <w:p>
      <w:pPr>
        <w:pStyle w:val="Heading3"/>
      </w:pPr>
      <w:r>
        <w:t xml:space="preserve">Слои и компоненты</w:t>
      </w:r>
    </w:p>
    <w:tbl>
      <w:tblPr>
        <w:tblW w:w="9026" w:type="dxa"/>
        <w:tblBorders>
          <w:top w:val="single" w:sz="4" w:space="0" w:color="939598"/>
          <w:left w:val="single" w:sz="4" w:space="0" w:color="939598"/>
          <w:bottom w:val="single" w:sz="4" w:space="0" w:color="939598"/>
          <w:right w:val="single" w:sz="4" w:space="0" w:color="939598"/>
          <w:insideH w:val="single" w:sz="4" w:space="0" w:color="939598"/>
          <w:insideV w:val="single" w:sz="4" w:space="0" w:color="939598"/>
        </w:tblBorders>
        <w:tblLayout w:type="fixed"/>
        <w:tblCellMar>
          <w:top w:w="57" w:type="dxa"/>
          <w:left w:w="100" w:type="dxa"/>
          <w:bottom w:w="57" w:type="dxa"/>
          <w:right w:w="100" w:type="dxa"/>
        </w:tblCellMar>
        <w:tblLook w:firstRow="1" w:lastRow="0" w:firstColumn="0" w:lastColumn="0" w:noHBand="0" w:noVBand="0" w:val="0020"/>
      </w:tblPr>
      <w:tblGrid>
        <w:gridCol w:w="1511"/>
        <w:gridCol w:w="3825"/>
        <w:gridCol w:w="3690"/>
      </w:tblGrid>
      <w:tr>
        <w:trPr>
          <w:tblHeader w:val="true"/>
          <w:tblHeader/>
        </w:trPr>
        <w:tc>
          <w:tcPr>
            <w:tcW w:w="1511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Слой</w:t>
            </w:r>
          </w:p>
        </w:tc>
        <w:tc>
          <w:tcPr>
            <w:tcW w:w="3825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Компоненты</w:t>
            </w:r>
          </w:p>
        </w:tc>
        <w:tc>
          <w:tcPr>
            <w:tcW w:w="3690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Технологическое направление</w:t>
            </w:r>
          </w:p>
        </w:tc>
      </w:tr>
      <w:tr>
        <w:trPr/>
        <w:tc>
          <w:tcPr>
            <w:tcW w:w="151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Источники</w:t>
            </w:r>
          </w:p>
        </w:tc>
        <w:tc>
          <w:tcPr>
            <w:tcW w:w="382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QWX43 через Netilion; датчики E+H pH, кислорода и CO₂ через систему E+H; ПЛК по OPC UA, Modbus TCP, Profinet; лабораторные файлы; QR и ручной ввод. Позже: датчики других марок, ERP</w:t>
            </w:r>
          </w:p>
        </w:tc>
        <w:tc>
          <w:tcPr>
            <w:tcW w:w="369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Внешние</w:t>
            </w:r>
          </w:p>
        </w:tc>
      </w:tr>
      <w:tr>
        <w:trPr/>
        <w:tc>
          <w:tcPr>
            <w:tcW w:w="151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Edge</w:t>
            </w:r>
          </w:p>
        </w:tc>
        <w:tc>
          <w:tcPr>
            <w:tcW w:w="382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Шлюз на каждой площадке: драйверы протоколов, сопоставление тегов, буфер отложенной отправки, NTP, только исходящие соединения. Profinet читается через шлюз с поддержкой Profinet или через ПЛК</w:t>
            </w:r>
          </w:p>
        </w:tc>
        <w:tc>
          <w:tcPr>
            <w:tcW w:w="369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Контейнерный агент на промышленном ПК</w:t>
            </w:r>
          </w:p>
        </w:tc>
      </w:tr>
      <w:tr>
        <w:trPr/>
        <w:tc>
          <w:tcPr>
            <w:tcW w:w="151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Приём данных</w:t>
            </w:r>
          </w:p>
        </w:tc>
        <w:tc>
          <w:tcPr>
            <w:tcW w:w="382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Воркеры коннекторов (Netilion, система E+H), API приёма и MQTT, очередь ошибок</w:t>
            </w:r>
          </w:p>
        </w:tc>
        <w:tc>
          <w:tcPr>
            <w:tcW w:w="369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Поток событий; один тип воркера на адаптер</w:t>
            </w:r>
          </w:p>
        </w:tc>
      </w:tr>
      <w:tr>
        <w:trPr/>
        <w:tc>
          <w:tcPr>
            <w:tcW w:w="151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Потоковая обработка</w:t>
            </w:r>
          </w:p>
        </w:tc>
        <w:tc>
          <w:tcPr>
            <w:tcW w:w="382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Нормализация единиц, выравнивание времени, удаление дубликатов, контекст партии, определение смены сред, проверка правил</w:t>
            </w:r>
          </w:p>
        </w:tc>
        <w:tc>
          <w:tcPr>
            <w:tcW w:w="369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Потребители без состояния плюс кеш контекста</w:t>
            </w:r>
          </w:p>
        </w:tc>
      </w:tr>
      <w:tr>
        <w:trPr/>
        <w:tc>
          <w:tcPr>
            <w:tcW w:w="151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Хранение</w:t>
            </w:r>
          </w:p>
        </w:tc>
        <w:tc>
          <w:tcPr>
            <w:tcW w:w="382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Специализированная БД временных рядов для показаний; PostgreSQL для партий, техкарт, лаборатории, записей MES и аудита; объектное хранилище для файлов и документов; хранилище признаков для ML</w:t>
            </w:r>
          </w:p>
        </w:tc>
        <w:tc>
          <w:tcPr>
            <w:tcW w:w="369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TimescaleDB, InfluxDB или ClickHouse (выбор на этапе 0); PostgreSQL</w:t>
            </w:r>
          </w:p>
        </w:tc>
      </w:tr>
      <w:tr>
        <w:trPr/>
        <w:tc>
          <w:tcPr>
            <w:tcW w:w="151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Доменные сервисы</w:t>
            </w:r>
          </w:p>
        </w:tc>
        <w:tc>
          <w:tcPr>
            <w:tcW w:w="382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Партии и техкарты, точность датчиков, аналитика брожения, LIMS, CIP и задачи, розлив и акциз, сравнение партий, оповещения и отчёты</w:t>
            </w:r>
          </w:p>
        </w:tc>
        <w:tc>
          <w:tcPr>
            <w:tcW w:w="369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Один сервис на модуль за внутренним API</w:t>
            </w:r>
          </w:p>
        </w:tc>
      </w:tr>
      <w:tr>
        <w:trPr/>
        <w:tc>
          <w:tcPr>
            <w:tcW w:w="151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ML-платформа</w:t>
            </w:r>
          </w:p>
        </w:tc>
        <w:tc>
          <w:tcPr>
            <w:tcW w:w="382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Сбор признаков, модели прогноза, модели дрейфа и точности, реестр моделей</w:t>
            </w:r>
          </w:p>
        </w:tc>
        <w:tc>
          <w:tcPr>
            <w:tcW w:w="369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Пакетное обучение и реестр</w:t>
            </w:r>
          </w:p>
        </w:tc>
      </w:tr>
      <w:tr>
        <w:trPr/>
        <w:tc>
          <w:tcPr>
            <w:tcW w:w="151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ИИ-слой</w:t>
            </w:r>
          </w:p>
        </w:tc>
        <w:tc>
          <w:tcPr>
            <w:tcW w:w="382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LLM-шлюз любого вендора, инструменты над доменными API, удалённый MCP-сервер</w:t>
            </w:r>
          </w:p>
        </w:tc>
        <w:tc>
          <w:tcPr>
            <w:tcW w:w="369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MCP по HTTPS с OAuth; инструменты в рамках арендатора</w:t>
            </w:r>
          </w:p>
        </w:tc>
      </w:tr>
      <w:tr>
        <w:trPr/>
        <w:tc>
          <w:tcPr>
            <w:tcW w:w="151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API и приложения</w:t>
            </w:r>
          </w:p>
        </w:tc>
        <w:tc>
          <w:tcPr>
            <w:tcW w:w="382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Публичный REST API, вебхуки, веб-приложение, PWA для планшета со сканированием QR и офлайн-вводом, уведомления</w:t>
            </w:r>
          </w:p>
        </w:tc>
        <w:tc>
          <w:tcPr>
            <w:tcW w:w="369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SPA и PWA</w:t>
            </w:r>
          </w:p>
        </w:tc>
      </w:tr>
      <w:tr>
        <w:trPr/>
        <w:tc>
          <w:tcPr>
            <w:tcW w:w="151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Сквозные механизмы</w:t>
            </w:r>
          </w:p>
        </w:tc>
        <w:tc>
          <w:tcPr>
            <w:tcW w:w="382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OIDC, RBAC, изоляция арендаторов, журнал аудита, секреты, сегментация OT-сети</w:t>
            </w:r>
          </w:p>
        </w:tc>
        <w:tc>
          <w:tcPr>
            <w:tcW w:w="369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Меры по ISO 27001 и IEC 62443</w:t>
            </w:r>
          </w:p>
        </w:tc>
      </w:tr>
    </w:tbl>
    <w:bookmarkEnd w:id="48"/>
    <w:bookmarkStart w:id="49" w:name="X7e25a3b154ef1e7fdda4d0d2ab51a2120310ccd"/>
    <w:p>
      <w:pPr>
        <w:pStyle w:val="Heading3"/>
      </w:pPr>
      <w:r>
        <w:t xml:space="preserve">Технологические варианты (независимо от облака)</w:t>
      </w:r>
    </w:p>
    <w:tbl>
      <w:tblPr>
        <w:tblW w:w="9026" w:type="dxa"/>
        <w:tblBorders>
          <w:top w:val="single" w:sz="4" w:space="0" w:color="939598"/>
          <w:left w:val="single" w:sz="4" w:space="0" w:color="939598"/>
          <w:bottom w:val="single" w:sz="4" w:space="0" w:color="939598"/>
          <w:right w:val="single" w:sz="4" w:space="0" w:color="939598"/>
          <w:insideH w:val="single" w:sz="4" w:space="0" w:color="939598"/>
          <w:insideV w:val="single" w:sz="4" w:space="0" w:color="939598"/>
        </w:tblBorders>
        <w:tblLayout w:type="fixed"/>
        <w:tblCellMar>
          <w:top w:w="57" w:type="dxa"/>
          <w:left w:w="100" w:type="dxa"/>
          <w:bottom w:w="57" w:type="dxa"/>
          <w:right w:w="100" w:type="dxa"/>
        </w:tblCellMar>
        <w:tblLook w:firstRow="1" w:lastRow="0" w:firstColumn="0" w:lastColumn="0" w:noHBand="0" w:noVBand="0" w:val="0020"/>
      </w:tblPr>
      <w:tblGrid>
        <w:gridCol w:w="1299"/>
        <w:gridCol w:w="2769"/>
        <w:gridCol w:w="1641"/>
        <w:gridCol w:w="1743"/>
        <w:gridCol w:w="1574"/>
      </w:tblGrid>
      <w:tr>
        <w:trPr>
          <w:tblHeader w:val="true"/>
          <w:tblHeader/>
        </w:trPr>
        <w:tc>
          <w:tcPr>
            <w:tcW w:w="1299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Задача</w:t>
            </w:r>
          </w:p>
        </w:tc>
        <w:tc>
          <w:tcPr>
            <w:tcW w:w="2769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Переносимый вариант</w:t>
            </w:r>
          </w:p>
        </w:tc>
        <w:tc>
          <w:tcPr>
            <w:tcW w:w="1641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AWS</w:t>
            </w:r>
          </w:p>
        </w:tc>
        <w:tc>
          <w:tcPr>
            <w:tcW w:w="1743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Azure</w:t>
            </w:r>
          </w:p>
        </w:tc>
        <w:tc>
          <w:tcPr>
            <w:tcW w:w="1574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GCP</w:t>
            </w:r>
          </w:p>
        </w:tc>
      </w:tr>
      <w:tr>
        <w:trPr/>
        <w:tc>
          <w:tcPr>
            <w:tcW w:w="129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Контейнеры</w:t>
            </w:r>
          </w:p>
        </w:tc>
        <w:tc>
          <w:tcPr>
            <w:tcW w:w="276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Kubernetes</w:t>
            </w:r>
          </w:p>
        </w:tc>
        <w:tc>
          <w:tcPr>
            <w:tcW w:w="164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EKS</w:t>
            </w:r>
          </w:p>
        </w:tc>
        <w:tc>
          <w:tcPr>
            <w:tcW w:w="174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AKS</w:t>
            </w:r>
          </w:p>
        </w:tc>
        <w:tc>
          <w:tcPr>
            <w:tcW w:w="157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GKE</w:t>
            </w:r>
          </w:p>
        </w:tc>
      </w:tr>
      <w:tr>
        <w:trPr/>
        <w:tc>
          <w:tcPr>
            <w:tcW w:w="129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Поток событий</w:t>
            </w:r>
          </w:p>
        </w:tc>
        <w:tc>
          <w:tcPr>
            <w:tcW w:w="276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Kafka или Redpanda</w:t>
            </w:r>
          </w:p>
        </w:tc>
        <w:tc>
          <w:tcPr>
            <w:tcW w:w="164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MSK</w:t>
            </w:r>
          </w:p>
        </w:tc>
        <w:tc>
          <w:tcPr>
            <w:tcW w:w="174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Event Hubs (Kafka API)</w:t>
            </w:r>
          </w:p>
        </w:tc>
        <w:tc>
          <w:tcPr>
            <w:tcW w:w="157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Pub/Sub</w:t>
            </w:r>
          </w:p>
        </w:tc>
      </w:tr>
      <w:tr>
        <w:trPr/>
        <w:tc>
          <w:tcPr>
            <w:tcW w:w="129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Временные ряды</w:t>
            </w:r>
          </w:p>
        </w:tc>
        <w:tc>
          <w:tcPr>
            <w:tcW w:w="276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TimescaleDB, InfluxDB или ClickHouse</w:t>
            </w:r>
          </w:p>
        </w:tc>
        <w:tc>
          <w:tcPr>
            <w:tcW w:w="164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Timestream или своя установка</w:t>
            </w:r>
          </w:p>
        </w:tc>
        <w:tc>
          <w:tcPr>
            <w:tcW w:w="174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Data Explorer или своя установка</w:t>
            </w:r>
          </w:p>
        </w:tc>
        <w:tc>
          <w:tcPr>
            <w:tcW w:w="157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Bigtable или своя установка</w:t>
            </w:r>
          </w:p>
        </w:tc>
      </w:tr>
      <w:tr>
        <w:trPr/>
        <w:tc>
          <w:tcPr>
            <w:tcW w:w="129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Реляционная БД</w:t>
            </w:r>
          </w:p>
        </w:tc>
        <w:tc>
          <w:tcPr>
            <w:tcW w:w="276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PostgreSQL с безопасностью на уровне строк</w:t>
            </w:r>
          </w:p>
        </w:tc>
        <w:tc>
          <w:tcPr>
            <w:tcW w:w="164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RDS / Aurora</w:t>
            </w:r>
          </w:p>
        </w:tc>
        <w:tc>
          <w:tcPr>
            <w:tcW w:w="174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Azure Database for PostgreSQL</w:t>
            </w:r>
          </w:p>
        </w:tc>
        <w:tc>
          <w:tcPr>
            <w:tcW w:w="157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Cloud SQL</w:t>
            </w:r>
          </w:p>
        </w:tc>
      </w:tr>
      <w:tr>
        <w:trPr/>
        <w:tc>
          <w:tcPr>
            <w:tcW w:w="129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Edge</w:t>
            </w:r>
          </w:p>
        </w:tc>
        <w:tc>
          <w:tcPr>
            <w:tcW w:w="276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Docker на промышленном ПК; открытые библиотеки OPC UA и Modbus</w:t>
            </w:r>
          </w:p>
        </w:tc>
        <w:tc>
          <w:tcPr>
            <w:tcW w:w="164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IoT Greengrass</w:t>
            </w:r>
          </w:p>
        </w:tc>
        <w:tc>
          <w:tcPr>
            <w:tcW w:w="174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IoT Edge</w:t>
            </w:r>
          </w:p>
        </w:tc>
        <w:tc>
          <w:tcPr>
            <w:tcW w:w="157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Партнёрский edge</w:t>
            </w:r>
          </w:p>
        </w:tc>
      </w:tr>
      <w:tr>
        <w:trPr/>
        <w:tc>
          <w:tcPr>
            <w:tcW w:w="129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Объектное хранилище</w:t>
            </w:r>
          </w:p>
        </w:tc>
        <w:tc>
          <w:tcPr>
            <w:tcW w:w="276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S3-совместимое</w:t>
            </w:r>
          </w:p>
        </w:tc>
        <w:tc>
          <w:tcPr>
            <w:tcW w:w="164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S3</w:t>
            </w:r>
          </w:p>
        </w:tc>
        <w:tc>
          <w:tcPr>
            <w:tcW w:w="174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Blob Storage</w:t>
            </w:r>
          </w:p>
        </w:tc>
        <w:tc>
          <w:tcPr>
            <w:tcW w:w="157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Cloud Storage</w:t>
            </w:r>
          </w:p>
        </w:tc>
      </w:tr>
      <w:tr>
        <w:trPr/>
        <w:tc>
          <w:tcPr>
            <w:tcW w:w="129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Инструменты ML</w:t>
            </w:r>
          </w:p>
        </w:tc>
        <w:tc>
          <w:tcPr>
            <w:tcW w:w="276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MLflow + Python</w:t>
            </w:r>
          </w:p>
        </w:tc>
        <w:tc>
          <w:tcPr>
            <w:tcW w:w="164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SageMaker</w:t>
            </w:r>
          </w:p>
        </w:tc>
        <w:tc>
          <w:tcPr>
            <w:tcW w:w="174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Azure ML</w:t>
            </w:r>
          </w:p>
        </w:tc>
        <w:tc>
          <w:tcPr>
            <w:tcW w:w="157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Vertex AI</w:t>
            </w:r>
          </w:p>
        </w:tc>
      </w:tr>
      <w:tr>
        <w:trPr/>
        <w:tc>
          <w:tcPr>
            <w:tcW w:w="129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Доступ к LLM</w:t>
            </w:r>
          </w:p>
        </w:tc>
        <w:tc>
          <w:tcPr>
            <w:tcW w:w="276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Шлюз, независимый от модели</w:t>
            </w:r>
          </w:p>
        </w:tc>
        <w:tc>
          <w:tcPr>
            <w:tcW w:w="164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Bedrock</w:t>
            </w:r>
          </w:p>
        </w:tc>
        <w:tc>
          <w:tcPr>
            <w:tcW w:w="174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Foundry</w:t>
            </w:r>
          </w:p>
        </w:tc>
        <w:tc>
          <w:tcPr>
            <w:tcW w:w="157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Vertex AI</w:t>
            </w:r>
          </w:p>
        </w:tc>
      </w:tr>
      <w:tr>
        <w:trPr/>
        <w:tc>
          <w:tcPr>
            <w:tcW w:w="129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Идентификация</w:t>
            </w:r>
          </w:p>
        </w:tc>
        <w:tc>
          <w:tcPr>
            <w:tcW w:w="276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Keycloak (OIDC)</w:t>
            </w:r>
          </w:p>
        </w:tc>
        <w:tc>
          <w:tcPr>
            <w:tcW w:w="1641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Cognito</w:t>
            </w:r>
          </w:p>
        </w:tc>
        <w:tc>
          <w:tcPr>
            <w:tcW w:w="174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Entra ID</w:t>
            </w:r>
          </w:p>
        </w:tc>
        <w:tc>
          <w:tcPr>
            <w:tcW w:w="157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Identity Platform</w:t>
            </w:r>
          </w:p>
        </w:tc>
      </w:tr>
      <w:tr>
        <w:trPr/>
        <w:tc>
          <w:tcPr>
            <w:tcW w:w="129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Наблюдаемость</w:t>
            </w:r>
          </w:p>
        </w:tc>
        <w:tc>
          <w:tcPr>
            <w:tcW w:w="276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OpenTelemetry, Prometheus, Grafana</w:t>
            </w:r>
          </w:p>
        </w:tc>
        <w:tc>
          <w:tcPr>
            <w:tcW w:w="1641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CloudWatch</w:t>
            </w:r>
          </w:p>
        </w:tc>
        <w:tc>
          <w:tcPr>
            <w:tcW w:w="174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Azure Monitor</w:t>
            </w:r>
          </w:p>
        </w:tc>
        <w:tc>
          <w:tcPr>
            <w:tcW w:w="157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Cloud Operations</w:t>
            </w:r>
          </w:p>
        </w:tc>
      </w:tr>
    </w:tbl>
    <w:p>
      <w:pPr>
        <w:pStyle w:val="BodyText"/>
      </w:pPr>
      <w:r>
        <w:t xml:space="preserve">Azure совпадает с Netilion, что удобно для партнёрства с E+H. Резидентность данных (ЕС, США) — атрибут арендатора.</w:t>
      </w:r>
    </w:p>
    <w:bookmarkEnd w:id="49"/>
    <w:bookmarkStart w:id="50" w:name="основная-модель-данных"/>
    <w:p>
      <w:pPr>
        <w:pStyle w:val="Heading3"/>
      </w:pPr>
      <w:r>
        <w:t xml:space="preserve">Основная модель данных</w:t>
      </w:r>
    </w:p>
    <w:tbl>
      <w:tblPr>
        <w:tblW w:w="9026" w:type="dxa"/>
        <w:tblBorders>
          <w:top w:val="single" w:sz="4" w:space="0" w:color="939598"/>
          <w:left w:val="single" w:sz="4" w:space="0" w:color="939598"/>
          <w:bottom w:val="single" w:sz="4" w:space="0" w:color="939598"/>
          <w:right w:val="single" w:sz="4" w:space="0" w:color="939598"/>
          <w:insideH w:val="single" w:sz="4" w:space="0" w:color="939598"/>
          <w:insideV w:val="single" w:sz="4" w:space="0" w:color="939598"/>
        </w:tblBorders>
        <w:tblLayout w:type="fixed"/>
        <w:tblCellMar>
          <w:top w:w="57" w:type="dxa"/>
          <w:left w:w="100" w:type="dxa"/>
          <w:bottom w:w="57" w:type="dxa"/>
          <w:right w:w="100" w:type="dxa"/>
        </w:tblCellMar>
        <w:tblLook w:firstRow="1" w:lastRow="0" w:firstColumn="0" w:lastColumn="0" w:noHBand="0" w:noVBand="0" w:val="0020"/>
      </w:tblPr>
      <w:tblGrid>
        <w:gridCol w:w="3673"/>
        <w:gridCol w:w="5353"/>
      </w:tblGrid>
      <w:tr>
        <w:trPr>
          <w:tblHeader w:val="true"/>
          <w:tblHeader/>
        </w:trPr>
        <w:tc>
          <w:tcPr>
            <w:tcW w:w="3673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Сущность</w:t>
            </w:r>
          </w:p>
        </w:tc>
        <w:tc>
          <w:tcPr>
            <w:tcW w:w="5353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Ключевые атрибуты</w:t>
            </w:r>
          </w:p>
        </w:tc>
      </w:tr>
      <w:tr>
        <w:trPr/>
        <w:tc>
          <w:tcPr>
            <w:tcW w:w="367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Организация / площадка</w:t>
            </w:r>
          </w:p>
        </w:tc>
        <w:tc>
          <w:tcPr>
            <w:tcW w:w="535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Регион, часовой пояс, единицы, резидентность, юрисдикция акциза</w:t>
            </w:r>
          </w:p>
        </w:tc>
      </w:tr>
      <w:tr>
        <w:trPr/>
        <w:tc>
          <w:tcPr>
            <w:tcW w:w="367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Ёмкость</w:t>
            </w:r>
          </w:p>
        </w:tc>
        <w:tc>
          <w:tcPr>
            <w:tcW w:w="535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Тип, объём, площадка</w:t>
            </w:r>
          </w:p>
        </w:tc>
      </w:tr>
      <w:tr>
        <w:trPr/>
        <w:tc>
          <w:tcPr>
            <w:tcW w:w="367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Устройство / тег</w:t>
            </w:r>
          </w:p>
        </w:tc>
        <w:tc>
          <w:tcPr>
            <w:tcW w:w="535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Вендор, модель, серийный номер, протокол, адрес или ID узла, единица, привязка к ёмкости, оценка доверия</w:t>
            </w:r>
          </w:p>
        </w:tc>
      </w:tr>
      <w:tr>
        <w:trPr/>
        <w:tc>
          <w:tcPr>
            <w:tcW w:w="367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Запись Offset</w:t>
            </w:r>
          </w:p>
        </w:tc>
        <w:tc>
          <w:tcPr>
            <w:tcW w:w="535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Устройство, дата, состав и свойства эталонного сусла, лабораторные значения, поправка</w:t>
            </w:r>
          </w:p>
        </w:tc>
      </w:tr>
      <w:tr>
        <w:trPr/>
        <w:tc>
          <w:tcPr>
            <w:tcW w:w="367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Проверка точности</w:t>
            </w:r>
          </w:p>
        </w:tc>
        <w:tc>
          <w:tcPr>
            <w:tcW w:w="535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Устройство, среда (воздух, дистиллированная вода), результат, допуск, следующий срок</w:t>
            </w:r>
          </w:p>
        </w:tc>
      </w:tr>
      <w:tr>
        <w:trPr/>
        <w:tc>
          <w:tcPr>
            <w:tcW w:w="367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Рецептура / техкарта</w:t>
            </w:r>
          </w:p>
        </w:tc>
        <w:tc>
          <w:tcPr>
            <w:tcW w:w="535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Стиль, нормы сырья, этапы с температурным профилем, спецификации, профиль лимитов</w:t>
            </w:r>
          </w:p>
        </w:tc>
      </w:tr>
      <w:tr>
        <w:trPr/>
        <w:tc>
          <w:tcPr>
            <w:tcW w:w="367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Партия</w:t>
            </w:r>
          </w:p>
        </w:tc>
        <w:tc>
          <w:tcPr>
            <w:tcW w:w="535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Версия техкарты, номер партии, статус</w:t>
            </w:r>
          </w:p>
        </w:tc>
      </w:tr>
      <w:tr>
        <w:trPr/>
        <w:tc>
          <w:tcPr>
            <w:tcW w:w="367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Занятость ёмкости</w:t>
            </w:r>
          </w:p>
        </w:tc>
        <w:tc>
          <w:tcPr>
            <w:tcW w:w="535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Партия, ёмкость, с / по, время записи (битемпорально)</w:t>
            </w:r>
          </w:p>
        </w:tc>
      </w:tr>
      <w:tr>
        <w:trPr/>
        <w:tc>
          <w:tcPr>
            <w:tcW w:w="367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Партия сырья</w:t>
            </w:r>
          </w:p>
        </w:tc>
        <w:tc>
          <w:tcPr>
            <w:tcW w:w="535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Материал, поставщик, номер партии поставщика, количество, партия; запись в архиве</w:t>
            </w:r>
          </w:p>
        </w:tc>
      </w:tr>
      <w:tr>
        <w:trPr/>
        <w:tc>
          <w:tcPr>
            <w:tcW w:w="367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Показание</w:t>
            </w:r>
          </w:p>
        </w:tc>
        <w:tc>
          <w:tcPr>
            <w:tcW w:w="535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Параметр, значение, единица, источник, происхождение, флаги качества, доверие, партия, стадия</w:t>
            </w:r>
          </w:p>
        </w:tc>
      </w:tr>
      <w:tr>
        <w:trPr/>
        <w:tc>
          <w:tcPr>
            <w:tcW w:w="367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Событие</w:t>
            </w:r>
          </w:p>
        </w:tc>
        <w:tc>
          <w:tcPr>
            <w:tcW w:w="535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Заполнение, перелив, начало и конец CIP, температурный шаг, сухое охмеление, розлив</w:t>
            </w:r>
          </w:p>
        </w:tc>
      </w:tr>
      <w:tr>
        <w:trPr/>
        <w:tc>
          <w:tcPr>
            <w:tcW w:w="367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Запись CIP</w:t>
            </w:r>
          </w:p>
        </w:tc>
        <w:tc>
          <w:tcPr>
            <w:tcW w:w="535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Ёмкость, начало, конец, найденные среды, моющее средство, оператор</w:t>
            </w:r>
          </w:p>
        </w:tc>
      </w:tr>
      <w:tr>
        <w:trPr/>
        <w:tc>
          <w:tcPr>
            <w:tcW w:w="367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Штамм / генерация дрожжей</w:t>
            </w:r>
          </w:p>
        </w:tc>
        <w:tc>
          <w:tcPr>
            <w:tcW w:w="535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Штамм, генерация, концентрация клеток, жизнеспособность, исходная партия</w:t>
            </w:r>
          </w:p>
        </w:tc>
      </w:tr>
      <w:tr>
        <w:trPr/>
        <w:tc>
          <w:tcPr>
            <w:tcW w:w="367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Лабораторный результат</w:t>
            </w:r>
          </w:p>
        </w:tc>
        <w:tc>
          <w:tcPr>
            <w:tcW w:w="535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Параметр, значение, метод, лаборатория, файл</w:t>
            </w:r>
          </w:p>
        </w:tc>
      </w:tr>
      <w:tr>
        <w:trPr/>
        <w:tc>
          <w:tcPr>
            <w:tcW w:w="367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Микробиологический анализ</w:t>
            </w:r>
          </w:p>
        </w:tc>
        <w:tc>
          <w:tcPr>
            <w:tcW w:w="535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Тип (посев, ПЦР), организм, результат, партия</w:t>
            </w:r>
          </w:p>
        </w:tc>
      </w:tr>
      <w:tr>
        <w:trPr/>
        <w:tc>
          <w:tcPr>
            <w:tcW w:w="367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Дегустационная панель</w:t>
            </w:r>
          </w:p>
        </w:tc>
        <w:tc>
          <w:tcPr>
            <w:tcW w:w="535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Партия, дегустаторы, оценки по признакам, посторонние привкусы, сводная оценка</w:t>
            </w:r>
          </w:p>
        </w:tc>
      </w:tr>
      <w:tr>
        <w:trPr/>
        <w:tc>
          <w:tcPr>
            <w:tcW w:w="367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Производственная задача</w:t>
            </w:r>
          </w:p>
        </w:tc>
        <w:tc>
          <w:tcPr>
            <w:tcW w:w="535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Тип, ёмкость или партия, исполнитель, срок, статус</w:t>
            </w:r>
          </w:p>
        </w:tc>
      </w:tr>
      <w:tr>
        <w:trPr/>
        <w:tc>
          <w:tcPr>
            <w:tcW w:w="367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Одобрение розлива</w:t>
            </w:r>
          </w:p>
        </w:tc>
        <w:tc>
          <w:tcPr>
            <w:tcW w:w="535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Партия, проверки, решение, подписант, время</w:t>
            </w:r>
          </w:p>
        </w:tc>
      </w:tr>
      <w:tr>
        <w:trPr/>
        <w:tc>
          <w:tcPr>
            <w:tcW w:w="367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Декларация акциза</w:t>
            </w:r>
          </w:p>
        </w:tc>
        <w:tc>
          <w:tcPr>
            <w:tcW w:w="535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Юрисдикция, период, объёмы, крепость или начальный экстракт, ставка, сумма</w:t>
            </w:r>
          </w:p>
        </w:tc>
      </w:tr>
      <w:tr>
        <w:trPr/>
        <w:tc>
          <w:tcPr>
            <w:tcW w:w="367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Оповещение, прогноз, отчёт, документ качества</w:t>
            </w:r>
          </w:p>
        </w:tc>
        <w:tc>
          <w:tcPr>
            <w:tcW w:w="535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Правило и доказательства; версия модели и диапазон; снимок, подписант, версия</w:t>
            </w:r>
          </w:p>
        </w:tc>
      </w:tr>
    </w:tbl>
    <w:bookmarkEnd w:id="50"/>
    <w:bookmarkStart w:id="51" w:name="шаблоны-интеграции"/>
    <w:p>
      <w:pPr>
        <w:pStyle w:val="Heading3"/>
      </w:pPr>
      <w:r>
        <w:t xml:space="preserve">Шаблоны интеграции</w:t>
      </w:r>
    </w:p>
    <w:tbl>
      <w:tblPr>
        <w:tblW w:w="9026" w:type="dxa"/>
        <w:tblBorders>
          <w:top w:val="single" w:sz="4" w:space="0" w:color="939598"/>
          <w:left w:val="single" w:sz="4" w:space="0" w:color="939598"/>
          <w:bottom w:val="single" w:sz="4" w:space="0" w:color="939598"/>
          <w:right w:val="single" w:sz="4" w:space="0" w:color="939598"/>
          <w:insideH w:val="single" w:sz="4" w:space="0" w:color="939598"/>
          <w:insideV w:val="single" w:sz="4" w:space="0" w:color="939598"/>
        </w:tblBorders>
        <w:tblLayout w:type="fixed"/>
        <w:tblCellMar>
          <w:top w:w="57" w:type="dxa"/>
          <w:left w:w="100" w:type="dxa"/>
          <w:bottom w:w="57" w:type="dxa"/>
          <w:right w:w="100" w:type="dxa"/>
        </w:tblCellMar>
        <w:tblLook w:firstRow="1" w:lastRow="0" w:firstColumn="0" w:lastColumn="0" w:noHBand="0" w:noVBand="0" w:val="0020"/>
      </w:tblPr>
      <w:tblGrid>
        <w:gridCol w:w="2204"/>
        <w:gridCol w:w="2878"/>
        <w:gridCol w:w="1064"/>
        <w:gridCol w:w="2880"/>
      </w:tblGrid>
      <w:tr>
        <w:trPr>
          <w:tblHeader w:val="true"/>
          <w:tblHeader/>
        </w:trPr>
        <w:tc>
          <w:tcPr>
            <w:tcW w:w="2204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Источник</w:t>
            </w:r>
          </w:p>
        </w:tc>
        <w:tc>
          <w:tcPr>
            <w:tcW w:w="2878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Шаблон</w:t>
            </w:r>
          </w:p>
        </w:tc>
        <w:tc>
          <w:tcPr>
            <w:tcW w:w="1064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Задержка</w:t>
            </w:r>
          </w:p>
        </w:tc>
        <w:tc>
          <w:tcPr>
            <w:tcW w:w="2880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Основной риск</w:t>
            </w:r>
          </w:p>
        </w:tc>
      </w:tr>
      <w:tr>
        <w:trPr/>
        <w:tc>
          <w:tcPr>
            <w:tcW w:w="220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QWX43 через Netilion</w:t>
            </w:r>
          </w:p>
        </w:tc>
        <w:tc>
          <w:tcPr>
            <w:tcW w:w="2878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Опрос REST или подписка</w:t>
            </w:r>
          </w:p>
        </w:tc>
        <w:tc>
          <w:tcPr>
            <w:tcW w:w="106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Минуты</w:t>
            </w:r>
          </w:p>
        </w:tc>
        <w:tc>
          <w:tcPr>
            <w:tcW w:w="288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Условия доступа к API с E+H</w:t>
            </w:r>
          </w:p>
        </w:tc>
      </w:tr>
      <w:tr>
        <w:trPr/>
        <w:tc>
          <w:tcPr>
            <w:tcW w:w="220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Датчики E+H pH, кислорода, CO₂</w:t>
            </w:r>
          </w:p>
        </w:tc>
        <w:tc>
          <w:tcPr>
            <w:tcW w:w="2878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Через систему E+H</w:t>
            </w:r>
          </w:p>
        </w:tc>
        <w:tc>
          <w:tcPr>
            <w:tcW w:w="106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Минуты</w:t>
            </w:r>
          </w:p>
        </w:tc>
        <w:tc>
          <w:tcPr>
            <w:tcW w:w="288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Путь подключения подтвердить с E+H</w:t>
            </w:r>
          </w:p>
        </w:tc>
      </w:tr>
      <w:tr>
        <w:trPr/>
        <w:tc>
          <w:tcPr>
            <w:tcW w:w="220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ПЛК по OPC UA</w:t>
            </w:r>
          </w:p>
        </w:tc>
        <w:tc>
          <w:tcPr>
            <w:tcW w:w="2878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Шлюз подписывается на узлы</w:t>
            </w:r>
          </w:p>
        </w:tc>
        <w:tc>
          <w:tcPr>
            <w:tcW w:w="106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Секунды</w:t>
            </w:r>
          </w:p>
        </w:tc>
        <w:tc>
          <w:tcPr>
            <w:tcW w:w="288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Сертификаты, поиск тегов</w:t>
            </w:r>
          </w:p>
        </w:tc>
      </w:tr>
      <w:tr>
        <w:trPr/>
        <w:tc>
          <w:tcPr>
            <w:tcW w:w="220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ПЛК по Modbus TCP</w:t>
            </w:r>
          </w:p>
        </w:tc>
        <w:tc>
          <w:tcPr>
            <w:tcW w:w="2878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Шлюз опрашивает регистры</w:t>
            </w:r>
          </w:p>
        </w:tc>
        <w:tc>
          <w:tcPr>
            <w:tcW w:w="106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Секунды</w:t>
            </w:r>
          </w:p>
        </w:tc>
        <w:tc>
          <w:tcPr>
            <w:tcW w:w="288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Карты регистров разные у вендоров</w:t>
            </w:r>
          </w:p>
        </w:tc>
      </w:tr>
      <w:tr>
        <w:trPr/>
        <w:tc>
          <w:tcPr>
            <w:tcW w:w="220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ПЛК по Profinet</w:t>
            </w:r>
          </w:p>
        </w:tc>
        <w:tc>
          <w:tcPr>
            <w:tcW w:w="2878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Шлюз Profinet или ПЛК отдаёт данные на edge</w:t>
            </w:r>
          </w:p>
        </w:tc>
        <w:tc>
          <w:tcPr>
            <w:tcW w:w="106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Секунды</w:t>
            </w:r>
          </w:p>
        </w:tc>
        <w:tc>
          <w:tcPr>
            <w:tcW w:w="288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Оборудование и настройка на каждой площадке</w:t>
            </w:r>
          </w:p>
        </w:tc>
      </w:tr>
      <w:tr>
        <w:trPr/>
        <w:tc>
          <w:tcPr>
            <w:tcW w:w="220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Лабораторные файлы</w:t>
            </w:r>
          </w:p>
        </w:tc>
        <w:tc>
          <w:tcPr>
            <w:tcW w:w="2878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Загрузка CSV или PDF с сопоставлением</w:t>
            </w:r>
          </w:p>
        </w:tc>
        <w:tc>
          <w:tcPr>
            <w:tcW w:w="106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По пробе</w:t>
            </w:r>
          </w:p>
        </w:tc>
        <w:tc>
          <w:tcPr>
            <w:tcW w:w="288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Разные форматы</w:t>
            </w:r>
          </w:p>
        </w:tc>
      </w:tr>
      <w:tr>
        <w:trPr/>
        <w:tc>
          <w:tcPr>
            <w:tcW w:w="220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QR и ручной ввод</w:t>
            </w:r>
          </w:p>
        </w:tc>
        <w:tc>
          <w:tcPr>
            <w:tcW w:w="2878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PWA на планшете, офлайн-синхронизация</w:t>
            </w:r>
          </w:p>
        </w:tc>
        <w:tc>
          <w:tcPr>
            <w:tcW w:w="106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Сразу</w:t>
            </w:r>
          </w:p>
        </w:tc>
        <w:tc>
          <w:tcPr>
            <w:tcW w:w="288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Ввод задним числом</w:t>
            </w:r>
          </w:p>
        </w:tc>
      </w:tr>
      <w:tr>
        <w:trPr/>
        <w:tc>
          <w:tcPr>
            <w:tcW w:w="220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Позже: другие датчики, ERP</w:t>
            </w:r>
          </w:p>
        </w:tc>
        <w:tc>
          <w:tcPr>
            <w:tcW w:w="2878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HTTP, MQTT, REST</w:t>
            </w:r>
          </w:p>
        </w:tc>
        <w:tc>
          <w:tcPr>
            <w:tcW w:w="106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Минуты</w:t>
            </w:r>
          </w:p>
        </w:tc>
        <w:tc>
          <w:tcPr>
            <w:tcW w:w="288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Много разных систем</w:t>
            </w:r>
          </w:p>
        </w:tc>
      </w:tr>
    </w:tbl>
    <w:bookmarkEnd w:id="51"/>
    <w:bookmarkStart w:id="52" w:name="ml-и-прогнозирование"/>
    <w:p>
      <w:pPr>
        <w:pStyle w:val="Heading3"/>
      </w:pPr>
      <w:r>
        <w:t xml:space="preserve">ML и прогнозирование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Прогноз брожения:</w:t>
      </w:r>
      <w:r>
        <w:t xml:space="preserve"> </w:t>
      </w:r>
      <w:r>
        <w:t xml:space="preserve">подбор кривой по техкарте с байесовским обновлением по истории; время окончания и конечная плотность с диапазонами.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Определение смены сред:</w:t>
      </w:r>
      <w:r>
        <w:t xml:space="preserve"> </w:t>
      </w:r>
      <w:r>
        <w:t xml:space="preserve">поиск точек изменения в скорости звука и плотности, сверка с занятостью ёмкостей и графиком CIP.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Анализ отклонений:</w:t>
      </w:r>
      <w:r>
        <w:t xml:space="preserve"> </w:t>
      </w:r>
      <w:r>
        <w:t xml:space="preserve">показания сравниваются с температурным профилем техкарты и коридором рецепта, поэтому запрограммированные паузы не отмечаются.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Анализ точности:</w:t>
      </w:r>
      <w:r>
        <w:t xml:space="preserve"> </w:t>
      </w:r>
      <w:r>
        <w:t xml:space="preserve">остатки между датчиком и лабораторией по каждому устройству; отчёт по парку для E+H с согласия пивоварен.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Этап 3:</w:t>
      </w:r>
      <w:r>
        <w:t xml:space="preserve"> </w:t>
      </w:r>
      <w:r>
        <w:t xml:space="preserve">прогноз вкуса, рекомендации по рецептуре и «что если», динамический Offset, общие модели на данных арендаторов, давших согласие.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Управление:</w:t>
      </w:r>
      <w:r>
        <w:t xml:space="preserve"> </w:t>
      </w:r>
      <w:r>
        <w:t xml:space="preserve">реестр моделей, ретроспективная проверка, опубликованная точность.</w:t>
      </w:r>
    </w:p>
    <w:bookmarkEnd w:id="52"/>
    <w:bookmarkStart w:id="53" w:name="контекст-партии"/>
    <w:p>
      <w:pPr>
        <w:pStyle w:val="Heading3"/>
      </w:pPr>
      <w:r>
        <w:t xml:space="preserve">Контекст партии</w:t>
      </w:r>
    </w:p>
    <w:p>
      <w:pPr>
        <w:pStyle w:val="FirstParagraph"/>
      </w:pPr>
      <w:r>
        <w:t xml:space="preserve">У занятости ёмкостей и привязок устройств есть период действия в бизнес-времени и дата записи в системном времени. При приёме партия и стадия определяются по текущей занятости. Когда запись меняется, затронутое окно пересчитывается вместе с оповещениями, прогнозами и событиями CIP.</w:t>
      </w:r>
    </w:p>
    <w:bookmarkEnd w:id="53"/>
    <w:bookmarkStart w:id="54" w:name="размеры-и-целевые-показатели-подтвердить"/>
    <w:p>
      <w:pPr>
        <w:pStyle w:val="Heading3"/>
      </w:pPr>
      <w:r>
        <w:t xml:space="preserve">Размеры и целевые показатели (подтвердить)</w:t>
      </w:r>
    </w:p>
    <w:tbl>
      <w:tblPr>
        <w:tblW w:w="9026" w:type="dxa"/>
        <w:tblBorders>
          <w:top w:val="single" w:sz="4" w:space="0" w:color="939598"/>
          <w:left w:val="single" w:sz="4" w:space="0" w:color="939598"/>
          <w:bottom w:val="single" w:sz="4" w:space="0" w:color="939598"/>
          <w:right w:val="single" w:sz="4" w:space="0" w:color="939598"/>
          <w:insideH w:val="single" w:sz="4" w:space="0" w:color="939598"/>
          <w:insideV w:val="single" w:sz="4" w:space="0" w:color="939598"/>
        </w:tblBorders>
        <w:tblLayout w:type="fixed"/>
        <w:tblCellMar>
          <w:top w:w="57" w:type="dxa"/>
          <w:left w:w="100" w:type="dxa"/>
          <w:bottom w:w="57" w:type="dxa"/>
          <w:right w:w="100" w:type="dxa"/>
        </w:tblCellMar>
        <w:tblLook w:firstRow="1" w:lastRow="0" w:firstColumn="0" w:lastColumn="0" w:noHBand="0" w:noVBand="0" w:val="0020"/>
      </w:tblPr>
      <w:tblGrid>
        <w:gridCol w:w="2609"/>
        <w:gridCol w:w="3262"/>
        <w:gridCol w:w="3155"/>
      </w:tblGrid>
      <w:tr>
        <w:trPr>
          <w:tblHeader w:val="true"/>
          <w:tblHeader/>
        </w:trPr>
        <w:tc>
          <w:tcPr>
            <w:tcW w:w="2609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Параметр</w:t>
            </w:r>
          </w:p>
        </w:tc>
        <w:tc>
          <w:tcPr>
            <w:tcW w:w="3262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Пилот</w:t>
            </w:r>
          </w:p>
        </w:tc>
        <w:tc>
          <w:tcPr>
            <w:tcW w:w="3155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Цель на 2-й год</w:t>
            </w:r>
          </w:p>
        </w:tc>
      </w:tr>
      <w:tr>
        <w:trPr/>
        <w:tc>
          <w:tcPr>
            <w:tcW w:w="260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Пивоварни</w:t>
            </w:r>
          </w:p>
        </w:tc>
        <w:tc>
          <w:tcPr>
            <w:tcW w:w="3262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2–3</w:t>
            </w:r>
          </w:p>
        </w:tc>
        <w:tc>
          <w:tcPr>
            <w:tcW w:w="315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100</w:t>
            </w:r>
          </w:p>
        </w:tc>
      </w:tr>
      <w:tr>
        <w:trPr/>
        <w:tc>
          <w:tcPr>
            <w:tcW w:w="260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Ёмкости</w:t>
            </w:r>
          </w:p>
        </w:tc>
        <w:tc>
          <w:tcPr>
            <w:tcW w:w="3262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до 100</w:t>
            </w:r>
          </w:p>
        </w:tc>
        <w:tc>
          <w:tcPr>
            <w:tcW w:w="315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3 000</w:t>
            </w:r>
          </w:p>
        </w:tc>
      </w:tr>
      <w:tr>
        <w:trPr/>
        <w:tc>
          <w:tcPr>
            <w:tcW w:w="260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Тегов на ёмкость</w:t>
            </w:r>
          </w:p>
        </w:tc>
        <w:tc>
          <w:tcPr>
            <w:tcW w:w="3262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около 20 (ПЛК и датчики)</w:t>
            </w:r>
          </w:p>
        </w:tc>
        <w:tc>
          <w:tcPr>
            <w:tcW w:w="315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около 20</w:t>
            </w:r>
          </w:p>
        </w:tc>
      </w:tr>
      <w:tr>
        <w:trPr/>
        <w:tc>
          <w:tcPr>
            <w:tcW w:w="260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Интервал показаний</w:t>
            </w:r>
          </w:p>
        </w:tc>
        <w:tc>
          <w:tcPr>
            <w:tcW w:w="3262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10 с – 1 мин</w:t>
            </w:r>
          </w:p>
        </w:tc>
        <w:tc>
          <w:tcPr>
            <w:tcW w:w="315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то же</w:t>
            </w:r>
          </w:p>
        </w:tc>
      </w:tr>
      <w:tr>
        <w:trPr/>
        <w:tc>
          <w:tcPr>
            <w:tcW w:w="260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Пиковый приём</w:t>
            </w:r>
          </w:p>
        </w:tc>
        <w:tc>
          <w:tcPr>
            <w:tcW w:w="3262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около 200 показаний/с</w:t>
            </w:r>
          </w:p>
        </w:tc>
        <w:tc>
          <w:tcPr>
            <w:tcW w:w="315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около 6 000 показаний/с</w:t>
            </w:r>
          </w:p>
        </w:tc>
      </w:tr>
      <w:tr>
        <w:trPr/>
        <w:tc>
          <w:tcPr>
            <w:tcW w:w="2609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Свежесть панелей</w:t>
            </w:r>
          </w:p>
        </w:tc>
        <w:tc>
          <w:tcPr>
            <w:tcW w:w="3262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менее 1 мин</w:t>
            </w:r>
          </w:p>
        </w:tc>
        <w:tc>
          <w:tcPr>
            <w:tcW w:w="315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менее 1 мин</w:t>
            </w:r>
          </w:p>
        </w:tc>
      </w:tr>
      <w:tr>
        <w:trPr/>
        <w:tc>
          <w:tcPr>
            <w:tcW w:w="2609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Доступность</w:t>
            </w:r>
          </w:p>
        </w:tc>
        <w:tc>
          <w:tcPr>
            <w:tcW w:w="3262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99,5%</w:t>
            </w:r>
          </w:p>
        </w:tc>
        <w:tc>
          <w:tcPr>
            <w:tcW w:w="315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99,9%</w:t>
            </w:r>
          </w:p>
        </w:tc>
      </w:tr>
    </w:tbl>
    <w:bookmarkEnd w:id="54"/>
    <w:bookmarkStart w:id="55" w:name="безопасность-ии-и-владение-данными"/>
    <w:p>
      <w:pPr>
        <w:pStyle w:val="Heading3"/>
      </w:pPr>
      <w:r>
        <w:t xml:space="preserve">Безопасность, ИИ и владение данными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Безопасность OT:</w:t>
      </w:r>
      <w:r>
        <w:t xml:space="preserve"> </w:t>
      </w:r>
      <w:r>
        <w:t xml:space="preserve">шлюз стоит в сегментированной OT-сети, открывает только исходящие соединения, использует подписанные образы и сертификаты на каждое устройство.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ИИ только на чтение:</w:t>
      </w:r>
      <w:r>
        <w:t xml:space="preserve"> </w:t>
      </w:r>
      <w:r>
        <w:t xml:space="preserve">инструменты MCP строятся на эндпоинтах чтения; каждое утверждение ссылается на запись; входные данные — это данные, а не инструкции; лимиты стоимости на арендатора.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Владение данными:</w:t>
      </w:r>
      <w:r>
        <w:t xml:space="preserve"> </w:t>
      </w:r>
      <w:r>
        <w:t xml:space="preserve">каждая пивоварня владеет своими данными. Анализ точности по парку для E+H использует обезличенные данные с согласия. Общие модели — только на данных с явным согласием.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Соответствие:</w:t>
      </w:r>
      <w:r>
        <w:t xml:space="preserve"> </w:t>
      </w:r>
      <w:r>
        <w:t xml:space="preserve">меры по ISO 27001 с самого начала; GDPR для персональных данных.</w:t>
      </w:r>
    </w:p>
    <w:bookmarkEnd w:id="55"/>
    <w:bookmarkStart w:id="56" w:name="тестирование-и-симуляция"/>
    <w:p>
      <w:pPr>
        <w:pStyle w:val="Heading3"/>
      </w:pPr>
      <w:r>
        <w:t xml:space="preserve">Тестирование и симуляция</w:t>
      </w:r>
    </w:p>
    <w:p>
      <w:pPr>
        <w:numPr>
          <w:ilvl w:val="0"/>
          <w:numId w:val="1014"/>
        </w:numPr>
        <w:pStyle w:val="Compact"/>
      </w:pPr>
      <w:r>
        <w:t xml:space="preserve">Симулятор брожения создаёт партии со сменой сред, CIP, температурными паузами, лабораторными результатами и сбоями.</w:t>
      </w:r>
    </w:p>
    <w:p>
      <w:pPr>
        <w:numPr>
          <w:ilvl w:val="0"/>
          <w:numId w:val="1014"/>
        </w:numPr>
        <w:pStyle w:val="Compact"/>
      </w:pPr>
      <w:r>
        <w:t xml:space="preserve">Симуляторы протоколов (сервер OPC UA, ведомое устройство Modbus) питают шлюз в тестах.</w:t>
      </w:r>
    </w:p>
    <w:p>
      <w:pPr>
        <w:numPr>
          <w:ilvl w:val="0"/>
          <w:numId w:val="1014"/>
        </w:numPr>
        <w:pStyle w:val="Compact"/>
      </w:pPr>
      <w:r>
        <w:t xml:space="preserve">Контрактные тесты идут на записанных ответах Netilion; тесты воспроизведения проверяют опоздавшие данные; нагрузочные тесты — на целевой скорости приёма.</w:t>
      </w:r>
    </w:p>
    <w:bookmarkEnd w:id="56"/>
    <w:bookmarkEnd w:id="57"/>
    <w:bookmarkStart w:id="58" w:name="что-мы-берём-из-smartlab-и-datavest"/>
    <w:p>
      <w:pPr>
        <w:pStyle w:val="Heading2"/>
      </w:pPr>
      <w:r>
        <w:t xml:space="preserve">Что мы берём из SmartLab и DataVest</w:t>
      </w:r>
    </w:p>
    <w:p>
      <w:pPr>
        <w:pStyle w:val="FirstParagraph"/>
      </w:pPr>
      <w:r>
        <w:t xml:space="preserve">DataVest — продукт на пилотной стадии с одним активным проектом. Он даёт проектные решения и опыт, а не промышленный код:</w:t>
      </w:r>
    </w:p>
    <w:p>
      <w:pPr>
        <w:numPr>
          <w:ilvl w:val="0"/>
          <w:numId w:val="1015"/>
        </w:numPr>
        <w:pStyle w:val="Compact"/>
      </w:pPr>
      <w:r>
        <w:t xml:space="preserve">решения по документообороту и контролю качества;</w:t>
      </w:r>
    </w:p>
    <w:p>
      <w:pPr>
        <w:numPr>
          <w:ilvl w:val="0"/>
          <w:numId w:val="1015"/>
        </w:numPr>
        <w:pStyle w:val="Compact"/>
      </w:pPr>
      <w:r>
        <w:t xml:space="preserve">подход SmartLab к лабораторным данным, спецификациям и журналу аудита — основа модуля LIMS;</w:t>
      </w:r>
    </w:p>
    <w:p>
      <w:pPr>
        <w:numPr>
          <w:ilvl w:val="0"/>
          <w:numId w:val="1015"/>
        </w:numPr>
        <w:pStyle w:val="Compact"/>
      </w:pPr>
      <w:r>
        <w:t xml:space="preserve">модель данных и абстракцию коннекторов;</w:t>
      </w:r>
    </w:p>
    <w:p>
      <w:pPr>
        <w:numPr>
          <w:ilvl w:val="0"/>
          <w:numId w:val="1015"/>
        </w:numPr>
        <w:pStyle w:val="Compact"/>
      </w:pPr>
      <w:r>
        <w:t xml:space="preserve">экраны мониторинга;</w:t>
      </w:r>
    </w:p>
    <w:p>
      <w:pPr>
        <w:numPr>
          <w:ilvl w:val="0"/>
          <w:numId w:val="1015"/>
        </w:numPr>
        <w:pStyle w:val="Compact"/>
      </w:pPr>
      <w:r>
        <w:t xml:space="preserve">практику машинного обучения.</w:t>
      </w:r>
    </w:p>
    <w:bookmarkEnd w:id="58"/>
    <w:bookmarkStart w:id="65" w:name="реализация"/>
    <w:p>
      <w:pPr>
        <w:pStyle w:val="Heading2"/>
      </w:pPr>
      <w:r>
        <w:t xml:space="preserve">Реализация</w:t>
      </w:r>
    </w:p>
    <w:p>
      <w:pPr>
        <w:pStyle w:val="CaptionedFigure"/>
        <w:keepNext/>
        <w:spacing w:line="240" w:lineRule="auto"/>
        <w:jc w:val="center"/>
      </w:pPr>
      <w:r>
        <w:drawing>
          <wp:inline>
            <wp:extent cx="5334000" cy="2127249"/>
            <wp:effectExtent b="0" l="0" r="0" t="0"/>
            <wp:docPr descr="Рисунок 5. Дорожная карта — четыре этапа, три точки решения (не в масштабе)" title="" id="60" name="Picture"/>
            <a:graphic>
              <a:graphicData uri="http://schemas.openxmlformats.org/drawingml/2006/picture">
                <pic:pic>
                  <pic:nvPicPr>
                    <pic:cNvPr descr="iarru-004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7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5. Дорожная карта — четыре этапа, три точки решения (не в масштабе)</w:t>
      </w:r>
    </w:p>
    <w:bookmarkStart w:id="62" w:name="пакеты-работ-этапа-1"/>
    <w:p>
      <w:pPr>
        <w:pStyle w:val="Heading3"/>
      </w:pPr>
      <w:r>
        <w:t xml:space="preserve">Пакеты работ этапа 1</w:t>
      </w:r>
    </w:p>
    <w:tbl>
      <w:tblPr>
        <w:tblW w:w="9026" w:type="dxa"/>
        <w:tblBorders>
          <w:top w:val="single" w:sz="4" w:space="0" w:color="939598"/>
          <w:left w:val="single" w:sz="4" w:space="0" w:color="939598"/>
          <w:bottom w:val="single" w:sz="4" w:space="0" w:color="939598"/>
          <w:right w:val="single" w:sz="4" w:space="0" w:color="939598"/>
          <w:insideH w:val="single" w:sz="4" w:space="0" w:color="939598"/>
          <w:insideV w:val="single" w:sz="4" w:space="0" w:color="939598"/>
        </w:tblBorders>
        <w:tblLayout w:type="fixed"/>
        <w:tblCellMar>
          <w:top w:w="57" w:type="dxa"/>
          <w:left w:w="100" w:type="dxa"/>
          <w:bottom w:w="57" w:type="dxa"/>
          <w:right w:w="100" w:type="dxa"/>
        </w:tblCellMar>
        <w:tblLook w:firstRow="1" w:lastRow="0" w:firstColumn="0" w:lastColumn="0" w:noHBand="0" w:noVBand="0" w:val="0020"/>
      </w:tblPr>
      <w:tblGrid>
        <w:gridCol w:w="5524"/>
        <w:gridCol w:w="1093"/>
        <w:gridCol w:w="1314"/>
        <w:gridCol w:w="1095"/>
      </w:tblGrid>
      <w:tr>
        <w:trPr>
          <w:tblHeader w:val="true"/>
          <w:tblHeader/>
        </w:trPr>
        <w:tc>
          <w:tcPr>
            <w:tcW w:w="5524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Пакет работ</w:t>
            </w:r>
          </w:p>
        </w:tc>
        <w:tc>
          <w:tcPr>
            <w:tcW w:w="1093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Мин.</w:t>
            </w:r>
          </w:p>
        </w:tc>
        <w:tc>
          <w:tcPr>
            <w:tcW w:w="1314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Вероятно</w:t>
            </w:r>
          </w:p>
        </w:tc>
        <w:tc>
          <w:tcPr>
            <w:tcW w:w="1095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Макс.</w:t>
            </w:r>
          </w:p>
        </w:tc>
      </w:tr>
      <w:tr>
        <w:trPr/>
        <w:tc>
          <w:tcPr>
            <w:tcW w:w="552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Управление программой и продуктом</w:t>
            </w:r>
          </w:p>
        </w:tc>
        <w:tc>
          <w:tcPr>
            <w:tcW w:w="109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4</w:t>
            </w:r>
          </w:p>
        </w:tc>
        <w:tc>
          <w:tcPr>
            <w:tcW w:w="131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6</w:t>
            </w:r>
          </w:p>
        </w:tc>
        <w:tc>
          <w:tcPr>
            <w:tcW w:w="109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8</w:t>
            </w:r>
          </w:p>
        </w:tc>
      </w:tr>
      <w:tr>
        <w:trPr/>
        <w:tc>
          <w:tcPr>
            <w:tcW w:w="552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Исследование и требования (акциз, качество, обследование площадок)</w:t>
            </w:r>
          </w:p>
        </w:tc>
        <w:tc>
          <w:tcPr>
            <w:tcW w:w="109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2</w:t>
            </w:r>
          </w:p>
        </w:tc>
        <w:tc>
          <w:tcPr>
            <w:tcW w:w="131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3</w:t>
            </w:r>
          </w:p>
        </w:tc>
        <w:tc>
          <w:tcPr>
            <w:tcW w:w="109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4</w:t>
            </w:r>
          </w:p>
        </w:tc>
      </w:tr>
      <w:tr>
        <w:trPr/>
        <w:tc>
          <w:tcPr>
            <w:tcW w:w="552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Коннекторы: Netilion, датчики E+H, OPC UA, Modbus TCP, Profinet</w:t>
            </w:r>
          </w:p>
        </w:tc>
        <w:tc>
          <w:tcPr>
            <w:tcW w:w="109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6</w:t>
            </w:r>
          </w:p>
        </w:tc>
        <w:tc>
          <w:tcPr>
            <w:tcW w:w="131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9</w:t>
            </w:r>
          </w:p>
        </w:tc>
        <w:tc>
          <w:tcPr>
            <w:tcW w:w="109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13</w:t>
            </w:r>
          </w:p>
        </w:tc>
      </w:tr>
      <w:tr>
        <w:trPr/>
        <w:tc>
          <w:tcPr>
            <w:tcW w:w="552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Edge-шлюз</w:t>
            </w:r>
          </w:p>
        </w:tc>
        <w:tc>
          <w:tcPr>
            <w:tcW w:w="109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3</w:t>
            </w:r>
          </w:p>
        </w:tc>
        <w:tc>
          <w:tcPr>
            <w:tcW w:w="131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4</w:t>
            </w:r>
          </w:p>
        </w:tc>
        <w:tc>
          <w:tcPr>
            <w:tcW w:w="109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6</w:t>
            </w:r>
          </w:p>
        </w:tc>
      </w:tr>
      <w:tr>
        <w:trPr/>
        <w:tc>
          <w:tcPr>
            <w:tcW w:w="552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Модель данных и каталог параметров</w:t>
            </w:r>
          </w:p>
        </w:tc>
        <w:tc>
          <w:tcPr>
            <w:tcW w:w="109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3</w:t>
            </w:r>
          </w:p>
        </w:tc>
        <w:tc>
          <w:tcPr>
            <w:tcW w:w="131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5</w:t>
            </w:r>
          </w:p>
        </w:tc>
        <w:tc>
          <w:tcPr>
            <w:tcW w:w="109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7</w:t>
            </w:r>
          </w:p>
        </w:tc>
      </w:tr>
      <w:tr>
        <w:trPr/>
        <w:tc>
          <w:tcPr>
            <w:tcW w:w="552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Движок контекста партии</w:t>
            </w:r>
          </w:p>
        </w:tc>
        <w:tc>
          <w:tcPr>
            <w:tcW w:w="109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2</w:t>
            </w:r>
          </w:p>
        </w:tc>
        <w:tc>
          <w:tcPr>
            <w:tcW w:w="131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4</w:t>
            </w:r>
          </w:p>
        </w:tc>
        <w:tc>
          <w:tcPr>
            <w:tcW w:w="109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6</w:t>
            </w:r>
          </w:p>
        </w:tc>
      </w:tr>
      <w:tr>
        <w:trPr/>
        <w:tc>
          <w:tcPr>
            <w:tcW w:w="552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Сервис точности датчиков</w:t>
            </w:r>
          </w:p>
        </w:tc>
        <w:tc>
          <w:tcPr>
            <w:tcW w:w="109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3</w:t>
            </w:r>
          </w:p>
        </w:tc>
        <w:tc>
          <w:tcPr>
            <w:tcW w:w="131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4</w:t>
            </w:r>
          </w:p>
        </w:tc>
        <w:tc>
          <w:tcPr>
            <w:tcW w:w="109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6</w:t>
            </w:r>
          </w:p>
        </w:tc>
      </w:tr>
      <w:tr>
        <w:trPr/>
        <w:tc>
          <w:tcPr>
            <w:tcW w:w="552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Аналитика брожения</w:t>
            </w:r>
          </w:p>
        </w:tc>
        <w:tc>
          <w:tcPr>
            <w:tcW w:w="109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3</w:t>
            </w:r>
          </w:p>
        </w:tc>
        <w:tc>
          <w:tcPr>
            <w:tcW w:w="131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5</w:t>
            </w:r>
          </w:p>
        </w:tc>
        <w:tc>
          <w:tcPr>
            <w:tcW w:w="109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7</w:t>
            </w:r>
          </w:p>
        </w:tc>
      </w:tr>
      <w:tr>
        <w:trPr/>
        <w:tc>
          <w:tcPr>
            <w:tcW w:w="552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LIMS</w:t>
            </w:r>
          </w:p>
        </w:tc>
        <w:tc>
          <w:tcPr>
            <w:tcW w:w="109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5</w:t>
            </w:r>
          </w:p>
        </w:tc>
        <w:tc>
          <w:tcPr>
            <w:tcW w:w="131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8</w:t>
            </w:r>
          </w:p>
        </w:tc>
        <w:tc>
          <w:tcPr>
            <w:tcW w:w="109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11</w:t>
            </w:r>
          </w:p>
        </w:tc>
      </w:tr>
      <w:tr>
        <w:trPr/>
        <w:tc>
          <w:tcPr>
            <w:tcW w:w="552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Техкарты</w:t>
            </w:r>
          </w:p>
        </w:tc>
        <w:tc>
          <w:tcPr>
            <w:tcW w:w="109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2</w:t>
            </w:r>
          </w:p>
        </w:tc>
        <w:tc>
          <w:tcPr>
            <w:tcW w:w="131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3</w:t>
            </w:r>
          </w:p>
        </w:tc>
        <w:tc>
          <w:tcPr>
            <w:tcW w:w="109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5</w:t>
            </w:r>
          </w:p>
        </w:tc>
      </w:tr>
      <w:tr>
        <w:trPr/>
        <w:tc>
          <w:tcPr>
            <w:tcW w:w="552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Журнал и график CIP</w:t>
            </w:r>
          </w:p>
        </w:tc>
        <w:tc>
          <w:tcPr>
            <w:tcW w:w="109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2</w:t>
            </w:r>
          </w:p>
        </w:tc>
        <w:tc>
          <w:tcPr>
            <w:tcW w:w="131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4</w:t>
            </w:r>
          </w:p>
        </w:tc>
        <w:tc>
          <w:tcPr>
            <w:tcW w:w="109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6</w:t>
            </w:r>
          </w:p>
        </w:tc>
      </w:tr>
      <w:tr>
        <w:trPr/>
        <w:tc>
          <w:tcPr>
            <w:tcW w:w="552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Производственные задачи и одобрение розлива</w:t>
            </w:r>
          </w:p>
        </w:tc>
        <w:tc>
          <w:tcPr>
            <w:tcW w:w="109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2</w:t>
            </w:r>
          </w:p>
        </w:tc>
        <w:tc>
          <w:tcPr>
            <w:tcW w:w="131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3</w:t>
            </w:r>
          </w:p>
        </w:tc>
        <w:tc>
          <w:tcPr>
            <w:tcW w:w="109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4</w:t>
            </w:r>
          </w:p>
        </w:tc>
      </w:tr>
      <w:tr>
        <w:trPr/>
        <w:tc>
          <w:tcPr>
            <w:tcW w:w="552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Расчёт акциза</w:t>
            </w:r>
          </w:p>
        </w:tc>
        <w:tc>
          <w:tcPr>
            <w:tcW w:w="109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2</w:t>
            </w:r>
          </w:p>
        </w:tc>
        <w:tc>
          <w:tcPr>
            <w:tcW w:w="131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3</w:t>
            </w:r>
          </w:p>
        </w:tc>
        <w:tc>
          <w:tcPr>
            <w:tcW w:w="109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5</w:t>
            </w:r>
          </w:p>
        </w:tc>
      </w:tr>
      <w:tr>
        <w:trPr/>
        <w:tc>
          <w:tcPr>
            <w:tcW w:w="552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Профили лимитов</w:t>
            </w:r>
          </w:p>
        </w:tc>
        <w:tc>
          <w:tcPr>
            <w:tcW w:w="109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1</w:t>
            </w:r>
          </w:p>
        </w:tc>
        <w:tc>
          <w:tcPr>
            <w:tcW w:w="131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2</w:t>
            </w:r>
          </w:p>
        </w:tc>
        <w:tc>
          <w:tcPr>
            <w:tcW w:w="109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3</w:t>
            </w:r>
          </w:p>
        </w:tc>
      </w:tr>
      <w:tr>
        <w:trPr/>
        <w:tc>
          <w:tcPr>
            <w:tcW w:w="552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Ввод сырья (архив, QR)</w:t>
            </w:r>
          </w:p>
        </w:tc>
        <w:tc>
          <w:tcPr>
            <w:tcW w:w="109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2</w:t>
            </w:r>
          </w:p>
        </w:tc>
        <w:tc>
          <w:tcPr>
            <w:tcW w:w="131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3</w:t>
            </w:r>
          </w:p>
        </w:tc>
        <w:tc>
          <w:tcPr>
            <w:tcW w:w="109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4</w:t>
            </w:r>
          </w:p>
        </w:tc>
      </w:tr>
      <w:tr>
        <w:trPr/>
        <w:tc>
          <w:tcPr>
            <w:tcW w:w="552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Оповещения</w:t>
            </w:r>
          </w:p>
        </w:tc>
        <w:tc>
          <w:tcPr>
            <w:tcW w:w="109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2</w:t>
            </w:r>
          </w:p>
        </w:tc>
        <w:tc>
          <w:tcPr>
            <w:tcW w:w="131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3</w:t>
            </w:r>
          </w:p>
        </w:tc>
        <w:tc>
          <w:tcPr>
            <w:tcW w:w="109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4</w:t>
            </w:r>
          </w:p>
        </w:tc>
      </w:tr>
      <w:tr>
        <w:trPr/>
        <w:tc>
          <w:tcPr>
            <w:tcW w:w="552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Интерфейс</w:t>
            </w:r>
          </w:p>
        </w:tc>
        <w:tc>
          <w:tcPr>
            <w:tcW w:w="109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6</w:t>
            </w:r>
          </w:p>
        </w:tc>
        <w:tc>
          <w:tcPr>
            <w:tcW w:w="131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9</w:t>
            </w:r>
          </w:p>
        </w:tc>
        <w:tc>
          <w:tcPr>
            <w:tcW w:w="109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12</w:t>
            </w:r>
          </w:p>
        </w:tc>
      </w:tr>
      <w:tr>
        <w:trPr/>
        <w:tc>
          <w:tcPr>
            <w:tcW w:w="552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Ассистент и MCP-сервер</w:t>
            </w:r>
          </w:p>
        </w:tc>
        <w:tc>
          <w:tcPr>
            <w:tcW w:w="109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2</w:t>
            </w:r>
          </w:p>
        </w:tc>
        <w:tc>
          <w:tcPr>
            <w:tcW w:w="131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4</w:t>
            </w:r>
          </w:p>
        </w:tc>
        <w:tc>
          <w:tcPr>
            <w:tcW w:w="109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5</w:t>
            </w:r>
          </w:p>
        </w:tc>
      </w:tr>
      <w:tr>
        <w:trPr/>
        <w:tc>
          <w:tcPr>
            <w:tcW w:w="552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Отчёты и документы качества</w:t>
            </w:r>
          </w:p>
        </w:tc>
        <w:tc>
          <w:tcPr>
            <w:tcW w:w="109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2</w:t>
            </w:r>
          </w:p>
        </w:tc>
        <w:tc>
          <w:tcPr>
            <w:tcW w:w="131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3</w:t>
            </w:r>
          </w:p>
        </w:tc>
        <w:tc>
          <w:tcPr>
            <w:tcW w:w="109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4</w:t>
            </w:r>
          </w:p>
        </w:tc>
      </w:tr>
      <w:tr>
        <w:trPr/>
        <w:tc>
          <w:tcPr>
            <w:tcW w:w="552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Платформа: регистрация, роли, тарифы, шаблоны</w:t>
            </w:r>
          </w:p>
        </w:tc>
        <w:tc>
          <w:tcPr>
            <w:tcW w:w="109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3</w:t>
            </w:r>
          </w:p>
        </w:tc>
        <w:tc>
          <w:tcPr>
            <w:tcW w:w="131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4</w:t>
            </w:r>
          </w:p>
        </w:tc>
        <w:tc>
          <w:tcPr>
            <w:tcW w:w="109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6</w:t>
            </w:r>
          </w:p>
        </w:tc>
      </w:tr>
      <w:tr>
        <w:trPr/>
        <w:tc>
          <w:tcPr>
            <w:tcW w:w="552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Симуляторы (брожение, протоколы)</w:t>
            </w:r>
          </w:p>
        </w:tc>
        <w:tc>
          <w:tcPr>
            <w:tcW w:w="109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2</w:t>
            </w:r>
          </w:p>
        </w:tc>
        <w:tc>
          <w:tcPr>
            <w:tcW w:w="131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3</w:t>
            </w:r>
          </w:p>
        </w:tc>
        <w:tc>
          <w:tcPr>
            <w:tcW w:w="109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4</w:t>
            </w:r>
          </w:p>
        </w:tc>
      </w:tr>
      <w:tr>
        <w:trPr/>
        <w:tc>
          <w:tcPr>
            <w:tcW w:w="552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Тестирование, производительность и безопасность</w:t>
            </w:r>
          </w:p>
        </w:tc>
        <w:tc>
          <w:tcPr>
            <w:tcW w:w="109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4</w:t>
            </w:r>
          </w:p>
        </w:tc>
        <w:tc>
          <w:tcPr>
            <w:tcW w:w="131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6</w:t>
            </w:r>
          </w:p>
        </w:tc>
        <w:tc>
          <w:tcPr>
            <w:tcW w:w="109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8</w:t>
            </w:r>
          </w:p>
        </w:tc>
      </w:tr>
      <w:tr>
        <w:trPr/>
        <w:tc>
          <w:tcPr>
            <w:tcW w:w="552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bCs/>
                <w:rFonts w:ascii="Montserrat" w:hAnsi="Montserrat" w:cs="Montserrat" w:eastAsia="Montserrat"/>
                <w:b/>
                <w:color w:val="4A4A4A"/>
                <w:sz w:val="16"/>
              </w:rPr>
              <w:t xml:space="preserve">Итого (чел.-нед.)</w:t>
            </w:r>
          </w:p>
        </w:tc>
        <w:tc>
          <w:tcPr>
            <w:tcW w:w="109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bCs/>
                <w:rFonts w:ascii="Montserrat" w:hAnsi="Montserrat" w:cs="Montserrat" w:eastAsia="Montserrat"/>
                <w:b/>
                <w:color w:val="4A4A4A"/>
                <w:sz w:val="16"/>
              </w:rPr>
              <w:t xml:space="preserve">63</w:t>
            </w:r>
          </w:p>
        </w:tc>
        <w:tc>
          <w:tcPr>
            <w:tcW w:w="131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bCs/>
                <w:rFonts w:ascii="Montserrat" w:hAnsi="Montserrat" w:cs="Montserrat" w:eastAsia="Montserrat"/>
                <w:b/>
                <w:color w:val="4A4A4A"/>
                <w:sz w:val="16"/>
              </w:rPr>
              <w:t xml:space="preserve">98</w:t>
            </w:r>
          </w:p>
        </w:tc>
        <w:tc>
          <w:tcPr>
            <w:tcW w:w="1095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bCs/>
                <w:rFonts w:ascii="Montserrat" w:hAnsi="Montserrat" w:cs="Montserrat" w:eastAsia="Montserrat"/>
                <w:b/>
                <w:color w:val="4A4A4A"/>
                <w:sz w:val="16"/>
              </w:rPr>
              <w:t xml:space="preserve">138</w:t>
            </w:r>
          </w:p>
        </w:tc>
      </w:tr>
      <w:tr>
        <w:trPr/>
        <w:tc>
          <w:tcPr>
            <w:tcW w:w="552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bCs/>
                <w:rFonts w:ascii="Montserrat" w:hAnsi="Montserrat" w:cs="Montserrat" w:eastAsia="Montserrat"/>
                <w:b/>
                <w:color w:val="4A4A4A"/>
                <w:sz w:val="16"/>
              </w:rPr>
              <w:t xml:space="preserve">С резервом 15%</w:t>
            </w:r>
          </w:p>
        </w:tc>
        <w:tc>
          <w:tcPr>
            <w:tcW w:w="109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</w:pPr>
          </w:p>
        </w:tc>
        <w:tc>
          <w:tcPr>
            <w:tcW w:w="131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bCs/>
                <w:rFonts w:ascii="Montserrat" w:hAnsi="Montserrat" w:cs="Montserrat" w:eastAsia="Montserrat"/>
                <w:b/>
                <w:color w:val="4A4A4A"/>
                <w:sz w:val="16"/>
              </w:rPr>
              <w:t xml:space="preserve">около 113</w:t>
            </w:r>
          </w:p>
        </w:tc>
        <w:tc>
          <w:tcPr>
            <w:tcW w:w="1095" w:type="dxa"/>
            <w:shd w:val="clear" w:color="auto" w:fill="E5E8E9"/>
          </w:tcPr>
          <w:p>
            <w:pPr>
              <w:pStyle w:val="Compact"/>
              <w:spacing w:after="0" w:before="0" w:line="210" w:lineRule="atLeast"/>
            </w:pPr>
          </w:p>
        </w:tc>
      </w:tr>
    </w:tbl>
    <w:bookmarkEnd w:id="62"/>
    <w:bookmarkStart w:id="63" w:name="этапы"/>
    <w:p>
      <w:pPr>
        <w:pStyle w:val="Heading3"/>
      </w:pPr>
      <w:r>
        <w:t xml:space="preserve">Этапы</w:t>
      </w:r>
    </w:p>
    <w:tbl>
      <w:tblPr>
        <w:tblW w:w="9026" w:type="dxa"/>
        <w:tblBorders>
          <w:top w:val="single" w:sz="4" w:space="0" w:color="939598"/>
          <w:left w:val="single" w:sz="4" w:space="0" w:color="939598"/>
          <w:bottom w:val="single" w:sz="4" w:space="0" w:color="939598"/>
          <w:right w:val="single" w:sz="4" w:space="0" w:color="939598"/>
          <w:insideH w:val="single" w:sz="4" w:space="0" w:color="939598"/>
          <w:insideV w:val="single" w:sz="4" w:space="0" w:color="939598"/>
        </w:tblBorders>
        <w:tblLayout w:type="fixed"/>
        <w:tblCellMar>
          <w:top w:w="57" w:type="dxa"/>
          <w:left w:w="100" w:type="dxa"/>
          <w:bottom w:w="57" w:type="dxa"/>
          <w:right w:w="100" w:type="dxa"/>
        </w:tblCellMar>
        <w:tblLook w:firstRow="1" w:lastRow="0" w:firstColumn="0" w:lastColumn="0" w:noHBand="0" w:noVBand="0" w:val="0020"/>
      </w:tblPr>
      <w:tblGrid>
        <w:gridCol w:w="1167"/>
        <w:gridCol w:w="2557"/>
        <w:gridCol w:w="1794"/>
        <w:gridCol w:w="2066"/>
        <w:gridCol w:w="1442"/>
      </w:tblGrid>
      <w:tr>
        <w:trPr>
          <w:tblHeader w:val="true"/>
          <w:tblHeader/>
        </w:trPr>
        <w:tc>
          <w:tcPr>
            <w:tcW w:w="1167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Этап</w:t>
            </w:r>
          </w:p>
        </w:tc>
        <w:tc>
          <w:tcPr>
            <w:tcW w:w="2557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Содержание</w:t>
            </w:r>
          </w:p>
        </w:tc>
        <w:tc>
          <w:tcPr>
            <w:tcW w:w="1794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Трудозатраты (чел.-нед.)</w:t>
            </w:r>
          </w:p>
        </w:tc>
        <w:tc>
          <w:tcPr>
            <w:tcW w:w="2066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Бюджет при $60/ч</w:t>
            </w:r>
          </w:p>
        </w:tc>
        <w:tc>
          <w:tcPr>
            <w:tcW w:w="1442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Срок</w:t>
            </w:r>
          </w:p>
        </w:tc>
      </w:tr>
      <w:tr>
        <w:trPr/>
        <w:tc>
          <w:tcPr>
            <w:tcW w:w="116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0: Исследование</w:t>
            </w:r>
          </w:p>
        </w:tc>
        <w:tc>
          <w:tcPr>
            <w:tcW w:w="255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Переговоры с E+H и пивоварнями, пробный доступ к Netilion, требования к акцизу и качеству, обследование площадок, кликабельный прототип, два пилота с софинансированием</w:t>
            </w:r>
          </w:p>
        </w:tc>
        <w:tc>
          <w:tcPr>
            <w:tcW w:w="179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3–5</w:t>
            </w:r>
          </w:p>
        </w:tc>
        <w:tc>
          <w:tcPr>
            <w:tcW w:w="206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$7 200–12 000</w:t>
            </w:r>
          </w:p>
        </w:tc>
        <w:tc>
          <w:tcPr>
            <w:tcW w:w="1442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4–6 недель</w:t>
            </w:r>
          </w:p>
        </w:tc>
      </w:tr>
      <w:tr>
        <w:trPr/>
        <w:tc>
          <w:tcPr>
            <w:tcW w:w="116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1: MVP</w:t>
            </w:r>
          </w:p>
        </w:tc>
        <w:tc>
          <w:tcPr>
            <w:tcW w:w="255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Шесть модулей. Выпуск 1А (около 10 недель): QWX43, OPC UA, Modbus TCP, техкарты, основа LIMS, журнал CIP, журналы Offset и точности, прогноз. Выпуск 1Б (6–8 недель): Profinet, датчики E+H pH, O₂, CO₂, акциз, одобрение розлива, посевы, ПЦР, панели</w:t>
            </w:r>
          </w:p>
        </w:tc>
        <w:tc>
          <w:tcPr>
            <w:tcW w:w="179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63–138 (вероятно 98; около 113 с резервом)</w:t>
            </w:r>
          </w:p>
        </w:tc>
        <w:tc>
          <w:tcPr>
            <w:tcW w:w="206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$151 200–331 200 (вероятно $235 200; около $270 000)</w:t>
            </w:r>
          </w:p>
        </w:tc>
        <w:tc>
          <w:tcPr>
            <w:tcW w:w="1442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16–18 недель</w:t>
            </w:r>
          </w:p>
        </w:tc>
      </w:tr>
      <w:tr>
        <w:trPr/>
        <w:tc>
          <w:tcPr>
            <w:tcW w:w="116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2: Расширение</w:t>
            </w:r>
          </w:p>
        </w:tc>
        <w:tc>
          <w:tcPr>
            <w:tcW w:w="2557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Планирование с ИИ (APS), шаблоны других производств на брожении, датчики других марок, площадки одной компании, отслеживание изменений штамма</w:t>
            </w:r>
          </w:p>
        </w:tc>
        <w:tc>
          <w:tcPr>
            <w:tcW w:w="1794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25–40</w:t>
            </w:r>
          </w:p>
        </w:tc>
        <w:tc>
          <w:tcPr>
            <w:tcW w:w="206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$60 000–96 000</w:t>
            </w:r>
          </w:p>
        </w:tc>
        <w:tc>
          <w:tcPr>
            <w:tcW w:w="1442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12–16 недель</w:t>
            </w:r>
          </w:p>
        </w:tc>
      </w:tr>
      <w:tr>
        <w:trPr/>
        <w:tc>
          <w:tcPr>
            <w:tcW w:w="116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3: Обучаемые модели</w:t>
            </w:r>
          </w:p>
        </w:tc>
        <w:tc>
          <w:tcPr>
            <w:tcW w:w="2557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Прогноз вкуса, рекомендации по рецептуре, «что если», динамический Offset, общие модели</w:t>
            </w:r>
          </w:p>
        </w:tc>
        <w:tc>
          <w:tcPr>
            <w:tcW w:w="1794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30–50</w:t>
            </w:r>
          </w:p>
        </w:tc>
        <w:tc>
          <w:tcPr>
            <w:tcW w:w="206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$72 000–120 000</w:t>
            </w:r>
          </w:p>
        </w:tc>
        <w:tc>
          <w:tcPr>
            <w:tcW w:w="1442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после точки решения по данным</w:t>
            </w:r>
          </w:p>
        </w:tc>
      </w:tr>
    </w:tbl>
    <w:p>
      <w:pPr>
        <w:pStyle w:val="BodyText"/>
      </w:pPr>
      <w:r>
        <w:t xml:space="preserve">Не входят: хостинг, использование LLM, оборудование шлюзов на площадках.</w:t>
      </w:r>
    </w:p>
    <w:p>
      <w:pPr>
        <w:pStyle w:val="BodyText"/>
      </w:pPr>
      <w:r>
        <w:rPr>
          <w:bCs/>
          <w:b/>
        </w:rPr>
        <w:t xml:space="preserve">Команда этапа 1:</w:t>
      </w:r>
      <w:r>
        <w:t xml:space="preserve"> </w:t>
      </w:r>
      <w:r>
        <w:t xml:space="preserve">около 6 человек:</w:t>
      </w:r>
    </w:p>
    <w:p>
      <w:pPr>
        <w:numPr>
          <w:ilvl w:val="0"/>
          <w:numId w:val="1016"/>
        </w:numPr>
        <w:pStyle w:val="Compact"/>
      </w:pPr>
      <w:r>
        <w:t xml:space="preserve">архитектор — 1,0;</w:t>
      </w:r>
    </w:p>
    <w:p>
      <w:pPr>
        <w:numPr>
          <w:ilvl w:val="0"/>
          <w:numId w:val="1016"/>
        </w:numPr>
        <w:pStyle w:val="Compact"/>
      </w:pPr>
      <w:r>
        <w:t xml:space="preserve">интеграции и бэкенд — 2,0;</w:t>
      </w:r>
    </w:p>
    <w:p>
      <w:pPr>
        <w:numPr>
          <w:ilvl w:val="0"/>
          <w:numId w:val="1016"/>
        </w:numPr>
        <w:pStyle w:val="Compact"/>
      </w:pPr>
      <w:r>
        <w:t xml:space="preserve">фронтенд — 1,0;</w:t>
      </w:r>
    </w:p>
    <w:p>
      <w:pPr>
        <w:numPr>
          <w:ilvl w:val="0"/>
          <w:numId w:val="1016"/>
        </w:numPr>
        <w:pStyle w:val="Compact"/>
      </w:pPr>
      <w:r>
        <w:t xml:space="preserve">данные и ML — 1,0;</w:t>
      </w:r>
    </w:p>
    <w:p>
      <w:pPr>
        <w:numPr>
          <w:ilvl w:val="0"/>
          <w:numId w:val="1016"/>
        </w:numPr>
        <w:pStyle w:val="Compact"/>
      </w:pPr>
      <w:r>
        <w:t xml:space="preserve">тестирование — 0,5;</w:t>
      </w:r>
    </w:p>
    <w:p>
      <w:pPr>
        <w:numPr>
          <w:ilvl w:val="0"/>
          <w:numId w:val="1016"/>
        </w:numPr>
        <w:pStyle w:val="Compact"/>
      </w:pPr>
      <w:r>
        <w:t xml:space="preserve">владелец продукта и аналитик — 0,5.</w:t>
      </w:r>
    </w:p>
    <w:bookmarkEnd w:id="63"/>
    <w:bookmarkStart w:id="64" w:name="kpi-пилота"/>
    <w:p>
      <w:pPr>
        <w:pStyle w:val="Heading3"/>
      </w:pPr>
      <w:r>
        <w:t xml:space="preserve">KPI пилота</w:t>
      </w:r>
    </w:p>
    <w:tbl>
      <w:tblPr>
        <w:tblW w:w="9026" w:type="dxa"/>
        <w:tblBorders>
          <w:top w:val="single" w:sz="4" w:space="0" w:color="939598"/>
          <w:left w:val="single" w:sz="4" w:space="0" w:color="939598"/>
          <w:bottom w:val="single" w:sz="4" w:space="0" w:color="939598"/>
          <w:right w:val="single" w:sz="4" w:space="0" w:color="939598"/>
          <w:insideH w:val="single" w:sz="4" w:space="0" w:color="939598"/>
          <w:insideV w:val="single" w:sz="4" w:space="0" w:color="939598"/>
        </w:tblBorders>
        <w:tblLayout w:type="fixed"/>
        <w:tblCellMar>
          <w:top w:w="57" w:type="dxa"/>
          <w:left w:w="100" w:type="dxa"/>
          <w:bottom w:w="57" w:type="dxa"/>
          <w:right w:w="100" w:type="dxa"/>
        </w:tblCellMar>
        <w:tblLook w:firstRow="1" w:lastRow="0" w:firstColumn="0" w:lastColumn="0" w:noHBand="0" w:noVBand="0" w:val="0020"/>
      </w:tblPr>
      <w:tblGrid>
        <w:gridCol w:w="3466"/>
        <w:gridCol w:w="5560"/>
      </w:tblGrid>
      <w:tr>
        <w:trPr>
          <w:tblHeader w:val="true"/>
          <w:tblHeader/>
        </w:trPr>
        <w:tc>
          <w:tcPr>
            <w:tcW w:w="3466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KPI</w:t>
            </w:r>
          </w:p>
        </w:tc>
        <w:tc>
          <w:tcPr>
            <w:tcW w:w="5560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Цель</w:t>
            </w:r>
          </w:p>
        </w:tc>
      </w:tr>
      <w:tr>
        <w:trPr/>
        <w:tc>
          <w:tcPr>
            <w:tcW w:w="346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Время подключения датчика или ПЛК</w:t>
            </w:r>
          </w:p>
        </w:tc>
        <w:tc>
          <w:tcPr>
            <w:tcW w:w="556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Меньше дня, без внешнего интегратора</w:t>
            </w:r>
          </w:p>
        </w:tc>
      </w:tr>
      <w:tr>
        <w:trPr/>
        <w:tc>
          <w:tcPr>
            <w:tcW w:w="346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Ручные замеры плотности</w:t>
            </w:r>
          </w:p>
        </w:tc>
        <w:tc>
          <w:tcPr>
            <w:tcW w:w="556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Минимум на 50% меньше</w:t>
            </w:r>
          </w:p>
        </w:tc>
      </w:tr>
      <w:tr>
        <w:trPr/>
        <w:tc>
          <w:tcPr>
            <w:tcW w:w="346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Ошибка прогноза через 72 ч после засева</w:t>
            </w:r>
          </w:p>
        </w:tc>
        <w:tc>
          <w:tcPr>
            <w:tcW w:w="556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Менее 12 ч</w:t>
            </w:r>
          </w:p>
        </w:tc>
      </w:tr>
      <w:tr>
        <w:trPr/>
        <w:tc>
          <w:tcPr>
            <w:tcW w:w="346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Полезность оповещений</w:t>
            </w:r>
          </w:p>
        </w:tc>
        <w:tc>
          <w:tcPr>
            <w:tcW w:w="556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70% и более отмечены полезными</w:t>
            </w:r>
          </w:p>
        </w:tc>
      </w:tr>
      <w:tr>
        <w:trPr/>
        <w:tc>
          <w:tcPr>
            <w:tcW w:w="3466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Документы по партиям</w:t>
            </w:r>
          </w:p>
        </w:tc>
        <w:tc>
          <w:tcPr>
            <w:tcW w:w="5560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У каждой партии есть документ качества и одобрение розлива в системе</w:t>
            </w:r>
          </w:p>
        </w:tc>
      </w:tr>
      <w:tr>
        <w:trPr/>
        <w:tc>
          <w:tcPr>
            <w:tcW w:w="3466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Точность датчиков</w:t>
            </w:r>
          </w:p>
        </w:tc>
        <w:tc>
          <w:tcPr>
            <w:tcW w:w="5560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У каждого подключённого датчика есть актуальная проверка точности</w:t>
            </w:r>
          </w:p>
        </w:tc>
      </w:tr>
    </w:tbl>
    <w:bookmarkEnd w:id="64"/>
    <w:bookmarkEnd w:id="65"/>
    <w:bookmarkStart w:id="68" w:name="риски-открытые-вопросы-и-рекомендации"/>
    <w:p>
      <w:pPr>
        <w:pStyle w:val="Heading2"/>
      </w:pPr>
      <w:r>
        <w:t xml:space="preserve">Риски, открытые вопросы и рекомендации</w:t>
      </w:r>
    </w:p>
    <w:tbl>
      <w:tblPr>
        <w:tblW w:w="9026" w:type="dxa"/>
        <w:tblBorders>
          <w:top w:val="single" w:sz="4" w:space="0" w:color="939598"/>
          <w:left w:val="single" w:sz="4" w:space="0" w:color="939598"/>
          <w:bottom w:val="single" w:sz="4" w:space="0" w:color="939598"/>
          <w:right w:val="single" w:sz="4" w:space="0" w:color="939598"/>
          <w:insideH w:val="single" w:sz="4" w:space="0" w:color="939598"/>
          <w:insideV w:val="single" w:sz="4" w:space="0" w:color="939598"/>
        </w:tblBorders>
        <w:tblLayout w:type="fixed"/>
        <w:tblCellMar>
          <w:top w:w="57" w:type="dxa"/>
          <w:left w:w="100" w:type="dxa"/>
          <w:bottom w:w="57" w:type="dxa"/>
          <w:right w:w="100" w:type="dxa"/>
        </w:tblCellMar>
        <w:tblLook w:firstRow="1" w:lastRow="0" w:firstColumn="0" w:lastColumn="0" w:noHBand="0" w:noVBand="0" w:val="0020"/>
      </w:tblPr>
      <w:tblGrid>
        <w:gridCol w:w="3673"/>
        <w:gridCol w:w="5353"/>
      </w:tblGrid>
      <w:tr>
        <w:trPr>
          <w:tblHeader w:val="true"/>
          <w:tblHeader/>
        </w:trPr>
        <w:tc>
          <w:tcPr>
            <w:tcW w:w="3673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Риск</w:t>
            </w:r>
          </w:p>
        </w:tc>
        <w:tc>
          <w:tcPr>
            <w:tcW w:w="5353" w:type="dxa"/>
            <w:shd w:val="clear" w:color="auto" w:fill="F58220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16"/>
              </w:rPr>
              <w:t xml:space="preserve">Меры</w:t>
            </w:r>
          </w:p>
        </w:tc>
      </w:tr>
      <w:tr>
        <w:trPr/>
        <w:tc>
          <w:tcPr>
            <w:tcW w:w="367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E+H сделает это сама</w:t>
            </w:r>
          </w:p>
        </w:tc>
        <w:tc>
          <w:tcPr>
            <w:tcW w:w="535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Предложить сделать это как партнёр</w:t>
            </w:r>
          </w:p>
        </w:tc>
      </w:tr>
      <w:tr>
        <w:trPr/>
        <w:tc>
          <w:tcPr>
            <w:tcW w:w="367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Интеграция по трём протоколам дороже ожиданий</w:t>
            </w:r>
          </w:p>
        </w:tc>
        <w:tc>
          <w:tcPr>
            <w:tcW w:w="535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OPC UA и Modbus TCP в 1А, Profinet в 1Б; проверенные библиотеки и шлюзы</w:t>
            </w:r>
          </w:p>
        </w:tc>
      </w:tr>
      <w:tr>
        <w:trPr/>
        <w:tc>
          <w:tcPr>
            <w:tcW w:w="367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Большой объём MVP</w:t>
            </w:r>
          </w:p>
        </w:tc>
        <w:tc>
          <w:tcPr>
            <w:tcW w:w="535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Два выпуска; стоп-точка до начала разработки</w:t>
            </w:r>
          </w:p>
        </w:tc>
      </w:tr>
      <w:tr>
        <w:trPr/>
        <w:tc>
          <w:tcPr>
            <w:tcW w:w="367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Пересечение с Breww</w:t>
            </w:r>
          </w:p>
        </w:tc>
        <w:tc>
          <w:tcPr>
            <w:tcW w:w="535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Без функций ERP; упор на интеграцию, LIMS и прогнозы</w:t>
            </w:r>
          </w:p>
        </w:tc>
      </w:tr>
      <w:tr>
        <w:trPr/>
        <w:tc>
          <w:tcPr>
            <w:tcW w:w="367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Правила акциза разные в каждой стране</w:t>
            </w:r>
          </w:p>
        </w:tc>
        <w:tc>
          <w:tcPr>
            <w:tcW w:w="535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Начать с юрисдикции пилота</w:t>
            </w:r>
          </w:p>
        </w:tc>
      </w:tr>
      <w:tr>
        <w:trPr/>
        <w:tc>
          <w:tcPr>
            <w:tcW w:w="367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LIMS нужна в основном крупным пивоварням</w:t>
            </w:r>
          </w:p>
        </w:tc>
        <w:tc>
          <w:tcPr>
            <w:tcW w:w="535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Тарифы по модулям</w:t>
            </w:r>
          </w:p>
        </w:tc>
      </w:tr>
      <w:tr>
        <w:trPr/>
        <w:tc>
          <w:tcPr>
            <w:tcW w:w="367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Опасения по безопасности OT-сети</w:t>
            </w:r>
          </w:p>
        </w:tc>
        <w:tc>
          <w:tcPr>
            <w:tcW w:w="535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Шлюз только с исходящими соединениями, сегментация, меры по IEC 62443</w:t>
            </w:r>
          </w:p>
        </w:tc>
      </w:tr>
      <w:tr>
        <w:trPr/>
        <w:tc>
          <w:tcPr>
            <w:tcW w:w="367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Прогнозу вкуса нужно много данных</w:t>
            </w:r>
          </w:p>
        </w:tc>
        <w:tc>
          <w:tcPr>
            <w:tcW w:w="535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Этап 3; говорим об этом прямо</w:t>
            </w:r>
          </w:p>
        </w:tc>
      </w:tr>
      <w:tr>
        <w:trPr/>
        <w:tc>
          <w:tcPr>
            <w:tcW w:w="367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Слабые прогнозы в начале брожения</w:t>
            </w:r>
          </w:p>
        </w:tc>
        <w:tc>
          <w:tcPr>
            <w:tcW w:w="5353" w:type="dxa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Диапазоны и раскрытые ограничения</w:t>
            </w:r>
          </w:p>
        </w:tc>
      </w:tr>
      <w:tr>
        <w:trPr/>
        <w:tc>
          <w:tcPr>
            <w:tcW w:w="367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Зрелость DataVest преувеличена</w:t>
            </w:r>
          </w:p>
        </w:tc>
        <w:tc>
          <w:tcPr>
            <w:tcW w:w="5353" w:type="dxa"/>
            <w:shd w:val="clear" w:color="auto" w:fill="E5E8E9"/>
          </w:tcPr>
          <w:p>
            <w:pPr>
              <w:pStyle w:val="Compact"/>
              <w:spacing w:after="0" w:before="0" w:line="210" w:lineRule="atLeast"/>
              <w:jc w:val="left"/>
            </w:pPr>
            <w:r>
              <w:rPr>
                <w:rFonts w:ascii="Montserrat" w:hAnsi="Montserrat" w:cs="Montserrat" w:eastAsia="Montserrat"/>
                <w:color w:val="4A4A4A"/>
                <w:sz w:val="16"/>
              </w:rPr>
              <w:t xml:space="preserve">Всегда называть его продуктом на пилотной стадии</w:t>
            </w:r>
          </w:p>
        </w:tc>
      </w:tr>
    </w:tbl>
    <w:bookmarkStart w:id="66" w:name="открытые-вопросы"/>
    <w:p>
      <w:pPr>
        <w:pStyle w:val="Heading3"/>
      </w:pPr>
      <w:r>
        <w:t xml:space="preserve">Открытые вопросы</w:t>
      </w:r>
    </w:p>
    <w:p>
      <w:pPr>
        <w:numPr>
          <w:ilvl w:val="0"/>
          <w:numId w:val="1017"/>
        </w:numPr>
        <w:pStyle w:val="Compact"/>
      </w:pPr>
      <w:r>
        <w:t xml:space="preserve">Как E+H сейчас ведёт Offset и проверки точности; есть ли журнал в Netilion?</w:t>
      </w:r>
    </w:p>
    <w:p>
      <w:pPr>
        <w:numPr>
          <w:ilvl w:val="0"/>
          <w:numId w:val="1017"/>
        </w:numPr>
        <w:pStyle w:val="Compact"/>
      </w:pPr>
      <w:r>
        <w:t xml:space="preserve">Как подключаются датчики E+H pH, кислорода и CO₂?</w:t>
      </w:r>
    </w:p>
    <w:p>
      <w:pPr>
        <w:numPr>
          <w:ilvl w:val="0"/>
          <w:numId w:val="1017"/>
        </w:numPr>
        <w:pStyle w:val="Compact"/>
      </w:pPr>
      <w:r>
        <w:t xml:space="preserve">Какие ПЛК и протоколы стоят на пивоварнях пилота?</w:t>
      </w:r>
    </w:p>
    <w:p>
      <w:pPr>
        <w:numPr>
          <w:ilvl w:val="0"/>
          <w:numId w:val="1017"/>
        </w:numPr>
        <w:pStyle w:val="Compact"/>
      </w:pPr>
      <w:r>
        <w:t xml:space="preserve">Какая юрисдикция первой для акциза?</w:t>
      </w:r>
    </w:p>
    <w:p>
      <w:pPr>
        <w:numPr>
          <w:ilvl w:val="0"/>
          <w:numId w:val="1017"/>
        </w:numPr>
        <w:pStyle w:val="Compact"/>
      </w:pPr>
      <w:r>
        <w:t xml:space="preserve">Какие требования к качеству действуют в ЕС и США и как часто нужны отчёты?</w:t>
      </w:r>
    </w:p>
    <w:p>
      <w:pPr>
        <w:numPr>
          <w:ilvl w:val="0"/>
          <w:numId w:val="1017"/>
        </w:numPr>
        <w:pStyle w:val="Compact"/>
      </w:pPr>
      <w:r>
        <w:t xml:space="preserve">Кому LIMS нужнее всего: малым, средним или крупным пивоварням?</w:t>
      </w:r>
    </w:p>
    <w:p>
      <w:pPr>
        <w:numPr>
          <w:ilvl w:val="0"/>
          <w:numId w:val="1017"/>
        </w:numPr>
        <w:pStyle w:val="Compact"/>
      </w:pPr>
      <w:r>
        <w:t xml:space="preserve">Нужна ли E+H интеграция с Breww?</w:t>
      </w:r>
    </w:p>
    <w:p>
      <w:pPr>
        <w:numPr>
          <w:ilvl w:val="0"/>
          <w:numId w:val="1017"/>
        </w:numPr>
        <w:pStyle w:val="Compact"/>
      </w:pPr>
      <w:r>
        <w:t xml:space="preserve">Какое производство на брожении — следующее?</w:t>
      </w:r>
    </w:p>
    <w:p>
      <w:pPr>
        <w:numPr>
          <w:ilvl w:val="0"/>
          <w:numId w:val="1017"/>
        </w:numPr>
        <w:pStyle w:val="Compact"/>
      </w:pPr>
      <w:r>
        <w:t xml:space="preserve">Кто станет первыми двумя пилотами с софинансированием?</w:t>
      </w:r>
    </w:p>
    <w:bookmarkEnd w:id="66"/>
    <w:bookmarkStart w:id="67" w:name="рекомендации"/>
    <w:p>
      <w:pPr>
        <w:pStyle w:val="Heading3"/>
      </w:pPr>
      <w:r>
        <w:t xml:space="preserve">Рекомендации</w:t>
      </w:r>
    </w:p>
    <w:p>
      <w:pPr>
        <w:numPr>
          <w:ilvl w:val="0"/>
          <w:numId w:val="1018"/>
        </w:numPr>
        <w:pStyle w:val="Compact"/>
      </w:pPr>
      <w:r>
        <w:t xml:space="preserve">Начать разговор с E+H как партнёр по разработке. Главные доводы: наработки Intetics по документообороту и контролю качества, возможности ML и промышленная интеграция.</w:t>
      </w:r>
    </w:p>
    <w:p>
      <w:pPr>
        <w:numPr>
          <w:ilvl w:val="0"/>
          <w:numId w:val="1018"/>
        </w:numPr>
        <w:pStyle w:val="Compact"/>
      </w:pPr>
      <w:r>
        <w:t xml:space="preserve">Получить пробный доступ к Netilion; подтвердить, как ведётся Offset и как подключаются датчики E+H.</w:t>
      </w:r>
    </w:p>
    <w:p>
      <w:pPr>
        <w:numPr>
          <w:ilvl w:val="0"/>
          <w:numId w:val="1018"/>
        </w:numPr>
        <w:pStyle w:val="Compact"/>
      </w:pPr>
      <w:r>
        <w:t xml:space="preserve">Обследовать площадки пилота (ПЛК и протоколы) до того, как фиксировать объём коннекторов.</w:t>
      </w:r>
    </w:p>
    <w:p>
      <w:pPr>
        <w:numPr>
          <w:ilvl w:val="0"/>
          <w:numId w:val="1018"/>
        </w:numPr>
        <w:pStyle w:val="Compact"/>
      </w:pPr>
      <w:r>
        <w:t xml:space="preserve">Выбрать первую юрисдикцию для акциза.</w:t>
      </w:r>
    </w:p>
    <w:p>
      <w:pPr>
        <w:numPr>
          <w:ilvl w:val="0"/>
          <w:numId w:val="1018"/>
        </w:numPr>
        <w:pStyle w:val="Compact"/>
      </w:pPr>
      <w:r>
        <w:t xml:space="preserve">Не начинать этап 1 без двух пилотов с софинансированием.</w:t>
      </w:r>
    </w:p>
    <w:p>
      <w:pPr>
        <w:numPr>
          <w:ilvl w:val="0"/>
          <w:numId w:val="1018"/>
        </w:numPr>
        <w:pStyle w:val="Compact"/>
      </w:pPr>
      <w:r>
        <w:t xml:space="preserve">Обновить прототип и синтетические данные под шесть модулей и показывать их на каждой встрече.</w:t>
      </w:r>
    </w:p>
    <w:p>
      <w:pPr>
        <w:numPr>
          <w:ilvl w:val="0"/>
          <w:numId w:val="1018"/>
        </w:numPr>
        <w:pStyle w:val="Compact"/>
      </w:pPr>
      <w:r>
        <w:t xml:space="preserve">Публиковать тарифы по модулям с момента запуска.</w:t>
      </w:r>
    </w:p>
    <w:bookmarkEnd w:id="67"/>
    <w:bookmarkEnd w:id="68"/>
    <w:bookmarkStart w:id="74" w:name="источники"/>
    <w:p>
      <w:pPr>
        <w:pStyle w:val="Heading2"/>
      </w:pPr>
      <w:r>
        <w:t xml:space="preserve">Источники</w:t>
      </w:r>
    </w:p>
    <w:p>
      <w:pPr>
        <w:numPr>
          <w:ilvl w:val="0"/>
          <w:numId w:val="1019"/>
        </w:numPr>
        <w:pStyle w:val="Compact"/>
      </w:pPr>
      <w:r>
        <w:t xml:space="preserve">Внутренние аналитические документы Intetics (анализ пробелов E+H, оценка осуществимости, отчёт Data Vest, экспертный анализ SmartLab, отчёт SmartLab).</w:t>
      </w:r>
    </w:p>
    <w:p>
      <w:pPr>
        <w:numPr>
          <w:ilvl w:val="0"/>
          <w:numId w:val="1019"/>
        </w:numPr>
        <w:pStyle w:val="Compact"/>
      </w:pPr>
      <w:hyperlink r:id="rId69">
        <w:r>
          <w:rPr>
            <w:rStyle w:val="Hyperlink"/>
          </w:rPr>
          <w:t xml:space="preserve">E+H: руководство по эксплуатации QWX43, BA02162F/00/EN/03.24</w:t>
        </w:r>
      </w:hyperlink>
      <w:r>
        <w:t xml:space="preserve">.</w:t>
      </w:r>
    </w:p>
    <w:p>
      <w:pPr>
        <w:numPr>
          <w:ilvl w:val="0"/>
          <w:numId w:val="1019"/>
        </w:numPr>
        <w:pStyle w:val="Compact"/>
      </w:pPr>
      <w:hyperlink r:id="rId70">
        <w:r>
          <w:rPr>
            <w:rStyle w:val="Hyperlink"/>
          </w:rPr>
          <w:t xml:space="preserve">E+H: представление QWX43</w:t>
        </w:r>
      </w:hyperlink>
      <w:r>
        <w:t xml:space="preserve">.</w:t>
      </w:r>
    </w:p>
    <w:p>
      <w:pPr>
        <w:numPr>
          <w:ilvl w:val="0"/>
          <w:numId w:val="1019"/>
        </w:numPr>
        <w:pStyle w:val="Compact"/>
      </w:pPr>
      <w:hyperlink r:id="rId71">
        <w:r>
          <w:rPr>
            <w:rStyle w:val="Hyperlink"/>
          </w:rPr>
          <w:t xml:space="preserve">Регламент ЕС 1169/2011, приложение XII</w:t>
        </w:r>
      </w:hyperlink>
      <w:r>
        <w:t xml:space="preserve">.</w:t>
      </w:r>
    </w:p>
    <w:p>
      <w:pPr>
        <w:numPr>
          <w:ilvl w:val="0"/>
          <w:numId w:val="1019"/>
        </w:numPr>
        <w:pStyle w:val="Compact"/>
      </w:pPr>
      <w:hyperlink r:id="rId72">
        <w:r>
          <w:rPr>
            <w:rStyle w:val="Hyperlink"/>
          </w:rPr>
          <w:t xml:space="preserve">TTB: крепость на этикетке пива</w:t>
        </w:r>
      </w:hyperlink>
      <w:r>
        <w:t xml:space="preserve">.</w:t>
      </w:r>
    </w:p>
    <w:p>
      <w:pPr>
        <w:numPr>
          <w:ilvl w:val="0"/>
          <w:numId w:val="1019"/>
        </w:numPr>
        <w:pStyle w:val="Compact"/>
      </w:pPr>
      <w:hyperlink r:id="rId73">
        <w:r>
          <w:rPr>
            <w:rStyle w:val="Hyperlink"/>
          </w:rPr>
          <w:t xml:space="preserve">TTB: инструкция к отчёту о производстве пива</w:t>
        </w:r>
      </w:hyperlink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Экспертиза отраслевого специалиста по пивоварению.</w:t>
      </w:r>
    </w:p>
    <w:bookmarkEnd w:id="74"/>
    <w:bookmarkEnd w:id="75"/>
    <w:sectPr>
      <w:headerReference w:type="default" r:id="rId9"/>
      <w:footerReference w:type="default" r:id="rId10"/>
      <w:pgSz w:w="11906" w:h="16838"/>
      <w:pgMar w:top="1417" w:bottom="1417" w:left="1440" w:right="1440" w:gutter="0" w:header="680" w:footer="68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E5E8E9"/>
      </w:pBdr>
      <w:tabs>
        <w:tab w:pos="9026" w:val="right"/>
      </w:tabs>
    </w:pPr>
    <w:r/>
    <w:r>
      <w:rPr>
        <w:rFonts w:ascii="Montserrat" w:hAnsi="Montserrat" w:cs="Montserrat" w:eastAsia="Montserrat"/>
        <w:color w:val="939598"/>
        <w:sz w:val="14"/>
      </w:rPr>
      <w:t>Naples FL · Chicago · Düsseldorf · London · Minsk · Kyiv · Kharkiv · Odesa · Lviv · Kraków</w:t>
    </w:r>
    <w:r>
      <w:tab/>
    </w:r>
    <w:r>
      <w:rPr>
        <w:rFonts w:ascii="Montserrat" w:hAnsi="Montserrat" w:cs="Montserrat" w:eastAsia="Montserrat"/>
        <w:color w:val="939598"/>
        <w:sz w:val="14"/>
      </w:rPr>
      <w:fldChar w:fldCharType="begin"/>
    </w:r>
    <w:r>
      <w:rPr>
        <w:rFonts w:ascii="Montserrat" w:hAnsi="Montserrat" w:cs="Montserrat" w:eastAsia="Montserrat"/>
        <w:color w:val="939598"/>
        <w:sz w:val="14"/>
      </w:rPr>
      <w:instrText xml:space="preserve">PAGE</w:instrText>
    </w:r>
    <w:r>
      <w:rPr>
        <w:rFonts w:ascii="Montserrat" w:hAnsi="Montserrat" w:cs="Montserrat" w:eastAsia="Montserrat"/>
        <w:color w:val="939598"/>
        <w:sz w:val="14"/>
      </w:rPr>
      <w:fldChar w:fldCharType="separate"/>
    </w:r>
    <w:r>
      <w:rPr>
        <w:rFonts w:ascii="Montserrat" w:hAnsi="Montserrat" w:cs="Montserrat" w:eastAsia="Montserrat"/>
        <w:color w:val="939598"/>
        <w:sz w:val="14"/>
      </w:rPr>
      <w:t>1</w:t>
    </w:r>
    <w:r>
      <w:rPr>
        <w:rFonts w:ascii="Montserrat" w:hAnsi="Montserrat" w:cs="Montserrat" w:eastAsia="Montserrat"/>
        <w:color w:val="939598"/>
        <w:sz w:val="1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2" w:space="4" w:color="F58220"/>
      </w:pBdr>
      <w:tabs>
        <w:tab w:pos="9026" w:val="right"/>
      </w:tabs>
    </w:pPr>
    <w:r/>
    <w:r>
      <w:rPr>
        <w:rFonts w:ascii="Montserrat" w:hAnsi="Montserrat" w:cs="Montserrat" w:eastAsia="Montserrat"/>
        <w:color w:val="939598"/>
        <w:sz w:val="16"/>
      </w:rPr>
      <w:t>Intetics Inc.  |  SmartLab / DataVest  |  Архитектура решения</w:t>
    </w:r>
    <w:r>
      <w:tab/>
    </w:r>
    <w:r>
      <w:rPr>
        <w:rFonts w:ascii="Montserrat" w:hAnsi="Montserrat" w:cs="Montserrat" w:eastAsia="Montserrat"/>
        <w:color w:val="939598"/>
        <w:sz w:val="16"/>
      </w:rPr>
      <w:t>Для внутреннего использования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80" w:lineRule="atLeast" w:after="120" w:before="0"/>
    </w:pPr>
    <w:rPr>
      <w:rFonts w:ascii="Montserrat" w:hAnsi="Montserrat" w:cs="Montserrat" w:eastAsia="Montserrat"/>
      <w:color w:val="4A4A4A"/>
      <w:sz w:val="20"/>
    </w:rPr>
  </w:style>
  <w:style w:styleId="BodyText" w:type="paragraph">
    <w:name w:val="Body Text"/>
    <w:basedOn w:val="Normal"/>
    <w:link w:val="BodyTextChar"/>
    <w:pPr>
      <w:spacing w:after="120" w:before="0" w:line="280" w:lineRule="atLeast"/>
    </w:pPr>
    <w:qFormat/>
    <w:rPr>
      <w:rFonts w:ascii="Montserrat" w:hAnsi="Montserrat" w:cs="Montserrat" w:eastAsia="Montserrat"/>
      <w:color w:val="4A4A4A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line="280" w:lineRule="atLeast" w:after="120" w:before="40"/>
    </w:pPr>
    <w:rPr>
      <w:rFonts w:ascii="Montserrat" w:hAnsi="Montserrat" w:cs="Montserrat" w:eastAsia="Montserrat"/>
      <w:color w:val="4A4A4A"/>
      <w:sz w:val="20"/>
    </w:rPr>
  </w:style>
  <w:style w:customStyle="1" w:styleId="Compact" w:type="paragraph">
    <w:name w:val="Compact"/>
    <w:basedOn w:val="BodyText"/>
    <w:qFormat/>
    <w:pPr>
      <w:spacing w:after="60" w:before="0" w:line="260" w:lineRule="atLeast"/>
    </w:pPr>
    <w:rPr>
      <w:rFonts w:ascii="Montserrat" w:hAnsi="Montserrat" w:cs="Montserrat" w:eastAsia="Montserrat"/>
      <w:color w:val="4A4A4A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360" w:before="0"/>
      <w:outlineLvl w:val="0"/>
    </w:pPr>
    <w:rPr>
      <w:rFonts w:ascii="Montserrat" w:hAnsi="Montserrat" w:cs="Montserrat" w:eastAsia="Montserrat"/>
      <w:b/>
      <w:bCs/>
      <w:i w:val="0"/>
      <w:color w:val="F58220"/>
      <w:sz w:val="6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pBdr>
        <w:bottom w:val="single" w:sz="8" w:space="4" w:color="F58220"/>
      </w:pBdr>
      <w:spacing w:after="160" w:before="360"/>
      <w:outlineLvl w:val="1"/>
    </w:pPr>
    <w:rPr>
      <w:rFonts w:ascii="Montserrat" w:hAnsi="Montserrat" w:cs="Montserrat" w:eastAsia="Montserrat"/>
      <w:b/>
      <w:bCs/>
      <w:i w:val="0"/>
      <w:color w:val="4A4A4A"/>
      <w:sz w:val="4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40"/>
      <w:outlineLvl w:val="2"/>
    </w:pPr>
    <w:rPr>
      <w:rFonts w:ascii="Montserrat" w:hAnsi="Montserrat" w:cs="Montserrat" w:eastAsia="Montserrat"/>
      <w:b/>
      <w:bCs/>
      <w:i w:val="0"/>
      <w:color w:val="4A4A4A"/>
      <w:sz w:val="26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160"/>
      <w:outlineLvl w:val="3"/>
    </w:pPr>
    <w:rPr>
      <w:rFonts w:ascii="Montserrat" w:hAnsi="Montserrat" w:cs="Montserrat" w:eastAsia="Montserrat"/>
      <w:i w:val="0"/>
      <w:b/>
      <w:bCs/>
      <w:color w:val="4A4A4A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val="single" w:sz="24" w:space="10" w:color="F58220"/>
      </w:pBdr>
      <w:spacing w:after="200" w:before="160" w:line="280" w:lineRule="atLeast"/>
      <w:ind w:firstLine="0" w:left="340" w:right="480"/>
    </w:pPr>
    <w:rPr>
      <w:rFonts w:ascii="Montserrat" w:hAnsi="Montserrat" w:cs="Montserrat" w:eastAsia="Montserrat"/>
      <w:i w:val="0"/>
      <w:color w:val="4A4A4A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spacing w:after="200"/>
      <w:jc w:val="center"/>
    </w:pPr>
    <w:rPr>
      <w:rFonts w:ascii="Montserrat" w:hAnsi="Montserrat" w:cs="Montserrat" w:eastAsia="Montserrat"/>
      <w:i/>
      <w:color w:val="939598"/>
      <w:sz w:val="16"/>
    </w:rPr>
  </w:style>
  <w:style w:customStyle="1" w:styleId="Figure" w:type="paragraph">
    <w:name w:val="Figure"/>
    <w:basedOn w:val="Normal"/>
    <w:pPr>
      <w:spacing w:line="240" w:lineRule="auto" w:before="120"/>
      <w:jc w:val="center"/>
    </w:pPr>
  </w:style>
  <w:style w:customStyle="1" w:styleId="CaptionedFigure" w:type="paragraph">
    <w:name w:val="Captioned Figure"/>
    <w:basedOn w:val="Figure"/>
    <w:pPr>
      <w:keepNext/>
      <w:spacing w:line="240" w:lineRule="auto" w:before="12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cs="Consolas" w:eastAsia="Consolas"/>
      <w:color w:val="4A4A4A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D96A0E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4" Type="http://schemas.openxmlformats.org/officeDocument/2006/relationships/image" Target="media/rId24.png"/><Relationship Id="rId31" Type="http://schemas.openxmlformats.org/officeDocument/2006/relationships/image" Target="media/rId31.png"/><Relationship Id="rId38" Type="http://schemas.openxmlformats.org/officeDocument/2006/relationships/image" Target="media/rId38.png"/><Relationship Id="rId45" Type="http://schemas.openxmlformats.org/officeDocument/2006/relationships/image" Target="media/rId45.png"/><Relationship Id="rId59" Type="http://schemas.openxmlformats.org/officeDocument/2006/relationships/image" Target="media/rId59.png"/><Relationship Id="rId69" Type="http://schemas.openxmlformats.org/officeDocument/2006/relationships/hyperlink" Target="https://bdih-download.endress.com/file/005056A5E3831EEFA9FE73CC28DBB974/BA02162FEN_0324-00.pdf" TargetMode="External"/><Relationship Id="rId70" Type="http://schemas.openxmlformats.org/officeDocument/2006/relationships/hyperlink" Target="https://drivesandcontrols.ca/?p=58696" TargetMode="External"/><Relationship Id="rId71" Type="http://schemas.openxmlformats.org/officeDocument/2006/relationships/hyperlink" Target="https://legislation.gov.uk/eur/2011/1169/annex/XII/data.xht" TargetMode="External"/><Relationship Id="rId72" Type="http://schemas.openxmlformats.org/officeDocument/2006/relationships/hyperlink" Target="https://ttb-gov.cms.awsdev.treasury.gov/regulated-commodities/beverage-alcohol/beer/labeling/malt-beverage-alcohol-content" TargetMode="External"/><Relationship Id="rId73" Type="http://schemas.openxmlformats.org/officeDocument/2006/relationships/hyperlink" Target="https://www.pay.gov/public/static-assets/paygov/ATF/help/ATF_5130_9_v6.html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bdih-download.endress.com/file/005056A5E3831EEFA9FE73CC28DBB974/BA02162FEN_0324-00.pdf" TargetMode="External"/><Relationship Id="rId70" Type="http://schemas.openxmlformats.org/officeDocument/2006/relationships/hyperlink" Target="https://drivesandcontrols.ca/?p=58696" TargetMode="External"/><Relationship Id="rId71" Type="http://schemas.openxmlformats.org/officeDocument/2006/relationships/hyperlink" Target="https://legislation.gov.uk/eur/2011/1169/annex/XII/data.xht" TargetMode="External"/><Relationship Id="rId72" Type="http://schemas.openxmlformats.org/officeDocument/2006/relationships/hyperlink" Target="https://ttb-gov.cms.awsdev.treasury.gov/regulated-commodities/beverage-alcohol/beer/labeling/malt-beverage-alcohol-content" TargetMode="External"/><Relationship Id="rId73" Type="http://schemas.openxmlformats.org/officeDocument/2006/relationships/hyperlink" Target="https://www.pay.gov/public/static-assets/paygov/ATF/help/ATF_5130_9_v6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DataVest Brew</dc:title>
  <dc:creator>Dzmitry (Intetics)</dc:creator>
  <cp:keywords/>
  <dcterms:created xsi:type="dcterms:W3CDTF">2026-10-20T21:33:37Z</dcterms:created>
  <dcterms:modified xsi:type="dcterms:W3CDTF">2026-10-20T21:33:37Z</dcterms:modified>
  <dc:subject>Платформа аналитики пивоваренного процесса: архитектура решения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