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atavest-brew-prototype-specification"/>
    <w:p>
      <w:pPr>
        <w:spacing w:after="240" w:before="0" w:line="250" w:lineRule="exact"/>
      </w:pPr>
    </w:p>
    <w:p>
      <w:pPr>
        <w:spacing w:after="240" w:before="0" w:line="250" w:lineRule="exact"/>
      </w:pPr>
    </w:p>
    <w:p>
      <w:pPr>
        <w:spacing w:after="240" w:before="0" w:line="250" w:lineRule="exact"/>
      </w:pPr>
    </w:p>
    <w:p>
      <w:pPr>
        <w:spacing w:after="240" w:before="0" w:line="250" w:lineRule="exact"/>
      </w:pPr>
    </w:p>
    <w:p>
      <w:pPr>
        <w:spacing w:after="240" w:before="0" w:line="250" w:lineRule="exact"/>
      </w:pPr>
    </w:p>
    <w:p>
      <w:pPr>
        <w:spacing w:after="200" w:before="0" w:line="300" w:lineRule="exact"/>
      </w:pPr>
      <w:r>
        <w:rPr>
          <w:rFonts w:ascii="Montserrat" w:hAnsi="Montserrat" w:cs="Montserrat" w:eastAsia="Montserrat"/>
          <w:b/>
          <w:i w:val="0"/>
          <w:color w:val="F58220"/>
          <w:sz w:val="24"/>
        </w:rPr>
        <w:t>Intetics  ·  SmartLab / DataVest</w:t>
      </w:r>
    </w:p>
    <w:p>
      <w:pPr>
        <w:spacing w:after="160" w:before="0" w:line="900" w:lineRule="exact"/>
      </w:pPr>
      <w:r>
        <w:rPr>
          <w:rFonts w:ascii="Montserrat" w:hAnsi="Montserrat" w:cs="Montserrat" w:eastAsia="Montserrat"/>
          <w:b/>
          <w:i w:val="0"/>
          <w:color w:val="F58220"/>
          <w:sz w:val="72"/>
        </w:rPr>
        <w:t>DataVest Brew</w:t>
      </w:r>
    </w:p>
    <w:p>
      <w:pPr>
        <w:pBdr>
          <w:bottom w:val="single" w:sz="36" w:space="12" w:color="F58220"/>
        </w:pBdr>
        <w:spacing w:after="480" w:before="0" w:line="450" w:lineRule="exact"/>
      </w:pPr>
      <w:r>
        <w:rPr>
          <w:rFonts w:ascii="Montserrat" w:hAnsi="Montserrat" w:cs="Montserrat" w:eastAsia="Montserrat"/>
          <w:b/>
          <w:i w:val="0"/>
          <w:color w:val="4A4A4A"/>
          <w:sz w:val="36"/>
        </w:rPr>
        <w:t>Clickable prototype: build specification</w:t>
      </w:r>
    </w:p>
    <w:p>
      <w:pPr>
        <w:spacing w:after="120" w:before="0" w:line="250" w:lineRule="exact"/>
      </w:pPr>
    </w:p>
    <w:p>
      <w:pPr>
        <w:spacing w:after="80"/>
      </w:pPr>
      <w:r>
        <w:rPr>
          <w:rFonts w:ascii="Montserrat" w:hAnsi="Montserrat" w:cs="Montserrat" w:eastAsia="Montserrat"/>
          <w:b/>
          <w:color w:val="4A4A4A"/>
          <w:sz w:val="20"/>
        </w:rPr>
        <w:t xml:space="preserve">Document date:  </w:t>
      </w:r>
      <w:r>
        <w:rPr>
          <w:rFonts w:ascii="Montserrat" w:hAnsi="Montserrat" w:cs="Montserrat" w:eastAsia="Montserrat"/>
          <w:color w:val="4A4A4A"/>
          <w:sz w:val="20"/>
        </w:rPr>
        <w:t>21 October 2026</w:t>
      </w:r>
    </w:p>
    <w:p>
      <w:pPr>
        <w:spacing w:after="80"/>
      </w:pPr>
      <w:r>
        <w:rPr>
          <w:rFonts w:ascii="Montserrat" w:hAnsi="Montserrat" w:cs="Montserrat" w:eastAsia="Montserrat"/>
          <w:b/>
          <w:color w:val="4A4A4A"/>
          <w:sz w:val="20"/>
        </w:rPr>
        <w:t xml:space="preserve">Prepared by:  </w:t>
      </w:r>
      <w:r>
        <w:rPr>
          <w:rFonts w:ascii="Montserrat" w:hAnsi="Montserrat" w:cs="Montserrat" w:eastAsia="Montserrat"/>
          <w:color w:val="4A4A4A"/>
          <w:sz w:val="20"/>
        </w:rPr>
        <w:t>Dzmitry, Intetics</w:t>
      </w:r>
    </w:p>
    <w:p>
      <w:pPr>
        <w:spacing w:after="80"/>
      </w:pPr>
      <w:r>
        <w:rPr>
          <w:rFonts w:ascii="Montserrat" w:hAnsi="Montserrat" w:cs="Montserrat" w:eastAsia="Montserrat"/>
          <w:b/>
          <w:color w:val="4A4A4A"/>
          <w:sz w:val="20"/>
        </w:rPr>
        <w:t xml:space="preserve">Classification:  </w:t>
      </w:r>
      <w:r>
        <w:rPr>
          <w:rFonts w:ascii="Montserrat" w:hAnsi="Montserrat" w:cs="Montserrat" w:eastAsia="Montserrat"/>
          <w:color w:val="4A4A4A"/>
          <w:sz w:val="20"/>
        </w:rPr>
        <w:t>Internal</w:t>
      </w:r>
    </w:p>
    <w:p>
      <w:pPr>
        <w:spacing w:after="360" w:before="0" w:line="250" w:lineRule="exact"/>
      </w:pPr>
    </w:p>
    <w:p>
      <w:pPr>
        <w:spacing w:after="120" w:before="0" w:line="200" w:lineRule="exact"/>
      </w:pPr>
      <w:r>
        <w:rPr>
          <w:rFonts w:ascii="Montserrat" w:hAnsi="Montserrat" w:cs="Montserrat" w:eastAsia="Montserrat"/>
          <w:b w:val="0"/>
          <w:i/>
          <w:color w:val="939598"/>
          <w:sz w:val="16"/>
        </w:rPr>
        <w:t>Exported from the Claude Doc “Brewery Process Intelligence Platform”, tab “Prototype spec”. Diagrams are images; text and tables are editable.</w:t>
      </w:r>
    </w:p>
    <w:p>
      <w:pPr>
        <w:spacing w:after="120" w:before="0" w:line="250" w:lineRule="exact"/>
      </w:pPr>
      <w:r>
        <w:br w:type="page"/>
      </w:r>
    </w:p>
    <w:p>
      <w:pPr>
        <w:pBdr>
          <w:bottom w:val="single" w:sz="8" w:space="4" w:color="F58220"/>
        </w:pBdr>
        <w:spacing w:after="200" w:before="0" w:line="500" w:lineRule="exact"/>
      </w:pPr>
      <w:r>
        <w:rPr>
          <w:rFonts w:ascii="Montserrat" w:hAnsi="Montserrat" w:cs="Montserrat" w:eastAsia="Montserrat"/>
          <w:b/>
          <w:i w:val="0"/>
          <w:color w:val="4A4A4A"/>
          <w:sz w:val="40"/>
        </w:rPr>
        <w:t>Contents</w:t>
      </w:r>
    </w:p>
    <w:p>
      <w:r>
        <w:rPr>
          <w:rFonts w:ascii="Montserrat" w:hAnsi="Montserrat" w:cs="Montserrat" w:eastAsia="Montserrat"/>
          <w:color w:val="4A4A4A"/>
          <w:sz w:val="20"/>
        </w:rPr>
        <w:fldChar w:fldCharType="begin"/>
      </w:r>
      <w:r>
        <w:rPr>
          <w:rFonts w:ascii="Montserrat" w:hAnsi="Montserrat" w:cs="Montserrat" w:eastAsia="Montserrat"/>
          <w:color w:val="4A4A4A"/>
          <w:sz w:val="20"/>
        </w:rPr>
        <w:instrText xml:space="preserve">TOC \o "1-2" \h \z \u</w:instrText>
      </w:r>
      <w:r>
        <w:rPr>
          <w:rFonts w:ascii="Montserrat" w:hAnsi="Montserrat" w:cs="Montserrat" w:eastAsia="Montserrat"/>
          <w:color w:val="4A4A4A"/>
          <w:sz w:val="20"/>
        </w:rPr>
        <w:fldChar w:fldCharType="separate"/>
      </w:r>
      <w:r>
        <w:rPr>
          <w:rFonts w:ascii="Montserrat" w:hAnsi="Montserrat" w:cs="Montserrat" w:eastAsia="Montserrat"/>
          <w:color w:val="4A4A4A"/>
          <w:sz w:val="20"/>
        </w:rPr>
        <w:t>Right-click and choose Update Field to build the table of contents.</w:t>
      </w:r>
      <w:r>
        <w:rPr>
          <w:rFonts w:ascii="Montserrat" w:hAnsi="Montserrat" w:cs="Montserrat" w:eastAsia="Montserrat"/>
          <w:color w:val="4A4A4A"/>
          <w:sz w:val="20"/>
        </w:rPr>
        <w:fldChar w:fldCharType="end"/>
      </w:r>
    </w:p>
    <w:p>
      <w:pPr>
        <w:pStyle w:val="Heading1"/>
        <w:pageBreakBefore/>
      </w:pPr>
      <w:r>
        <w:t xml:space="preserve">DataVest Brew — Prototype specification</w:t>
      </w:r>
    </w:p>
    <w:p>
      <w:pPr>
        <w:pStyle w:val="FirstParagraph"/>
      </w:pPr>
      <w:r>
        <w:t xml:space="preserve">This is the build brief for a clickable prototype of DataVest Brew. The prototype runs on synthetic data and is used in discovery calls with E+H and breweries. It shows all six modules; integrations are simulated.</w:t>
      </w:r>
    </w:p>
    <w:bookmarkStart w:id="20" w:name="purpose-and-scope"/>
    <w:p>
      <w:pPr>
        <w:pStyle w:val="Heading2"/>
      </w:pPr>
      <w:r>
        <w:t xml:space="preserve">Purpose and scope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let a brewer, a lab manager and an E+H representative see, in 15 minutes, how the product connects equipment, the lab and production, and what it predicts.</w:t>
      </w:r>
    </w:p>
    <w:p>
      <w:pPr>
        <w:pStyle w:val="BodyText"/>
      </w:pPr>
      <w:r>
        <w:rPr>
          <w:bCs/>
          <w:b/>
        </w:rPr>
        <w:t xml:space="preserve">In scope:</w:t>
      </w:r>
    </w:p>
    <w:p>
      <w:pPr>
        <w:numPr>
          <w:ilvl w:val="0"/>
          <w:numId w:val="1001"/>
        </w:numPr>
        <w:pStyle w:val="Compact"/>
      </w:pPr>
      <w:r>
        <w:t xml:space="preserve">the six modules with demo-ready screens;</w:t>
      </w:r>
    </w:p>
    <w:p>
      <w:pPr>
        <w:numPr>
          <w:ilvl w:val="0"/>
          <w:numId w:val="1001"/>
        </w:numPr>
        <w:pStyle w:val="Compact"/>
      </w:pPr>
      <w:r>
        <w:t xml:space="preserve">a simulated edge gateway with OPC UA, Modbus TCP and Profinet feeds;</w:t>
      </w:r>
    </w:p>
    <w:p>
      <w:pPr>
        <w:numPr>
          <w:ilvl w:val="0"/>
          <w:numId w:val="1001"/>
        </w:numPr>
        <w:pStyle w:val="Compact"/>
      </w:pPr>
      <w:r>
        <w:t xml:space="preserve">a simulated Netilion feed for the QWX43 and an E+H feed for pH, oxygen and CO₂;</w:t>
      </w:r>
    </w:p>
    <w:p>
      <w:pPr>
        <w:numPr>
          <w:ilvl w:val="0"/>
          <w:numId w:val="1001"/>
        </w:numPr>
        <w:pStyle w:val="Compact"/>
      </w:pPr>
      <w:r>
        <w:t xml:space="preserve">canned assistant answers;</w:t>
      </w:r>
    </w:p>
    <w:p>
      <w:pPr>
        <w:numPr>
          <w:ilvl w:val="0"/>
          <w:numId w:val="1001"/>
        </w:numPr>
        <w:pStyle w:val="Compact"/>
      </w:pPr>
      <w:r>
        <w:t xml:space="preserve">one excise jurisdiction with placeholder rates.</w:t>
      </w:r>
    </w:p>
    <w:p>
      <w:pPr>
        <w:pStyle w:val="FirstParagraph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real connectors, authentication beyond a role switcher, real ML training, billing, mobile apps, APS planning, taste forecast (shown as a</w:t>
      </w:r>
      <w:r>
        <w:t xml:space="preserve"> </w:t>
      </w:r>
      <w:r>
        <w:t xml:space="preserve">“</w:t>
      </w:r>
      <w:r>
        <w:t xml:space="preserve">coming later</w:t>
      </w:r>
      <w:r>
        <w:t xml:space="preserve">”</w:t>
      </w:r>
      <w:r>
        <w:t xml:space="preserve"> </w:t>
      </w:r>
      <w:r>
        <w:t xml:space="preserve">card only).</w:t>
      </w:r>
    </w:p>
    <w:p>
      <w:pPr>
        <w:pStyle w:val="BodyText"/>
      </w:pPr>
      <w:r>
        <w:rPr>
          <w:bCs/>
          <w:b/>
        </w:rPr>
        <w:t xml:space="preserve">Fixed rules: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Read only.</w:t>
      </w:r>
      <w:r>
        <w:t xml:space="preserve"> </w:t>
      </w:r>
      <w:r>
        <w:t xml:space="preserve">No screen offers to change setpoints or control equipment.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Labels.</w:t>
      </w:r>
      <w:r>
        <w:t xml:space="preserve"> </w:t>
      </w:r>
      <w:r>
        <w:t xml:space="preserve">Automatic events carry a</w:t>
      </w:r>
      <w:r>
        <w:t xml:space="preserve"> </w:t>
      </w:r>
      <w:r>
        <w:t xml:space="preserve">“</w:t>
      </w:r>
      <w:r>
        <w:t xml:space="preserve">detected</w:t>
      </w:r>
      <w:r>
        <w:t xml:space="preserve">”</w:t>
      </w:r>
      <w:r>
        <w:t xml:space="preserve"> </w:t>
      </w:r>
      <w:r>
        <w:t xml:space="preserve">label; user entries show the user name.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Compliance wording.</w:t>
      </w:r>
      <w:r>
        <w:t xml:space="preserve"> </w:t>
      </w:r>
      <w:r>
        <w:t xml:space="preserve">Quality documents read</w:t>
      </w:r>
      <w:r>
        <w:t xml:space="preserve"> </w:t>
      </w:r>
      <w:r>
        <w:t xml:space="preserve">“</w:t>
      </w:r>
      <w:r>
        <w:t xml:space="preserve">Prepared by DataVest Brew · Released by [signer]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Placeholders.</w:t>
      </w:r>
      <w:r>
        <w:t xml:space="preserve"> </w:t>
      </w:r>
      <w:r>
        <w:t xml:space="preserve">All limits and rates are illustrative and marked as such.</w:t>
      </w:r>
    </w:p>
    <w:bookmarkEnd w:id="20"/>
    <w:bookmarkStart w:id="21" w:name="demo-tenant"/>
    <w:p>
      <w:pPr>
        <w:pStyle w:val="Heading2"/>
      </w:pPr>
      <w:r>
        <w:t xml:space="preserve">Demo tenant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2497"/>
        <w:gridCol w:w="6529"/>
      </w:tblGrid>
      <w:tr>
        <w:trPr>
          <w:tblHeader w:val="true"/>
          <w:tblHeader/>
        </w:trPr>
        <w:tc>
          <w:tcPr>
            <w:tcW w:w="2497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Item</w:t>
            </w:r>
          </w:p>
        </w:tc>
        <w:tc>
          <w:tcPr>
            <w:tcW w:w="652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Synthetic setup</w:t>
            </w:r>
          </w:p>
        </w:tc>
      </w:tr>
      <w:tr>
        <w:trPr/>
        <w:tc>
          <w:tcPr>
            <w:tcW w:w="249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Brewery</w:t>
            </w:r>
          </w:p>
        </w:tc>
        <w:tc>
          <w:tcPr>
            <w:tcW w:w="652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“</w:t>
            </w: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Alder &amp; Pike Brewing</w:t>
            </w: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”</w:t>
            </w: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, one site, mid-sized</w:t>
            </w:r>
          </w:p>
        </w:tc>
      </w:tr>
      <w:tr>
        <w:trPr/>
        <w:tc>
          <w:tcPr>
            <w:tcW w:w="249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Vessels</w:t>
            </w:r>
          </w:p>
        </w:tc>
        <w:tc>
          <w:tcPr>
            <w:tcW w:w="652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12 fermenters (FV-01 to FV-12), 4 bright tanks (BBT-01 to BBT-04), brewhouse, packaging line</w:t>
            </w:r>
          </w:p>
        </w:tc>
      </w:tr>
      <w:tr>
        <w:trPr/>
        <w:tc>
          <w:tcPr>
            <w:tcW w:w="249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QWX43</w:t>
            </w:r>
          </w:p>
        </w:tc>
        <w:tc>
          <w:tcPr>
            <w:tcW w:w="652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On 8 fermenters, via simulated Netilion</w:t>
            </w:r>
          </w:p>
        </w:tc>
      </w:tr>
      <w:tr>
        <w:trPr/>
        <w:tc>
          <w:tcPr>
            <w:tcW w:w="249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PLC feeds</w:t>
            </w:r>
          </w:p>
        </w:tc>
        <w:tc>
          <w:tcPr>
            <w:tcW w:w="652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OPC UA on all fermenters (temperature, setpoint, pressure, valve state); Modbus TCP on bright tanks; Profinet on the brewhouse</w:t>
            </w:r>
          </w:p>
        </w:tc>
      </w:tr>
      <w:tr>
        <w:trPr/>
        <w:tc>
          <w:tcPr>
            <w:tcW w:w="249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E+H sensors</w:t>
            </w:r>
          </w:p>
        </w:tc>
        <w:tc>
          <w:tcPr>
            <w:tcW w:w="652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pH on the brewhouse; dissolved oxygen and CO₂ on the packaging line</w:t>
            </w:r>
          </w:p>
        </w:tc>
      </w:tr>
      <w:tr>
        <w:trPr/>
        <w:tc>
          <w:tcPr>
            <w:tcW w:w="249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Recipes and tech cards</w:t>
            </w:r>
          </w:p>
        </w:tc>
        <w:tc>
          <w:tcPr>
            <w:tcW w:w="652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6: Pilsner, Helles, Pale Ale, IPA, Stout, Non-alcoholic Lager</w:t>
            </w:r>
          </w:p>
        </w:tc>
      </w:tr>
      <w:tr>
        <w:trPr/>
        <w:tc>
          <w:tcPr>
            <w:tcW w:w="249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Yeast</w:t>
            </w:r>
          </w:p>
        </w:tc>
        <w:tc>
          <w:tcPr>
            <w:tcW w:w="652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 strains (lager, ale, NA strain) with 1–8 generations</w:t>
            </w:r>
          </w:p>
        </w:tc>
      </w:tr>
      <w:tr>
        <w:trPr/>
        <w:tc>
          <w:tcPr>
            <w:tcW w:w="249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History</w:t>
            </w:r>
          </w:p>
        </w:tc>
        <w:tc>
          <w:tcPr>
            <w:tcW w:w="652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90 days, 95 batches (8 open), with CIP events, lab results, tasting panels and packaging releases</w:t>
            </w:r>
          </w:p>
        </w:tc>
      </w:tr>
      <w:tr>
        <w:trPr/>
        <w:tc>
          <w:tcPr>
            <w:tcW w:w="249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Excise</w:t>
            </w:r>
          </w:p>
        </w:tc>
        <w:tc>
          <w:tcPr>
            <w:tcW w:w="652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One jurisdiction, monthly declaration, rate per hectolitre and degree Plato (placeholder values)</w:t>
            </w:r>
          </w:p>
        </w:tc>
      </w:tr>
      <w:tr>
        <w:trPr/>
        <w:tc>
          <w:tcPr>
            <w:tcW w:w="249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Users</w:t>
            </w:r>
          </w:p>
        </w:tc>
        <w:tc>
          <w:tcPr>
            <w:tcW w:w="652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Head brewer, cellar operator, lab technician, quality manager, technologist, production manager, finance</w:t>
            </w:r>
          </w:p>
        </w:tc>
      </w:tr>
    </w:tbl>
    <w:bookmarkEnd w:id="21"/>
    <w:bookmarkStart w:id="22" w:name="demo-anchors"/>
    <w:p>
      <w:pPr>
        <w:pStyle w:val="Heading2"/>
      </w:pPr>
      <w:r>
        <w:t xml:space="preserve">Demo anchors</w:t>
      </w:r>
    </w:p>
    <w:p>
      <w:pPr>
        <w:pStyle w:val="FirstParagraph"/>
      </w:pPr>
      <w:r>
        <w:t xml:space="preserve">Each anchor is a seeded situation that a screen must show without setup.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1016"/>
        <w:gridCol w:w="4920"/>
        <w:gridCol w:w="3090"/>
      </w:tblGrid>
      <w:tr>
        <w:trPr>
          <w:tblHeader w:val="true"/>
          <w:tblHeader/>
        </w:trPr>
        <w:tc>
          <w:tcPr>
            <w:tcW w:w="1016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w="4920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Situation</w:t>
            </w:r>
          </w:p>
        </w:tc>
        <w:tc>
          <w:tcPr>
            <w:tcW w:w="3090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Where it shows</w:t>
            </w:r>
          </w:p>
        </w:tc>
      </w:tr>
      <w:tr>
        <w:trPr/>
        <w:tc>
          <w:tcPr>
            <w:tcW w:w="101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A1</w:t>
            </w:r>
          </w:p>
        </w:tc>
        <w:tc>
          <w:tcPr>
            <w:tcW w:w="492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FV-07: fermentation running long; density nearly flat for 3 days after a slow start</w:t>
            </w:r>
          </w:p>
        </w:tc>
        <w:tc>
          <w:tcPr>
            <w:tcW w:w="30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Tank board, batch view, alert, assistant</w:t>
            </w:r>
          </w:p>
        </w:tc>
      </w:tr>
      <w:tr>
        <w:trPr/>
        <w:tc>
          <w:tcPr>
            <w:tcW w:w="101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A2</w:t>
            </w:r>
          </w:p>
        </w:tc>
        <w:tc>
          <w:tcPr>
            <w:tcW w:w="492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FV-03: programmed diacetyl rest (temperature step up); not flagged</w:t>
            </w:r>
          </w:p>
        </w:tc>
        <w:tc>
          <w:tcPr>
            <w:tcW w:w="30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Batch view (rest shown on the plan line)</w:t>
            </w:r>
          </w:p>
        </w:tc>
      </w:tr>
      <w:tr>
        <w:trPr/>
        <w:tc>
          <w:tcPr>
            <w:tcW w:w="101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A3</w:t>
            </w:r>
          </w:p>
        </w:tc>
        <w:tc>
          <w:tcPr>
            <w:tcW w:w="492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FV-05: CIP detected automatically from media change; detergent not yet confirmed</w:t>
            </w:r>
          </w:p>
        </w:tc>
        <w:tc>
          <w:tcPr>
            <w:tcW w:w="30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CIP log, task list</w:t>
            </w:r>
          </w:p>
        </w:tc>
      </w:tr>
      <w:tr>
        <w:trPr/>
        <w:tc>
          <w:tcPr>
            <w:tcW w:w="101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A4</w:t>
            </w:r>
          </w:p>
        </w:tc>
        <w:tc>
          <w:tcPr>
            <w:tcW w:w="492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QWX43 on FV-02: accuracy check overdue; last Offset 4 months ago</w:t>
            </w:r>
          </w:p>
        </w:tc>
        <w:tc>
          <w:tcPr>
            <w:tcW w:w="30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Sensor accuracy, alerts</w:t>
            </w:r>
          </w:p>
        </w:tc>
      </w:tr>
      <w:tr>
        <w:trPr/>
        <w:tc>
          <w:tcPr>
            <w:tcW w:w="101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A5</w:t>
            </w:r>
          </w:p>
        </w:tc>
        <w:tc>
          <w:tcPr>
            <w:tcW w:w="492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Lager strain: viability falling from 96% (gen 1) to 82% (gen 6)</w:t>
            </w:r>
          </w:p>
        </w:tc>
        <w:tc>
          <w:tcPr>
            <w:tcW w:w="30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Yeast management</w:t>
            </w:r>
          </w:p>
        </w:tc>
      </w:tr>
      <w:tr>
        <w:trPr/>
        <w:tc>
          <w:tcPr>
            <w:tcW w:w="101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A6</w:t>
            </w:r>
          </w:p>
        </w:tc>
        <w:tc>
          <w:tcPr>
            <w:tcW w:w="492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Pale Ale batch: VDK above specification; release blocked</w:t>
            </w:r>
          </w:p>
        </w:tc>
        <w:tc>
          <w:tcPr>
            <w:tcW w:w="30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Packaging release</w:t>
            </w:r>
          </w:p>
        </w:tc>
      </w:tr>
      <w:tr>
        <w:trPr/>
        <w:tc>
          <w:tcPr>
            <w:tcW w:w="101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A7</w:t>
            </w:r>
          </w:p>
        </w:tc>
        <w:tc>
          <w:tcPr>
            <w:tcW w:w="492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Profinet gateway on the brewhouse offline for 40 minutes; data buffered and backfilled</w:t>
            </w:r>
          </w:p>
        </w:tc>
        <w:tc>
          <w:tcPr>
            <w:tcW w:w="30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Connections, alerts</w:t>
            </w:r>
          </w:p>
        </w:tc>
      </w:tr>
      <w:tr>
        <w:trPr/>
        <w:tc>
          <w:tcPr>
            <w:tcW w:w="101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A8</w:t>
            </w:r>
          </w:p>
        </w:tc>
        <w:tc>
          <w:tcPr>
            <w:tcW w:w="492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Non-alcoholic Lager: alcohol below limit throughout, lab result attached, quality document ready</w:t>
            </w:r>
          </w:p>
        </w:tc>
        <w:tc>
          <w:tcPr>
            <w:tcW w:w="30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Packaging release, reports</w:t>
            </w:r>
          </w:p>
        </w:tc>
      </w:tr>
      <w:tr>
        <w:trPr/>
        <w:tc>
          <w:tcPr>
            <w:tcW w:w="101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A9</w:t>
            </w:r>
          </w:p>
        </w:tc>
        <w:tc>
          <w:tcPr>
            <w:tcW w:w="492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Monthly excise declaration draft for the last month</w:t>
            </w:r>
          </w:p>
        </w:tc>
        <w:tc>
          <w:tcPr>
            <w:tcW w:w="30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Reports and excise</w:t>
            </w:r>
          </w:p>
        </w:tc>
      </w:tr>
      <w:tr>
        <w:trPr/>
        <w:tc>
          <w:tcPr>
            <w:tcW w:w="101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A10</w:t>
            </w:r>
          </w:p>
        </w:tc>
        <w:tc>
          <w:tcPr>
            <w:tcW w:w="492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Forecast: FV-09 ready tomorrow around noon, with range</w:t>
            </w:r>
          </w:p>
        </w:tc>
        <w:tc>
          <w:tcPr>
            <w:tcW w:w="30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Tank board, batch view</w:t>
            </w:r>
          </w:p>
        </w:tc>
      </w:tr>
    </w:tbl>
    <w:bookmarkEnd w:id="22"/>
    <w:bookmarkStart w:id="23" w:name="navigation-and-screens"/>
    <w:p>
      <w:pPr>
        <w:pStyle w:val="Heading2"/>
      </w:pPr>
      <w:r>
        <w:t xml:space="preserve">Navigation and screens</w:t>
      </w:r>
    </w:p>
    <w:p>
      <w:pPr>
        <w:pStyle w:val="FirstParagraph"/>
      </w:pPr>
      <w:r>
        <w:t xml:space="preserve">Navigation groups:</w:t>
      </w:r>
      <w:r>
        <w:t xml:space="preserve"> </w:t>
      </w:r>
      <w:r>
        <w:rPr>
          <w:bCs/>
          <w:b/>
        </w:rPr>
        <w:t xml:space="preserve">Operate</w:t>
      </w:r>
      <w:r>
        <w:t xml:space="preserve">,</w:t>
      </w:r>
      <w:r>
        <w:t xml:space="preserve"> </w:t>
      </w:r>
      <w:r>
        <w:rPr>
          <w:bCs/>
          <w:b/>
        </w:rPr>
        <w:t xml:space="preserve">Lab and quality</w:t>
      </w:r>
      <w:r>
        <w:t xml:space="preserve">,</w:t>
      </w:r>
      <w:r>
        <w:t xml:space="preserve"> </w:t>
      </w:r>
      <w:r>
        <w:rPr>
          <w:bCs/>
          <w:b/>
        </w:rPr>
        <w:t xml:space="preserve">Production setup</w:t>
      </w:r>
      <w:r>
        <w:t xml:space="preserve">,</w:t>
      </w:r>
      <w:r>
        <w:t xml:space="preserve"> </w:t>
      </w:r>
      <w:r>
        <w:rPr>
          <w:bCs/>
          <w:b/>
        </w:rPr>
        <w:t xml:space="preserve">Equipment</w:t>
      </w:r>
      <w:r>
        <w:t xml:space="preserve">,</w:t>
      </w:r>
      <w:r>
        <w:t xml:space="preserve"> </w:t>
      </w:r>
      <w:r>
        <w:rPr>
          <w:bCs/>
          <w:b/>
        </w:rPr>
        <w:t xml:space="preserve">Reports</w:t>
      </w:r>
      <w:r>
        <w:t xml:space="preserve">. A role switcher in the header changes the default landing screen.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872"/>
        <w:gridCol w:w="1686"/>
        <w:gridCol w:w="2056"/>
        <w:gridCol w:w="3241"/>
        <w:gridCol w:w="1171"/>
      </w:tblGrid>
      <w:tr>
        <w:trPr>
          <w:tblHeader w:val="true"/>
          <w:tblHeader/>
        </w:trPr>
        <w:tc>
          <w:tcPr>
            <w:tcW w:w="872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w="1686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Screen</w:t>
            </w:r>
          </w:p>
        </w:tc>
        <w:tc>
          <w:tcPr>
            <w:tcW w:w="2056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Purpose</w:t>
            </w:r>
          </w:p>
        </w:tc>
        <w:tc>
          <w:tcPr>
            <w:tcW w:w="3241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Key elements</w:t>
            </w:r>
          </w:p>
        </w:tc>
        <w:tc>
          <w:tcPr>
            <w:tcW w:w="1171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Anchors</w:t>
            </w:r>
          </w:p>
        </w:tc>
      </w:tr>
      <w:tr>
        <w:trPr/>
        <w:tc>
          <w:tcPr>
            <w:tcW w:w="8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S01</w:t>
            </w:r>
          </w:p>
        </w:tc>
        <w:tc>
          <w:tcPr>
            <w:tcW w:w="168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Tank board</w:t>
            </w:r>
          </w:p>
        </w:tc>
        <w:tc>
          <w:tcPr>
            <w:tcW w:w="205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Status of every vessel at a glance</w:t>
            </w:r>
          </w:p>
        </w:tc>
        <w:tc>
          <w:tcPr>
            <w:tcW w:w="324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Grid and list views; tile shows stage, extract, alcohol, temperature against plan, forecast end with range, trust indicator, alert marker</w:t>
            </w:r>
          </w:p>
        </w:tc>
        <w:tc>
          <w:tcPr>
            <w:tcW w:w="117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A1, A10</w:t>
            </w:r>
          </w:p>
        </w:tc>
      </w:tr>
      <w:tr>
        <w:trPr/>
        <w:tc>
          <w:tcPr>
            <w:tcW w:w="87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S02</w:t>
            </w:r>
          </w:p>
        </w:tc>
        <w:tc>
          <w:tcPr>
            <w:tcW w:w="168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Batch view</w:t>
            </w:r>
          </w:p>
        </w:tc>
        <w:tc>
          <w:tcPr>
            <w:tcW w:w="205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One batch in full</w:t>
            </w:r>
          </w:p>
        </w:tc>
        <w:tc>
          <w:tcPr>
            <w:tcW w:w="324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Curves (extract, alcohol, temperature, sound velocity) with plan and recipe envelope; events (fill, rests, dry hop, transfer); lab points; tech-card stage; forecast band; actions log</w:t>
            </w:r>
          </w:p>
        </w:tc>
        <w:tc>
          <w:tcPr>
            <w:tcW w:w="117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A1, A2, A10</w:t>
            </w:r>
          </w:p>
        </w:tc>
      </w:tr>
      <w:tr>
        <w:trPr/>
        <w:tc>
          <w:tcPr>
            <w:tcW w:w="8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S03</w:t>
            </w:r>
          </w:p>
        </w:tc>
        <w:tc>
          <w:tcPr>
            <w:tcW w:w="168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Alerts and tasks</w:t>
            </w:r>
          </w:p>
        </w:tc>
        <w:tc>
          <w:tcPr>
            <w:tcW w:w="205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What needs attention</w:t>
            </w:r>
          </w:p>
        </w:tc>
        <w:tc>
          <w:tcPr>
            <w:tcW w:w="324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Alerts with severity, evidence and suggested checks; production tasks with assignee and due date; acknowledge and close</w:t>
            </w:r>
          </w:p>
        </w:tc>
        <w:tc>
          <w:tcPr>
            <w:tcW w:w="117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A1, A3, A4, A7</w:t>
            </w:r>
          </w:p>
        </w:tc>
      </w:tr>
      <w:tr>
        <w:trPr/>
        <w:tc>
          <w:tcPr>
            <w:tcW w:w="87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S04</w:t>
            </w:r>
          </w:p>
        </w:tc>
        <w:tc>
          <w:tcPr>
            <w:tcW w:w="168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CIP log and schedule</w:t>
            </w:r>
          </w:p>
        </w:tc>
        <w:tc>
          <w:tcPr>
            <w:tcW w:w="205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Cleaning history and plan</w:t>
            </w:r>
          </w:p>
        </w:tc>
        <w:tc>
          <w:tcPr>
            <w:tcW w:w="324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Detected CIP events per vessel; detergent confirmation by QR or archive; schedule with overdue marks</w:t>
            </w:r>
          </w:p>
        </w:tc>
        <w:tc>
          <w:tcPr>
            <w:tcW w:w="117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A3</w:t>
            </w:r>
          </w:p>
        </w:tc>
      </w:tr>
      <w:tr>
        <w:trPr/>
        <w:tc>
          <w:tcPr>
            <w:tcW w:w="8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S05</w:t>
            </w:r>
          </w:p>
        </w:tc>
        <w:tc>
          <w:tcPr>
            <w:tcW w:w="168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Lab overview</w:t>
            </w:r>
          </w:p>
        </w:tc>
        <w:tc>
          <w:tcPr>
            <w:tcW w:w="205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Lab work in one place</w:t>
            </w:r>
          </w:p>
        </w:tc>
        <w:tc>
          <w:tcPr>
            <w:tcW w:w="324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Pending samples; latest results; out-of-spec list</w:t>
            </w:r>
          </w:p>
        </w:tc>
        <w:tc>
          <w:tcPr>
            <w:tcW w:w="117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A6</w:t>
            </w:r>
          </w:p>
        </w:tc>
      </w:tr>
      <w:tr>
        <w:trPr/>
        <w:tc>
          <w:tcPr>
            <w:tcW w:w="87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S06</w:t>
            </w:r>
          </w:p>
        </w:tc>
        <w:tc>
          <w:tcPr>
            <w:tcW w:w="168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Yeast management</w:t>
            </w:r>
          </w:p>
        </w:tc>
        <w:tc>
          <w:tcPr>
            <w:tcW w:w="205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Strains and generations</w:t>
            </w:r>
          </w:p>
        </w:tc>
        <w:tc>
          <w:tcPr>
            <w:tcW w:w="324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Strain cards; viability and cell-count chart by generation; repitch status</w:t>
            </w:r>
          </w:p>
        </w:tc>
        <w:tc>
          <w:tcPr>
            <w:tcW w:w="117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A5</w:t>
            </w:r>
          </w:p>
        </w:tc>
      </w:tr>
      <w:tr>
        <w:trPr/>
        <w:tc>
          <w:tcPr>
            <w:tcW w:w="8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S07</w:t>
            </w:r>
          </w:p>
        </w:tc>
        <w:tc>
          <w:tcPr>
            <w:tcW w:w="168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Microbiology</w:t>
            </w:r>
          </w:p>
        </w:tc>
        <w:tc>
          <w:tcPr>
            <w:tcW w:w="205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Plating and PCR</w:t>
            </w:r>
          </w:p>
        </w:tc>
        <w:tc>
          <w:tcPr>
            <w:tcW w:w="324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Test log per batch; results; links to batches</w:t>
            </w:r>
          </w:p>
        </w:tc>
        <w:tc>
          <w:tcPr>
            <w:tcW w:w="117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A6</w:t>
            </w:r>
          </w:p>
        </w:tc>
      </w:tr>
      <w:tr>
        <w:trPr/>
        <w:tc>
          <w:tcPr>
            <w:tcW w:w="87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S08</w:t>
            </w:r>
          </w:p>
        </w:tc>
        <w:tc>
          <w:tcPr>
            <w:tcW w:w="168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Tasting panel</w:t>
            </w:r>
          </w:p>
        </w:tc>
        <w:tc>
          <w:tcPr>
            <w:tcW w:w="205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Blind sensory evaluation</w:t>
            </w:r>
          </w:p>
        </w:tc>
        <w:tc>
          <w:tcPr>
            <w:tcW w:w="324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Panel setup; scores per taster and attribute; off-flavour ticks; aggregate</w:t>
            </w:r>
          </w:p>
        </w:tc>
        <w:tc>
          <w:tcPr>
            <w:tcW w:w="117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A6</w:t>
            </w:r>
          </w:p>
        </w:tc>
      </w:tr>
      <w:tr>
        <w:trPr/>
        <w:tc>
          <w:tcPr>
            <w:tcW w:w="8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S09</w:t>
            </w:r>
          </w:p>
        </w:tc>
        <w:tc>
          <w:tcPr>
            <w:tcW w:w="168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Packaging release</w:t>
            </w:r>
          </w:p>
        </w:tc>
        <w:tc>
          <w:tcPr>
            <w:tcW w:w="205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Decide whether a batch can be packaged</w:t>
            </w:r>
          </w:p>
        </w:tc>
        <w:tc>
          <w:tcPr>
            <w:tcW w:w="324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Checklist from specifications; lab, micro and sensory status; release or block with reason; quality document preview</w:t>
            </w:r>
          </w:p>
        </w:tc>
        <w:tc>
          <w:tcPr>
            <w:tcW w:w="117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A6, A8</w:t>
            </w:r>
          </w:p>
        </w:tc>
      </w:tr>
      <w:tr>
        <w:trPr/>
        <w:tc>
          <w:tcPr>
            <w:tcW w:w="87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S10</w:t>
            </w:r>
          </w:p>
        </w:tc>
        <w:tc>
          <w:tcPr>
            <w:tcW w:w="168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Tech cards and recipes</w:t>
            </w:r>
          </w:p>
        </w:tc>
        <w:tc>
          <w:tcPr>
            <w:tcW w:w="205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Define how a beer is made</w:t>
            </w:r>
          </w:p>
        </w:tc>
        <w:tc>
          <w:tcPr>
            <w:tcW w:w="324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Raw-material norms; stages with temperature profile; specifications; limit profile</w:t>
            </w:r>
          </w:p>
        </w:tc>
        <w:tc>
          <w:tcPr>
            <w:tcW w:w="117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A2</w:t>
            </w:r>
          </w:p>
        </w:tc>
      </w:tr>
      <w:tr>
        <w:trPr/>
        <w:tc>
          <w:tcPr>
            <w:tcW w:w="8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S11</w:t>
            </w:r>
          </w:p>
        </w:tc>
        <w:tc>
          <w:tcPr>
            <w:tcW w:w="168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Batch and raw-material entry</w:t>
            </w:r>
          </w:p>
        </w:tc>
        <w:tc>
          <w:tcPr>
            <w:tcW w:w="205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Record a batch</w:t>
            </w:r>
          </w:p>
        </w:tc>
        <w:tc>
          <w:tcPr>
            <w:tcW w:w="324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Form with archive picks and QR scan; error checks (empty fields, units, ranges, duplicates)</w:t>
            </w:r>
          </w:p>
        </w:tc>
        <w:tc>
          <w:tcPr>
            <w:tcW w:w="117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—</w:t>
            </w:r>
          </w:p>
        </w:tc>
      </w:tr>
      <w:tr>
        <w:trPr/>
        <w:tc>
          <w:tcPr>
            <w:tcW w:w="87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S12</w:t>
            </w:r>
          </w:p>
        </w:tc>
        <w:tc>
          <w:tcPr>
            <w:tcW w:w="168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Connections</w:t>
            </w:r>
          </w:p>
        </w:tc>
        <w:tc>
          <w:tcPr>
            <w:tcW w:w="205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Equipment connectivity</w:t>
            </w:r>
          </w:p>
        </w:tc>
        <w:tc>
          <w:tcPr>
            <w:tcW w:w="324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Gateway status; protocol feeds (OPC UA, Modbus TCP, Profinet, Netilion, E+H); tag mapping wizard; buffer and backfill status</w:t>
            </w:r>
          </w:p>
        </w:tc>
        <w:tc>
          <w:tcPr>
            <w:tcW w:w="117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A7</w:t>
            </w:r>
          </w:p>
        </w:tc>
      </w:tr>
      <w:tr>
        <w:trPr/>
        <w:tc>
          <w:tcPr>
            <w:tcW w:w="8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S13</w:t>
            </w:r>
          </w:p>
        </w:tc>
        <w:tc>
          <w:tcPr>
            <w:tcW w:w="168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Sensor accuracy</w:t>
            </w:r>
          </w:p>
        </w:tc>
        <w:tc>
          <w:tcPr>
            <w:tcW w:w="205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Offset and accuracy checks</w:t>
            </w:r>
          </w:p>
        </w:tc>
        <w:tc>
          <w:tcPr>
            <w:tcW w:w="324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Per-device Offset log with reference-wort form; accuracy checks (air, distilled water) with due dates; trust score history</w:t>
            </w:r>
          </w:p>
        </w:tc>
        <w:tc>
          <w:tcPr>
            <w:tcW w:w="117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A4</w:t>
            </w:r>
          </w:p>
        </w:tc>
      </w:tr>
      <w:tr>
        <w:trPr/>
        <w:tc>
          <w:tcPr>
            <w:tcW w:w="87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S14</w:t>
            </w:r>
          </w:p>
        </w:tc>
        <w:tc>
          <w:tcPr>
            <w:tcW w:w="168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Reports and excise</w:t>
            </w:r>
          </w:p>
        </w:tc>
        <w:tc>
          <w:tcPr>
            <w:tcW w:w="205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Outputs</w:t>
            </w:r>
          </w:p>
        </w:tc>
        <w:tc>
          <w:tcPr>
            <w:tcW w:w="324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Batch and monthly quality reports; quality documents; excise declaration draft and export</w:t>
            </w:r>
          </w:p>
        </w:tc>
        <w:tc>
          <w:tcPr>
            <w:tcW w:w="117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A8, A9</w:t>
            </w:r>
          </w:p>
        </w:tc>
      </w:tr>
      <w:tr>
        <w:trPr/>
        <w:tc>
          <w:tcPr>
            <w:tcW w:w="8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S15</w:t>
            </w:r>
          </w:p>
        </w:tc>
        <w:tc>
          <w:tcPr>
            <w:tcW w:w="168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Assistant</w:t>
            </w:r>
          </w:p>
        </w:tc>
        <w:tc>
          <w:tcPr>
            <w:tcW w:w="205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Questions in plain language</w:t>
            </w:r>
          </w:p>
        </w:tc>
        <w:tc>
          <w:tcPr>
            <w:tcW w:w="324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Chat with cited records; suggested questions</w:t>
            </w:r>
          </w:p>
        </w:tc>
        <w:tc>
          <w:tcPr>
            <w:tcW w:w="117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A1, A5</w:t>
            </w:r>
          </w:p>
        </w:tc>
      </w:tr>
    </w:tbl>
    <w:bookmarkEnd w:id="23"/>
    <w:bookmarkStart w:id="24" w:name="entities-for-the-prototype"/>
    <w:p>
      <w:pPr>
        <w:pStyle w:val="Heading2"/>
      </w:pPr>
      <w:r>
        <w:t xml:space="preserve">Entities for the prototype</w:t>
      </w:r>
    </w:p>
    <w:p>
      <w:pPr>
        <w:pStyle w:val="FirstParagraph"/>
      </w:pPr>
      <w:r>
        <w:t xml:space="preserve">The prototype stores data as JSON collections with these entities. Field lists are minimal; the architecture tab holds the full model.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2159"/>
        <w:gridCol w:w="6867"/>
      </w:tblGrid>
      <w:tr>
        <w:trPr>
          <w:tblHeader w:val="true"/>
          <w:tblHeader/>
        </w:trPr>
        <w:tc>
          <w:tcPr>
            <w:tcW w:w="215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Entity</w:t>
            </w:r>
          </w:p>
        </w:tc>
        <w:tc>
          <w:tcPr>
            <w:tcW w:w="6867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Key fields</w:t>
            </w:r>
          </w:p>
        </w:tc>
      </w:tr>
      <w:tr>
        <w:trPr/>
        <w:tc>
          <w:tcPr>
            <w:tcW w:w="21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Vessel</w:t>
            </w:r>
          </w:p>
        </w:tc>
        <w:tc>
          <w:tcPr>
            <w:tcW w:w="68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name, type, volume_hl</w:t>
            </w:r>
          </w:p>
        </w:tc>
      </w:tr>
      <w:tr>
        <w:trPr/>
        <w:tc>
          <w:tcPr>
            <w:tcW w:w="215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Device</w:t>
            </w:r>
          </w:p>
        </w:tc>
        <w:tc>
          <w:tcPr>
            <w:tcW w:w="68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vendor, model, serial, protocol (netilion, eh_system, opcua, modbus, profinet), vessel_id, trust</w:t>
            </w:r>
          </w:p>
        </w:tc>
      </w:tr>
      <w:tr>
        <w:trPr/>
        <w:tc>
          <w:tcPr>
            <w:tcW w:w="21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Tag</w:t>
            </w:r>
          </w:p>
        </w:tc>
        <w:tc>
          <w:tcPr>
            <w:tcW w:w="68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device_id, parameter, unit, address</w:t>
            </w:r>
          </w:p>
        </w:tc>
      </w:tr>
      <w:tr>
        <w:trPr/>
        <w:tc>
          <w:tcPr>
            <w:tcW w:w="215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Reading</w:t>
            </w:r>
          </w:p>
        </w:tc>
        <w:tc>
          <w:tcPr>
            <w:tcW w:w="68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ts, tag_id, value, quality, batch_id, stage</w:t>
            </w:r>
          </w:p>
        </w:tc>
      </w:tr>
      <w:tr>
        <w:trPr/>
        <w:tc>
          <w:tcPr>
            <w:tcW w:w="21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TechCard</w:t>
            </w:r>
          </w:p>
        </w:tc>
        <w:tc>
          <w:tcPr>
            <w:tcW w:w="68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recipe, version, raw_material_norms[], stages[{name, temp_c, duration_h, tolerance_c}], specs[], limit_profile</w:t>
            </w:r>
          </w:p>
        </w:tc>
      </w:tr>
      <w:tr>
        <w:trPr/>
        <w:tc>
          <w:tcPr>
            <w:tcW w:w="215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Batch</w:t>
            </w:r>
          </w:p>
        </w:tc>
        <w:tc>
          <w:tcPr>
            <w:tcW w:w="68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number, tech_card_id, vessel_id, status, opened_at (detected), closed_at</w:t>
            </w:r>
          </w:p>
        </w:tc>
      </w:tr>
      <w:tr>
        <w:trPr/>
        <w:tc>
          <w:tcPr>
            <w:tcW w:w="21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RawMaterialLot</w:t>
            </w:r>
          </w:p>
        </w:tc>
        <w:tc>
          <w:tcPr>
            <w:tcW w:w="68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material, supplier, supplier_lot, quantity, unit, batch_id</w:t>
            </w:r>
          </w:p>
        </w:tc>
      </w:tr>
      <w:tr>
        <w:trPr/>
        <w:tc>
          <w:tcPr>
            <w:tcW w:w="215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CipRecord</w:t>
            </w:r>
          </w:p>
        </w:tc>
        <w:tc>
          <w:tcPr>
            <w:tcW w:w="68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vessel_id, start, end, media_detected[], detergent, operator, status</w:t>
            </w:r>
          </w:p>
        </w:tc>
      </w:tr>
      <w:tr>
        <w:trPr/>
        <w:tc>
          <w:tcPr>
            <w:tcW w:w="21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OffsetRecord</w:t>
            </w:r>
          </w:p>
        </w:tc>
        <w:tc>
          <w:tcPr>
            <w:tcW w:w="68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device_id, date, wort_composition, lab_values, correction</w:t>
            </w:r>
          </w:p>
        </w:tc>
      </w:tr>
      <w:tr>
        <w:trPr/>
        <w:tc>
          <w:tcPr>
            <w:tcW w:w="215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AccuracyCheck</w:t>
            </w:r>
          </w:p>
        </w:tc>
        <w:tc>
          <w:tcPr>
            <w:tcW w:w="68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device_id, medium (air, water), result, tolerance, due_next</w:t>
            </w:r>
          </w:p>
        </w:tc>
      </w:tr>
      <w:tr>
        <w:trPr/>
        <w:tc>
          <w:tcPr>
            <w:tcW w:w="21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YeastGeneration</w:t>
            </w:r>
          </w:p>
        </w:tc>
        <w:tc>
          <w:tcPr>
            <w:tcW w:w="68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strain, generation, cell_count, viability_pct, source_batch_id</w:t>
            </w:r>
          </w:p>
        </w:tc>
      </w:tr>
      <w:tr>
        <w:trPr/>
        <w:tc>
          <w:tcPr>
            <w:tcW w:w="215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LabResult</w:t>
            </w:r>
          </w:p>
        </w:tc>
        <w:tc>
          <w:tcPr>
            <w:tcW w:w="68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batch_id, parameter, value, unit, method, spec_min, spec_max</w:t>
            </w:r>
          </w:p>
        </w:tc>
      </w:tr>
      <w:tr>
        <w:trPr/>
        <w:tc>
          <w:tcPr>
            <w:tcW w:w="21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MicroTest</w:t>
            </w:r>
          </w:p>
        </w:tc>
        <w:tc>
          <w:tcPr>
            <w:tcW w:w="68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batch_id, type (plating, pcr), organism, result</w:t>
            </w:r>
          </w:p>
        </w:tc>
      </w:tr>
      <w:tr>
        <w:trPr/>
        <w:tc>
          <w:tcPr>
            <w:tcW w:w="215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TastingPanel</w:t>
            </w:r>
          </w:p>
        </w:tc>
        <w:tc>
          <w:tcPr>
            <w:tcW w:w="68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batch_id, scores[{taster, attribute, score}], off_flavours[]</w:t>
            </w:r>
          </w:p>
        </w:tc>
      </w:tr>
      <w:tr>
        <w:trPr/>
        <w:tc>
          <w:tcPr>
            <w:tcW w:w="21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ProductionTask</w:t>
            </w:r>
          </w:p>
        </w:tc>
        <w:tc>
          <w:tcPr>
            <w:tcW w:w="68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type, target, assignee, due, status</w:t>
            </w:r>
          </w:p>
        </w:tc>
      </w:tr>
      <w:tr>
        <w:trPr/>
        <w:tc>
          <w:tcPr>
            <w:tcW w:w="215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PackagingRelease</w:t>
            </w:r>
          </w:p>
        </w:tc>
        <w:tc>
          <w:tcPr>
            <w:tcW w:w="68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batch_id, checks[], decision, signer, ts</w:t>
            </w:r>
          </w:p>
        </w:tc>
      </w:tr>
      <w:tr>
        <w:trPr/>
        <w:tc>
          <w:tcPr>
            <w:tcW w:w="21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ExciseDeclaration</w:t>
            </w:r>
          </w:p>
        </w:tc>
        <w:tc>
          <w:tcPr>
            <w:tcW w:w="68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period, lines[{batch_id, volume_hl, plato, rate, amount}], status</w:t>
            </w:r>
          </w:p>
        </w:tc>
      </w:tr>
      <w:tr>
        <w:trPr/>
        <w:tc>
          <w:tcPr>
            <w:tcW w:w="215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Alert</w:t>
            </w:r>
          </w:p>
        </w:tc>
        <w:tc>
          <w:tcPr>
            <w:tcW w:w="68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id, rule, severity, target, evidence[], state</w:t>
            </w:r>
          </w:p>
        </w:tc>
      </w:tr>
      <w:tr>
        <w:trPr/>
        <w:tc>
          <w:tcPr>
            <w:tcW w:w="215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Forecast</w:t>
            </w:r>
          </w:p>
        </w:tc>
        <w:tc>
          <w:tcPr>
            <w:tcW w:w="68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batch_id, end_ts, band_low, band_high, model</w:t>
            </w:r>
          </w:p>
        </w:tc>
      </w:tr>
    </w:tbl>
    <w:bookmarkEnd w:id="24"/>
    <w:bookmarkStart w:id="25" w:name="rules-and-formulas"/>
    <w:p>
      <w:pPr>
        <w:pStyle w:val="Heading2"/>
      </w:pPr>
      <w:r>
        <w:t xml:space="preserve">Rules and formulas</w:t>
      </w:r>
    </w:p>
    <w:p>
      <w:pPr>
        <w:pStyle w:val="FirstParagraph"/>
      </w:pPr>
      <w:r>
        <w:t xml:space="preserve">All thresholds are placeholders for the demo.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3175"/>
        <w:gridCol w:w="5851"/>
      </w:tblGrid>
      <w:tr>
        <w:trPr>
          <w:tblHeader w:val="true"/>
          <w:tblHeader/>
        </w:trPr>
        <w:tc>
          <w:tcPr>
            <w:tcW w:w="3175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Rule</w:t>
            </w:r>
          </w:p>
        </w:tc>
        <w:tc>
          <w:tcPr>
            <w:tcW w:w="5851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Logic</w:t>
            </w:r>
          </w:p>
        </w:tc>
      </w:tr>
      <w:tr>
        <w:trPr/>
        <w:tc>
          <w:tcPr>
            <w:tcW w:w="317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Degree of fermentation</w:t>
            </w:r>
          </w:p>
        </w:tc>
        <w:tc>
          <w:tcPr>
            <w:tcW w:w="585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(original extract − residual extract) / original extract</w:t>
            </w:r>
          </w:p>
        </w:tc>
      </w:tr>
      <w:tr>
        <w:trPr/>
        <w:tc>
          <w:tcPr>
            <w:tcW w:w="317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Alcohol</w:t>
            </w:r>
          </w:p>
        </w:tc>
        <w:tc>
          <w:tcPr>
            <w:tcW w:w="585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Device value from the QWX43 feed; no recalculation in the prototype</w:t>
            </w:r>
          </w:p>
        </w:tc>
      </w:tr>
      <w:tr>
        <w:trPr/>
        <w:tc>
          <w:tcPr>
            <w:tcW w:w="317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End of main fermentation</w:t>
            </w:r>
          </w:p>
        </w:tc>
        <w:tc>
          <w:tcPr>
            <w:tcW w:w="585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Density change below 0.1 °P per 24 h for at least 24 h</w:t>
            </w:r>
          </w:p>
        </w:tc>
      </w:tr>
      <w:tr>
        <w:trPr/>
        <w:tc>
          <w:tcPr>
            <w:tcW w:w="317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Slow fermentation (A1)</w:t>
            </w:r>
          </w:p>
        </w:tc>
        <w:tc>
          <w:tcPr>
            <w:tcW w:w="585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Extract decline below 40% of the recipe envelope for 24 h → warning; 48 h → critical</w:t>
            </w:r>
          </w:p>
        </w:tc>
      </w:tr>
      <w:tr>
        <w:trPr/>
        <w:tc>
          <w:tcPr>
            <w:tcW w:w="317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Temperature rest versus fault (A2)</w:t>
            </w:r>
          </w:p>
        </w:tc>
        <w:tc>
          <w:tcPr>
            <w:tcW w:w="585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Compare temperature with the tech-card stage profile ± tolerance; inside the plan → no alert</w:t>
            </w:r>
          </w:p>
        </w:tc>
      </w:tr>
      <w:tr>
        <w:trPr/>
        <w:tc>
          <w:tcPr>
            <w:tcW w:w="317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Media change (A3)</w:t>
            </w:r>
          </w:p>
        </w:tc>
        <w:tc>
          <w:tcPr>
            <w:tcW w:w="585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Sound-velocity jump above a site threshold within 10 minutes → classify medium by configured bands → open CIP record or batch</w:t>
            </w:r>
          </w:p>
        </w:tc>
      </w:tr>
      <w:tr>
        <w:trPr/>
        <w:tc>
          <w:tcPr>
            <w:tcW w:w="317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Accuracy check due (A4)</w:t>
            </w:r>
          </w:p>
        </w:tc>
        <w:tc>
          <w:tcPr>
            <w:tcW w:w="585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Air and water check every 30 days, Offset review every 90 days (recommended defaults, configurable)</w:t>
            </w:r>
          </w:p>
        </w:tc>
      </w:tr>
      <w:tr>
        <w:trPr/>
        <w:tc>
          <w:tcPr>
            <w:tcW w:w="317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Yeast viability (A5)</w:t>
            </w:r>
          </w:p>
        </w:tc>
        <w:tc>
          <w:tcPr>
            <w:tcW w:w="585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Warning below 90%; critical below 85%; maximum generation per strain from the tech card</w:t>
            </w:r>
          </w:p>
        </w:tc>
      </w:tr>
      <w:tr>
        <w:trPr/>
        <w:tc>
          <w:tcPr>
            <w:tcW w:w="317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Release block (A6)</w:t>
            </w:r>
          </w:p>
        </w:tc>
        <w:tc>
          <w:tcPr>
            <w:tcW w:w="585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Any lab value outside specification or a positive micro test disables release and names the reason</w:t>
            </w:r>
          </w:p>
        </w:tc>
      </w:tr>
      <w:tr>
        <w:trPr/>
        <w:tc>
          <w:tcPr>
            <w:tcW w:w="317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Gateway offline (A7)</w:t>
            </w:r>
          </w:p>
        </w:tc>
        <w:tc>
          <w:tcPr>
            <w:tcW w:w="585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No data from a feed for 5 minutes → alert; on reconnect, buffered data is backfilled and the alert resolves</w:t>
            </w:r>
          </w:p>
        </w:tc>
      </w:tr>
      <w:tr>
        <w:trPr/>
        <w:tc>
          <w:tcPr>
            <w:tcW w:w="317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Limit profile (A8)</w:t>
            </w:r>
          </w:p>
        </w:tc>
        <w:tc>
          <w:tcPr>
            <w:tcW w:w="585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Non-alcoholic profile: alcohol ≤ 0.5% (placeholder); lab result required before release</w:t>
            </w:r>
          </w:p>
        </w:tc>
      </w:tr>
      <w:tr>
        <w:trPr/>
        <w:tc>
          <w:tcPr>
            <w:tcW w:w="317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Excise (A9)</w:t>
            </w:r>
          </w:p>
        </w:tc>
        <w:tc>
          <w:tcPr>
            <w:tcW w:w="585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amount = volume_hl × original extract (°P) × rate per hl·°P (placeholder rate)</w:t>
            </w:r>
          </w:p>
        </w:tc>
      </w:tr>
      <w:tr>
        <w:trPr/>
        <w:tc>
          <w:tcPr>
            <w:tcW w:w="317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Forecast (A10)</w:t>
            </w:r>
          </w:p>
        </w:tc>
        <w:tc>
          <w:tcPr>
            <w:tcW w:w="585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Logistic fit to extract over time; band widens before 50 h from pitch</w:t>
            </w:r>
          </w:p>
        </w:tc>
      </w:tr>
    </w:tbl>
    <w:bookmarkEnd w:id="25"/>
    <w:bookmarkStart w:id="26" w:name="simulated-integration"/>
    <w:p>
      <w:pPr>
        <w:pStyle w:val="Heading2"/>
      </w:pPr>
      <w:r>
        <w:t xml:space="preserve">Simulated integration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Gateway:</w:t>
      </w:r>
      <w:r>
        <w:t xml:space="preserve"> </w:t>
      </w:r>
      <w:r>
        <w:t xml:space="preserve">one simulated edge gateway with status (online, degraded, offline), buffer fill and last sync time.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Feeds:</w:t>
      </w:r>
      <w:r>
        <w:t xml:space="preserve"> </w:t>
      </w:r>
      <w:r>
        <w:t xml:space="preserve">OPC UA (fermenters), Modbus TCP (bright tanks), Profinet (brewhouse), Netilion (QWX43), E+H system (pH, oxygen, CO₂). Each shows connected tags and last value.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 mapping wizard:</w:t>
      </w:r>
      <w:r>
        <w:t xml:space="preserve"> </w:t>
      </w:r>
      <w:r>
        <w:t xml:space="preserve">pick a feed, browse tags, map to vessel and parameter, confirm units. In the prototype the browse list is synthetic.</w:t>
      </w:r>
    </w:p>
    <w:bookmarkEnd w:id="26"/>
    <w:bookmarkStart w:id="27" w:name="assistant-canned-answers"/>
    <w:p>
      <w:pPr>
        <w:pStyle w:val="Heading2"/>
      </w:pPr>
      <w:r>
        <w:t xml:space="preserve">Assistant: canned answers</w:t>
      </w:r>
    </w:p>
    <w:p>
      <w:pPr>
        <w:pStyle w:val="FirstParagraph"/>
      </w:pPr>
      <w:r>
        <w:t xml:space="preserve">Every answer cites records by ID.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Why is FV-07 slow?</w:t>
      </w:r>
      <w:r>
        <w:t xml:space="preserve">”</w:t>
      </w:r>
      <w:r>
        <w:t xml:space="preserve"> </w:t>
      </w:r>
      <w:r>
        <w:t xml:space="preserve">— slow start, low lager-strain viability (gen 6), similar past batches; suggests checking original gravity and pitch rate.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When will FV-09 be ready?</w:t>
      </w:r>
      <w:r>
        <w:t xml:space="preserve">”</w:t>
      </w:r>
      <w:r>
        <w:t xml:space="preserve"> </w:t>
      </w:r>
      <w:r>
        <w:t xml:space="preserve">— forecast with range.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Which sensors need an accuracy check?</w:t>
      </w:r>
      <w:r>
        <w:t xml:space="preserve">”</w:t>
      </w:r>
      <w:r>
        <w:t xml:space="preserve"> </w:t>
      </w:r>
      <w:r>
        <w:t xml:space="preserve">— lists FV-02 and due dates.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How is the lager strain doing?</w:t>
      </w:r>
      <w:r>
        <w:t xml:space="preserve">”</w:t>
      </w:r>
      <w:r>
        <w:t xml:space="preserve"> </w:t>
      </w:r>
      <w:r>
        <w:t xml:space="preserve">— viability trend by generation.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Why is the Pale Ale batch blocked?</w:t>
      </w:r>
      <w:r>
        <w:t xml:space="preserve">”</w:t>
      </w:r>
      <w:r>
        <w:t xml:space="preserve"> </w:t>
      </w:r>
      <w:r>
        <w:t xml:space="preserve">— VDK above specification, with the lab record.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What happened to the brewhouse data yesterday?</w:t>
      </w:r>
      <w:r>
        <w:t xml:space="preserve">”</w:t>
      </w:r>
      <w:r>
        <w:t xml:space="preserve"> </w:t>
      </w:r>
      <w:r>
        <w:t xml:space="preserve">— Profinet gateway outage and backfill.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Show last month’s excise.</w:t>
      </w:r>
      <w:r>
        <w:t xml:space="preserve">”</w:t>
      </w:r>
      <w:r>
        <w:t xml:space="preserve"> </w:t>
      </w:r>
      <w:r>
        <w:t xml:space="preserve">— the declaration draft total.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Which tanks were cleaned today?</w:t>
      </w:r>
      <w:r>
        <w:t xml:space="preserve">”</w:t>
      </w:r>
      <w:r>
        <w:t xml:space="preserve"> </w:t>
      </w:r>
      <w:r>
        <w:t xml:space="preserve">— CIP records, including the unconfirmed one.</w:t>
      </w:r>
    </w:p>
    <w:bookmarkEnd w:id="27"/>
    <w:bookmarkStart w:id="28" w:name="synthetic-data-generator"/>
    <w:p>
      <w:pPr>
        <w:pStyle w:val="Heading2"/>
      </w:pPr>
      <w:r>
        <w:t xml:space="preserve">Synthetic data generator</w:t>
      </w:r>
    </w:p>
    <w:p>
      <w:pPr>
        <w:pStyle w:val="FirstParagraph"/>
      </w:pPr>
      <w:r>
        <w:t xml:space="preserve">The existing generator is extended to produce:</w:t>
      </w:r>
    </w:p>
    <w:p>
      <w:pPr>
        <w:numPr>
          <w:ilvl w:val="0"/>
          <w:numId w:val="1005"/>
        </w:numPr>
        <w:pStyle w:val="Compact"/>
      </w:pPr>
      <w:r>
        <w:t xml:space="preserve">QWX43 series (density, viscosity, sound velocity, temperature and derived values) with realistic fermentation curves, temperature rests and media changes;</w:t>
      </w:r>
    </w:p>
    <w:p>
      <w:pPr>
        <w:numPr>
          <w:ilvl w:val="0"/>
          <w:numId w:val="1005"/>
        </w:numPr>
        <w:pStyle w:val="Compact"/>
      </w:pPr>
      <w:r>
        <w:t xml:space="preserve">PLC tag series per protocol, with one Profinet outage and backfill;</w:t>
      </w:r>
    </w:p>
    <w:p>
      <w:pPr>
        <w:numPr>
          <w:ilvl w:val="0"/>
          <w:numId w:val="1005"/>
        </w:numPr>
        <w:pStyle w:val="Compact"/>
      </w:pPr>
      <w:r>
        <w:t xml:space="preserve">E+H pH, oxygen and CO₂ series on the brewhouse and packaging line;</w:t>
      </w:r>
    </w:p>
    <w:p>
      <w:pPr>
        <w:numPr>
          <w:ilvl w:val="0"/>
          <w:numId w:val="1005"/>
        </w:numPr>
        <w:pStyle w:val="Compact"/>
      </w:pPr>
      <w:r>
        <w:t xml:space="preserve">CIP records aligned with detected media changes;</w:t>
      </w:r>
    </w:p>
    <w:p>
      <w:pPr>
        <w:numPr>
          <w:ilvl w:val="0"/>
          <w:numId w:val="1005"/>
        </w:numPr>
        <w:pStyle w:val="Compact"/>
      </w:pPr>
      <w:r>
        <w:t xml:space="preserve">Offset records and accuracy checks, one overdue;</w:t>
      </w:r>
    </w:p>
    <w:p>
      <w:pPr>
        <w:numPr>
          <w:ilvl w:val="0"/>
          <w:numId w:val="1005"/>
        </w:numPr>
        <w:pStyle w:val="Compact"/>
      </w:pPr>
      <w:r>
        <w:t xml:space="preserve">yeast generations with declining viability;</w:t>
      </w:r>
    </w:p>
    <w:p>
      <w:pPr>
        <w:numPr>
          <w:ilvl w:val="0"/>
          <w:numId w:val="1005"/>
        </w:numPr>
        <w:pStyle w:val="Compact"/>
      </w:pPr>
      <w:r>
        <w:t xml:space="preserve">lab results, micro tests and tasting panels, including one out-of-spec batch;</w:t>
      </w:r>
    </w:p>
    <w:p>
      <w:pPr>
        <w:numPr>
          <w:ilvl w:val="0"/>
          <w:numId w:val="1005"/>
        </w:numPr>
        <w:pStyle w:val="Compact"/>
      </w:pPr>
      <w:r>
        <w:t xml:space="preserve">packaging releases, quality documents and one excise declaration draft.</w:t>
      </w:r>
    </w:p>
    <w:p>
      <w:pPr>
        <w:pStyle w:val="FirstParagraph"/>
      </w:pPr>
      <w:r>
        <w:t xml:space="preserve">Output: JSON collections for the front end, plus CSV time series and a loader for PostgreSQL with a time-series extension.</w:t>
      </w:r>
    </w:p>
    <w:bookmarkEnd w:id="28"/>
    <w:bookmarkStart w:id="29" w:name="demo-script-15-minutes"/>
    <w:p>
      <w:pPr>
        <w:pStyle w:val="Heading2"/>
      </w:pPr>
      <w:r>
        <w:t xml:space="preserve">Demo script (15 minutes)</w:t>
      </w:r>
    </w:p>
    <w:p>
      <w:pPr>
        <w:numPr>
          <w:ilvl w:val="0"/>
          <w:numId w:val="1006"/>
        </w:numPr>
        <w:pStyle w:val="Compact"/>
      </w:pPr>
      <w:r>
        <w:t xml:space="preserve">Connections: show the gateway and the five feeds; map a tag in the wizard.</w:t>
      </w:r>
    </w:p>
    <w:p>
      <w:pPr>
        <w:numPr>
          <w:ilvl w:val="0"/>
          <w:numId w:val="1006"/>
        </w:numPr>
        <w:pStyle w:val="Compact"/>
      </w:pPr>
      <w:r>
        <w:t xml:space="preserve">Tank board: point to FV-07 (slow) and FV-09 (forecast).</w:t>
      </w:r>
    </w:p>
    <w:p>
      <w:pPr>
        <w:numPr>
          <w:ilvl w:val="0"/>
          <w:numId w:val="1006"/>
        </w:numPr>
        <w:pStyle w:val="Compact"/>
      </w:pPr>
      <w:r>
        <w:t xml:space="preserve">Batch view FV-07: curves, plan line, alert evidence; ask the assistant why.</w:t>
      </w:r>
    </w:p>
    <w:p>
      <w:pPr>
        <w:numPr>
          <w:ilvl w:val="0"/>
          <w:numId w:val="1006"/>
        </w:numPr>
        <w:pStyle w:val="Compact"/>
      </w:pPr>
      <w:r>
        <w:t xml:space="preserve">Batch view FV-03: the diacetyl rest that is not flagged.</w:t>
      </w:r>
    </w:p>
    <w:p>
      <w:pPr>
        <w:numPr>
          <w:ilvl w:val="0"/>
          <w:numId w:val="1006"/>
        </w:numPr>
        <w:pStyle w:val="Compact"/>
      </w:pPr>
      <w:r>
        <w:t xml:space="preserve">CIP log: the detected clean on FV-05; confirm the detergent by QR.</w:t>
      </w:r>
    </w:p>
    <w:p>
      <w:pPr>
        <w:numPr>
          <w:ilvl w:val="0"/>
          <w:numId w:val="1006"/>
        </w:numPr>
        <w:pStyle w:val="Compact"/>
      </w:pPr>
      <w:r>
        <w:t xml:space="preserve">Sensor accuracy: overdue check on FV-02; Offset log.</w:t>
      </w:r>
    </w:p>
    <w:p>
      <w:pPr>
        <w:numPr>
          <w:ilvl w:val="0"/>
          <w:numId w:val="1006"/>
        </w:numPr>
        <w:pStyle w:val="Compact"/>
      </w:pPr>
      <w:r>
        <w:t xml:space="preserve">Yeast management: viability falling over generations.</w:t>
      </w:r>
    </w:p>
    <w:p>
      <w:pPr>
        <w:numPr>
          <w:ilvl w:val="0"/>
          <w:numId w:val="1006"/>
        </w:numPr>
        <w:pStyle w:val="Compact"/>
      </w:pPr>
      <w:r>
        <w:t xml:space="preserve">Packaging release: the blocked Pale Ale and the released non-alcoholic Lager with its quality document.</w:t>
      </w:r>
    </w:p>
    <w:p>
      <w:pPr>
        <w:numPr>
          <w:ilvl w:val="0"/>
          <w:numId w:val="1006"/>
        </w:numPr>
        <w:pStyle w:val="Compact"/>
      </w:pPr>
      <w:r>
        <w:t xml:space="preserve">Reports: last month’s excise draft.</w:t>
      </w:r>
    </w:p>
    <w:p>
      <w:pPr>
        <w:numPr>
          <w:ilvl w:val="0"/>
          <w:numId w:val="1006"/>
        </w:numPr>
        <w:pStyle w:val="Compact"/>
      </w:pPr>
      <w:r>
        <w:t xml:space="preserve">Close on the</w:t>
      </w:r>
      <w:r>
        <w:t xml:space="preserve"> </w:t>
      </w:r>
      <w:r>
        <w:t xml:space="preserve">“</w:t>
      </w:r>
      <w:r>
        <w:t xml:space="preserve">coming later</w:t>
      </w:r>
      <w:r>
        <w:t xml:space="preserve">”</w:t>
      </w:r>
      <w:r>
        <w:t xml:space="preserve"> </w:t>
      </w:r>
      <w:r>
        <w:t xml:space="preserve">cards: APS planning and taste forecast.</w:t>
      </w:r>
    </w:p>
    <w:bookmarkEnd w:id="29"/>
    <w:bookmarkStart w:id="30" w:name="visual-direction"/>
    <w:p>
      <w:pPr>
        <w:pStyle w:val="Heading2"/>
      </w:pPr>
      <w:r>
        <w:t xml:space="preserve">Visual direction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Typography:</w:t>
      </w:r>
      <w:r>
        <w:t xml:space="preserve"> </w:t>
      </w:r>
      <w:r>
        <w:t xml:space="preserve">Space Grotesk for numbers and headings, IBM Plex Sans for UI text.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Colour:</w:t>
      </w:r>
      <w:r>
        <w:t xml:space="preserve"> </w:t>
      </w:r>
      <w:r>
        <w:t xml:space="preserve">neutral surfaces with one accent colour, to be taken from the DataVest logo.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 families:</w:t>
      </w:r>
      <w:r>
        <w:t xml:space="preserve"> </w:t>
      </w:r>
      <w:r>
        <w:t xml:space="preserve">device health (NE 107), alert severity and release state use separate colours and are never mixed.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Vessel tile:</w:t>
      </w:r>
      <w:r>
        <w:t xml:space="preserve"> </w:t>
      </w:r>
      <w:r>
        <w:t xml:space="preserve">fill level shows fermentation progress; one priority marker per tile.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Forecasts:</w:t>
      </w:r>
      <w:r>
        <w:t xml:space="preserve"> </w:t>
      </w:r>
      <w:r>
        <w:t xml:space="preserve">always shown with a range.</w:t>
      </w:r>
    </w:p>
    <w:bookmarkEnd w:id="30"/>
    <w:bookmarkEnd w:id="31"/>
    <w:sectPr>
      <w:headerReference w:type="default" r:id="rId9"/>
      <w:footerReference w:type="default" r:id="rId10"/>
      <w:pgSz w:w="11906" w:h="16838"/>
      <w:pgMar w:top="1417" w:bottom="1417" w:left="1440" w:right="1440" w:gutter="0" w:header="680" w:footer="68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E5E8E9"/>
      </w:pBdr>
      <w:tabs>
        <w:tab w:pos="9026" w:val="right"/>
      </w:tabs>
    </w:pPr>
    <w:r/>
    <w:r>
      <w:rPr>
        <w:rFonts w:ascii="Montserrat" w:hAnsi="Montserrat" w:cs="Montserrat" w:eastAsia="Montserrat"/>
        <w:color w:val="939598"/>
        <w:sz w:val="14"/>
      </w:rPr>
      <w:t>Naples FL · Chicago · Düsseldorf · London · Minsk · Kyiv · Kharkiv · Odesa · Lviv · Kraków</w:t>
    </w:r>
    <w:r>
      <w:tab/>
    </w:r>
    <w:r>
      <w:rPr>
        <w:rFonts w:ascii="Montserrat" w:hAnsi="Montserrat" w:cs="Montserrat" w:eastAsia="Montserrat"/>
        <w:color w:val="939598"/>
        <w:sz w:val="14"/>
      </w:rPr>
      <w:fldChar w:fldCharType="begin"/>
    </w:r>
    <w:r>
      <w:rPr>
        <w:rFonts w:ascii="Montserrat" w:hAnsi="Montserrat" w:cs="Montserrat" w:eastAsia="Montserrat"/>
        <w:color w:val="939598"/>
        <w:sz w:val="14"/>
      </w:rPr>
      <w:instrText xml:space="preserve">PAGE</w:instrText>
    </w:r>
    <w:r>
      <w:rPr>
        <w:rFonts w:ascii="Montserrat" w:hAnsi="Montserrat" w:cs="Montserrat" w:eastAsia="Montserrat"/>
        <w:color w:val="939598"/>
        <w:sz w:val="14"/>
      </w:rPr>
      <w:fldChar w:fldCharType="separate"/>
    </w:r>
    <w:r>
      <w:rPr>
        <w:rFonts w:ascii="Montserrat" w:hAnsi="Montserrat" w:cs="Montserrat" w:eastAsia="Montserrat"/>
        <w:color w:val="939598"/>
        <w:sz w:val="14"/>
      </w:rPr>
      <w:t>1</w:t>
    </w:r>
    <w:r>
      <w:rPr>
        <w:rFonts w:ascii="Montserrat" w:hAnsi="Montserrat" w:cs="Montserrat" w:eastAsia="Montserrat"/>
        <w:color w:val="939598"/>
        <w:sz w:val="1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4" w:color="F58220"/>
      </w:pBdr>
      <w:tabs>
        <w:tab w:pos="9026" w:val="right"/>
      </w:tabs>
    </w:pPr>
    <w:r/>
    <w:r>
      <w:rPr>
        <w:rFonts w:ascii="Montserrat" w:hAnsi="Montserrat" w:cs="Montserrat" w:eastAsia="Montserrat"/>
        <w:color w:val="939598"/>
        <w:sz w:val="16"/>
      </w:rPr>
      <w:t>Intetics Inc.  |  SmartLab / DataVest  |  Prototype specification</w:t>
    </w:r>
    <w:r>
      <w:tab/>
    </w:r>
    <w:r>
      <w:rPr>
        <w:rFonts w:ascii="Montserrat" w:hAnsi="Montserrat" w:cs="Montserrat" w:eastAsia="Montserrat"/>
        <w:color w:val="939598"/>
        <w:sz w:val="16"/>
      </w:rPr>
      <w:t>Internal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0" w:lineRule="atLeast" w:after="120" w:before="0"/>
    </w:pPr>
    <w:rPr>
      <w:rFonts w:ascii="Montserrat" w:hAnsi="Montserrat" w:cs="Montserrat" w:eastAsia="Montserrat"/>
      <w:color w:val="4A4A4A"/>
      <w:sz w:val="20"/>
    </w:rPr>
  </w:style>
  <w:style w:styleId="BodyText" w:type="paragraph">
    <w:name w:val="Body Text"/>
    <w:basedOn w:val="Normal"/>
    <w:link w:val="BodyTextChar"/>
    <w:pPr>
      <w:spacing w:after="120" w:before="0" w:line="280" w:lineRule="atLeast"/>
    </w:pPr>
    <w:qFormat/>
    <w:rPr>
      <w:rFonts w:ascii="Montserrat" w:hAnsi="Montserrat" w:cs="Montserrat" w:eastAsia="Montserrat"/>
      <w:color w:val="4A4A4A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line="280" w:lineRule="atLeast" w:after="120" w:before="40"/>
    </w:pPr>
    <w:rPr>
      <w:rFonts w:ascii="Montserrat" w:hAnsi="Montserrat" w:cs="Montserrat" w:eastAsia="Montserrat"/>
      <w:color w:val="4A4A4A"/>
      <w:sz w:val="20"/>
    </w:rPr>
  </w:style>
  <w:style w:customStyle="1" w:styleId="Compact" w:type="paragraph">
    <w:name w:val="Compact"/>
    <w:basedOn w:val="BodyText"/>
    <w:qFormat/>
    <w:pPr>
      <w:spacing w:after="60" w:before="0" w:line="260" w:lineRule="atLeast"/>
    </w:pPr>
    <w:rPr>
      <w:rFonts w:ascii="Montserrat" w:hAnsi="Montserrat" w:cs="Montserrat" w:eastAsia="Montserrat"/>
      <w:color w:val="4A4A4A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0"/>
      <w:outlineLvl w:val="0"/>
    </w:pPr>
    <w:rPr>
      <w:rFonts w:ascii="Montserrat" w:hAnsi="Montserrat" w:cs="Montserrat" w:eastAsia="Montserrat"/>
      <w:b/>
      <w:bCs/>
      <w:i w:val="0"/>
      <w:color w:val="F58220"/>
      <w:sz w:val="6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pBdr>
        <w:bottom w:val="single" w:sz="8" w:space="4" w:color="F58220"/>
      </w:pBdr>
      <w:spacing w:after="160" w:before="360"/>
      <w:outlineLvl w:val="1"/>
    </w:pPr>
    <w:rPr>
      <w:rFonts w:ascii="Montserrat" w:hAnsi="Montserrat" w:cs="Montserrat" w:eastAsia="Montserrat"/>
      <w:b/>
      <w:bCs/>
      <w:i w:val="0"/>
      <w:color w:val="4A4A4A"/>
      <w:sz w:val="4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Montserrat" w:hAnsi="Montserrat" w:cs="Montserrat" w:eastAsia="Montserrat"/>
      <w:b/>
      <w:bCs/>
      <w:i w:val="0"/>
      <w:color w:val="4A4A4A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60"/>
      <w:outlineLvl w:val="3"/>
    </w:pPr>
    <w:rPr>
      <w:rFonts w:ascii="Montserrat" w:hAnsi="Montserrat" w:cs="Montserrat" w:eastAsia="Montserrat"/>
      <w:i w:val="0"/>
      <w:b/>
      <w:bCs/>
      <w:color w:val="4A4A4A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val="single" w:sz="24" w:space="10" w:color="F58220"/>
      </w:pBdr>
      <w:spacing w:after="200" w:before="160" w:line="280" w:lineRule="atLeast"/>
      <w:ind w:firstLine="0" w:left="340" w:right="480"/>
    </w:pPr>
    <w:rPr>
      <w:rFonts w:ascii="Montserrat" w:hAnsi="Montserrat" w:cs="Montserrat" w:eastAsia="Montserrat"/>
      <w:i w:val="0"/>
      <w:color w:val="4A4A4A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200"/>
      <w:jc w:val="center"/>
    </w:pPr>
    <w:rPr>
      <w:rFonts w:ascii="Montserrat" w:hAnsi="Montserrat" w:cs="Montserrat" w:eastAsia="Montserrat"/>
      <w:i/>
      <w:color w:val="939598"/>
      <w:sz w:val="16"/>
    </w:rPr>
  </w:style>
  <w:style w:customStyle="1" w:styleId="Figure" w:type="paragraph">
    <w:name w:val="Figure"/>
    <w:basedOn w:val="Normal"/>
    <w:pPr>
      <w:spacing w:line="240" w:lineRule="auto" w:before="120"/>
      <w:jc w:val="center"/>
    </w:pPr>
  </w:style>
  <w:style w:customStyle="1" w:styleId="CaptionedFigure" w:type="paragraph">
    <w:name w:val="Captioned Figure"/>
    <w:basedOn w:val="Figure"/>
    <w:pPr>
      <w:keepNext/>
      <w:spacing w:line="240" w:lineRule="auto" w:before="12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color w:val="4A4A4A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D96A0E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DataVest Brew</dc:title>
  <dc:creator>Dzmitry (Intetics)</dc:creator>
  <cp:keywords/>
  <dcterms:created xsi:type="dcterms:W3CDTF">2026-10-20T21:33:38Z</dcterms:created>
  <dcterms:modified xsi:type="dcterms:W3CDTF">2026-10-20T21:33:38Z</dcterms:modified>
  <dc:subject>Clickable prototype: build specification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