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pacing w:after="160" w:line="300"/>
      </w:pPr>
      <w:r>
        <w:rPr>
          <w:i/>
          <w:iCs/>
        </w:rPr>
        <w:t xml:space="preserve">Подпись обложки: Нормальный запуск — это 20–30 часов работы. Считаю, что физически помещается в пять тысяч рублей.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Из чего складываются 20–30 часов на нормальный запуск.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нельзя развести их по группам со своими объявлениями и посадочными. Человек ищет конкретное, а видит общее.</w:t>
      </w:r>
    </w:p>
    <w:p>
      <w:pPr>
        <w:spacing w:after="160" w:line="300"/>
      </w:pPr>
      <w:r>
        <w:rPr>
          <w:b/>
          <w:bCs/>
        </w:rPr>
        <w:t xml:space="preserve">Поиск и РСЯ работают вместе.</w:t>
      </w:r>
      <w:r>
        <w:t xml:space="preserve"> Их нельзя разделить и оценить отдельно. Если реклама на сайтах-партнёрах съедает бюджет без заявок, вы этого не увидите и не сможете отключить.</w:t>
      </w:r>
    </w:p>
    <w:p>
      <w:pPr>
        <w:spacing w:after="160" w:line="300"/>
      </w:pPr>
      <w:r>
        <w:rPr>
          <w:b/>
          <w:bCs/>
        </w:rPr>
        <w:t xml:space="preserve">Нет структуры.</w:t>
      </w:r>
      <w:r>
        <w:t xml:space="preserve"> Все услуги в одной куче, одно объявление на всё.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именно вы недополучаете за 5 000 ₽: структура, разделение каналов, аналитика.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Вопросы подрядчику до оплаты. По ответам сразу видно уровень.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2026-08-15T18:39:17.460Z</dcterms:created>
  <dcterms:modified xsi:type="dcterms:W3CDTF">2026-08-15T18:39:17.460Z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