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нельзя развести их по группам со своими объявлениями и посадочными. Человек ищет конкретное, а видит общее.</w:t>
      </w:r>
    </w:p>
    <w:p>
      <w:pPr>
        <w:spacing w:after="160" w:line="300"/>
      </w:pPr>
      <w:r>
        <w:rPr>
          <w:b/>
          <w:bCs/>
        </w:rPr>
        <w:t xml:space="preserve">Поиск и РСЯ работают вместе.</w:t>
      </w:r>
      <w:r>
        <w:t xml:space="preserve"> Их нельзя разделить и оценить отдельно. Если реклама на сайтах-партнёрах съедает бюджет без заявок, вы этого не увидите и не сможете отключить.</w:t>
      </w:r>
    </w:p>
    <w:p>
      <w:pPr>
        <w:spacing w:after="160" w:line="300"/>
      </w:pPr>
      <w:r>
        <w:rPr>
          <w:b/>
          <w:bCs/>
        </w:rPr>
        <w:t xml:space="preserve">Нет структуры.</w:t>
      </w:r>
      <w:r>
        <w:t xml:space="preserve"> Все услуги в одной куче, одно объявление на всё.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примерно треть бюджета уходит на нецелевые запросы — 20 000 ₽ в месяц. Плюс неоптимизированные площадки в РСЯ — ещё сколько-то, но возьмём по минимуму.</w:t>
      </w:r>
    </w:p>
    <w:p>
      <w:pPr>
        <w:spacing w:after="160" w:line="300"/>
      </w:pPr>
      <w:r>
        <w:t xml:space="preserve">За два месяца впустую уходит около 40 000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40 000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2026-08-15T15:49:05.963Z</dcterms:created>
  <dcterms:modified xsi:type="dcterms:W3CDTF">2026-08-15T15:49:05.963Z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