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pacing w:after="160" w:line="300"/>
      </w:pPr>
      <w:r>
        <w:rPr>
          <w:i/>
          <w:iCs/>
        </w:rPr>
        <w:t xml:space="preserve">Подпись обложки: Три места, по которым за минуту видно, настраивал кампанию специалист или её собрали на автомате.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до двух третей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Пустой список минус-слов в кампании. Так выглядит слив двух третей бюджета.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Поиск и РСЯ в одной кампании: разная логика, разная цена клика, общий бюджет.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Чек-лист первой минуты: что смотреть в чужом кабинете и в каком порядке.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2026-08-15T18:59:37.047Z</dcterms:created>
  <dcterms:modified xsi:type="dcterms:W3CDTF">2026-08-15T18:59:37.057Z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