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pacing w:after="160" w:line="300"/>
      </w:pPr>
      <w:r>
        <w:rPr>
          <w:i/>
          <w:iCs/>
        </w:rPr>
        <w:t xml:space="preserve">Подпись обложки: Нормальный запуск — это 20–30 часов работы. Считаю, что физически помещается в пять тысяч рублей.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Из чего складываются 20–30 часов на нормальный запуск.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нельзя развести их по группам со своими объявлениями и посадочными. Человек ищет конкретное, а видит общее.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именно вы недополучаете за 5 000 ₽: структура, разделение каналов, аналитика.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Вопросы подрядчику до оплаты. По ответам сразу видно уровень.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2026-08-15T18:59:37.134Z</dcterms:created>
  <dcterms:modified xsi:type="dcterms:W3CDTF">2026-08-15T18:59:37.134Z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