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Utilitarian's Guide to the 2026 World Cup</w:t>
      </w:r>
    </w:p>
    <w:p>
      <w:r>
        <w:rPr>
          <w:sz w:val="24"/>
        </w:rPr>
        <w:t>In 2014 I argued in The New York Times that if you have no team in the World Cup, you should root for the one whose victory would add the most happiness to the world. That points you toward a big, soccer-loving, lower-income country, where a title means the most. Back then the answer was Nigeria. The 2026 tournament has 48 teams and reaches further into exactly those places, so I rebuilt the guide, with more nuance and, thanks to AI, at a fraction of the old cost. It updates itself as the games are played.</w:t>
      </w:r>
    </w:p>
    <w:p>
      <w:r>
        <w:rPr>
          <w:sz w:val="24"/>
        </w:rPr>
        <w:t>The new version weighs three things: how many people care, how much a windfall is worth to them (more where incomes are lower, in line with utilitarianism and a good deal of common sense), and how long the joy lasts, since a first title is remembered for years while a serial winner has forgotten by next season. By default it ranks teams not by who should win, but by who is beating expectations, which is where most of a tournament's joy actually comes from. This year's headline pick: the Democratic Republic of the Congo. The full interactive guide, including who to root for tonight, is here:</w:t>
      </w:r>
    </w:p>
    <w:p>
      <w:r>
        <w:rPr>
          <w:color w:val="0F7B6C"/>
          <w:sz w:val="24"/>
        </w:rPr>
        <w:t>https://www.deankarlan.com/worldcup/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