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/>
              <w:t>SWTID-2026-9989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/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jc w:val="center"/>
        <w:rPr/>
      </w:pPr>
      <w:r>
        <w:drawing>
          <wp:inline>
            <wp:extent cx="5120640" cy="29063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0630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jc w:val="center"/>
        <w:rPr/>
      </w:pPr>
      <w:r>
        <w:drawing>
          <wp:inline>
            <wp:extent cx="5120640" cy="33906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9069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>
        <w:drawing>
          <wp:inline>
            <wp:extent cx="4206240" cy="34175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1757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Outcome: the team selected a script-controlled ACL that reads the Classification field of each record (idea 1), with owner / viewer-role exceptions (idea 2), verified using impersonation and Security Debugger (ideas 3 and 4).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