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25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t>SWTID-2026-9989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t>Script-Controlled ACL – Restrict Record Access Based on Field Value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Empathy Map – ServiceNow Administrator (owner of the Secure Records table):</w:t>
      </w:r>
    </w:p>
    <w:p w:rsidR="00000000" w:rsidDel="00000000" w:rsidP="00000000" w:rsidRDefault="00000000" w:rsidRPr="00000000" w14:paraId="00000013">
      <w:pPr>
        <w:jc w:val="center"/>
        <w:rPr>
          <w:b w:val="1"/>
          <w:color w:val="2a2a2a"/>
          <w:sz w:val="24"/>
          <w:szCs w:val="24"/>
        </w:rPr>
      </w:pPr>
      <w:r>
        <w:drawing>
          <wp:inline>
            <wp:extent cx="5120640" cy="4428662"/>
            <wp:docPr id="7" name="Picture 7"/>
            <wp:cNvGraphicFramePr>
              <a:graphicFrameLocks noChangeAspect="1"/>
            </wp:cNvGraphicFramePr>
            <a:graphic>
              <a:graphicData uri="http://schemas.openxmlformats.org/drawingml/2006/picture">
                <pic:pic>
                  <pic:nvPicPr>
                    <pic:cNvPr id="0" name="empathy.png"/>
                    <pic:cNvPicPr/>
                  </pic:nvPicPr>
                  <pic:blipFill>
                    <a:blip r:embed="rId10"/>
                    <a:stretch>
                      <a:fillRect/>
                    </a:stretch>
                  </pic:blipFill>
                  <pic:spPr>
                    <a:xfrm>
                      <a:off x="0" y="0"/>
                      <a:ext cx="5120640" cy="4428662"/>
                    </a:xfrm>
                    <a:prstGeom prst="rect"/>
                  </pic:spPr>
                </pic:pic>
              </a:graphicData>
            </a:graphic>
          </wp:inline>
        </w:drawing>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1">
      <w:pPr>
        <w:jc w:val="both"/>
        <w:rPr>
          <w:color w:val="2a2a2a"/>
          <w:sz w:val="24"/>
          <w:szCs w:val="24"/>
        </w:rPr>
      </w:pPr>
      <w:r>
        <w:rPr>
          <w:b/>
          <w:color w:val="2a2a2a"/>
          <w:sz w:val="24"/>
          <w:szCs w:val="24"/>
          <w:rtl w:val="0"/>
        </w:rPr>
        <w:t>Insight: the administrator needs a way to protect individual records based on what is stored in them, not only on who holds a table role.</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