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25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SWTID-2026-9989</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Script-Controlled ACL – Restrict Record Access Based on Field Value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736"/>
        <w:gridCol w:w="6336"/>
      </w:tblGrid>
      <w:tr>
        <w:tc>
          <w:tcPr>
            <w:tcW w:type="dxa" w:w="2736"/>
            <w:shd w:val="clear" w:color="auto" w:fill="0B2F5B"/>
          </w:tcPr>
          <w:p>
            <w:pPr>
              <w:spacing w:after="40" w:before="40"/>
            </w:pPr>
            <w:r>
              <w:rPr>
                <w:b/>
                <w:color w:val="FFFFFF"/>
                <w:sz w:val="18"/>
              </w:rPr>
              <w:t>Canvas section</w:t>
            </w:r>
          </w:p>
        </w:tc>
        <w:tc>
          <w:tcPr>
            <w:tcW w:type="dxa" w:w="6336"/>
            <w:shd w:val="clear" w:color="auto" w:fill="0B2F5B"/>
          </w:tcPr>
          <w:p>
            <w:pPr>
              <w:spacing w:after="40" w:before="40"/>
            </w:pPr>
            <w:r>
              <w:rPr>
                <w:b/>
                <w:color w:val="FFFFFF"/>
                <w:sz w:val="18"/>
              </w:rPr>
              <w:t>Details</w:t>
            </w:r>
          </w:p>
        </w:tc>
      </w:tr>
      <w:tr>
        <w:tc>
          <w:tcPr>
            <w:tcW w:type="dxa" w:w="2736"/>
            <w:shd w:val="clear" w:color="auto" w:fill="E8F0FA"/>
          </w:tcPr>
          <w:p>
            <w:pPr>
              <w:spacing w:after="40" w:before="40"/>
            </w:pPr>
            <w:r>
              <w:rPr>
                <w:b/>
                <w:sz w:val="18"/>
              </w:rPr>
              <w:t>1. Customer Segment(s)</w:t>
            </w:r>
          </w:p>
        </w:tc>
        <w:tc>
          <w:tcPr>
            <w:tcW w:type="dxa" w:w="6336"/>
          </w:tcPr>
          <w:p>
            <w:pPr>
              <w:spacing w:after="40" w:before="40"/>
            </w:pPr>
            <w:r>
              <w:rPr>
                <w:sz w:val="18"/>
              </w:rPr>
              <w:t>ServiceNow administrators, record owners / department staff, confidential reviewers and auditors in an organisation that stores sensitive records on the platform.</w:t>
            </w:r>
          </w:p>
        </w:tc>
      </w:tr>
      <w:tr>
        <w:tc>
          <w:tcPr>
            <w:tcW w:type="dxa" w:w="2736"/>
            <w:shd w:val="clear" w:color="auto" w:fill="E8F0FA"/>
          </w:tcPr>
          <w:p>
            <w:pPr>
              <w:spacing w:after="40" w:before="40"/>
            </w:pPr>
            <w:r>
              <w:rPr>
                <w:b/>
                <w:sz w:val="18"/>
              </w:rPr>
              <w:t>2. Jobs-to-be-Done / Problems</w:t>
            </w:r>
          </w:p>
        </w:tc>
        <w:tc>
          <w:tcPr>
            <w:tcW w:type="dxa" w:w="6336"/>
          </w:tcPr>
          <w:p>
            <w:pPr>
              <w:spacing w:after="40" w:before="40"/>
            </w:pPr>
            <w:r>
              <w:rPr>
                <w:sz w:val="18"/>
              </w:rPr>
              <w:t>Keep Confidential records visible only to the right people; stop sensitive rows leaking through lists, forms, reports and REST.</w:t>
            </w:r>
          </w:p>
        </w:tc>
      </w:tr>
      <w:tr>
        <w:tc>
          <w:tcPr>
            <w:tcW w:type="dxa" w:w="2736"/>
            <w:shd w:val="clear" w:color="auto" w:fill="E8F0FA"/>
          </w:tcPr>
          <w:p>
            <w:pPr>
              <w:spacing w:after="40" w:before="40"/>
            </w:pPr>
            <w:r>
              <w:rPr>
                <w:b/>
                <w:sz w:val="18"/>
              </w:rPr>
              <w:t>3. Triggers</w:t>
            </w:r>
          </w:p>
        </w:tc>
        <w:tc>
          <w:tcPr>
            <w:tcW w:type="dxa" w:w="6336"/>
          </w:tcPr>
          <w:p>
            <w:pPr>
              <w:spacing w:after="40" w:before="40"/>
            </w:pPr>
            <w:r>
              <w:rPr>
                <w:sz w:val="18"/>
              </w:rPr>
              <w:t>A sensitive record is found visible to users who should not see it; an audit or compliance review is approaching.</w:t>
            </w:r>
          </w:p>
        </w:tc>
      </w:tr>
      <w:tr>
        <w:tc>
          <w:tcPr>
            <w:tcW w:type="dxa" w:w="2736"/>
            <w:shd w:val="clear" w:color="auto" w:fill="E8F0FA"/>
          </w:tcPr>
          <w:p>
            <w:pPr>
              <w:spacing w:after="40" w:before="40"/>
            </w:pPr>
            <w:r>
              <w:rPr>
                <w:b/>
                <w:sz w:val="18"/>
              </w:rPr>
              <w:t>4. Emotions (Before → After)</w:t>
            </w:r>
          </w:p>
        </w:tc>
        <w:tc>
          <w:tcPr>
            <w:tcW w:type="dxa" w:w="6336"/>
          </w:tcPr>
          <w:p>
            <w:pPr>
              <w:spacing w:after="40" w:before="40"/>
            </w:pPr>
            <w:r>
              <w:rPr>
                <w:sz w:val="18"/>
              </w:rPr>
              <w:t>Before: anxious, exposed, distrustful.   After: confident, in control, able to sign off.</w:t>
            </w:r>
          </w:p>
        </w:tc>
      </w:tr>
      <w:tr>
        <w:tc>
          <w:tcPr>
            <w:tcW w:type="dxa" w:w="2736"/>
            <w:shd w:val="clear" w:color="auto" w:fill="E8F0FA"/>
          </w:tcPr>
          <w:p>
            <w:pPr>
              <w:spacing w:after="40" w:before="40"/>
            </w:pPr>
            <w:r>
              <w:rPr>
                <w:b/>
                <w:sz w:val="18"/>
              </w:rPr>
              <w:t>5. Available Solutions</w:t>
            </w:r>
          </w:p>
        </w:tc>
        <w:tc>
          <w:tcPr>
            <w:tcW w:type="dxa" w:w="6336"/>
          </w:tcPr>
          <w:p>
            <w:pPr>
              <w:spacing w:after="40" w:before="40"/>
            </w:pPr>
            <w:r>
              <w:rPr>
                <w:sz w:val="18"/>
              </w:rPr>
              <w:t>Role-only ACLs (too broad), separate tables per sensitivity (heavy), domain separation (complex).</w:t>
            </w:r>
          </w:p>
        </w:tc>
      </w:tr>
      <w:tr>
        <w:tc>
          <w:tcPr>
            <w:tcW w:type="dxa" w:w="2736"/>
            <w:shd w:val="clear" w:color="auto" w:fill="E8F0FA"/>
          </w:tcPr>
          <w:p>
            <w:pPr>
              <w:spacing w:after="40" w:before="40"/>
            </w:pPr>
            <w:r>
              <w:rPr>
                <w:b/>
                <w:sz w:val="18"/>
              </w:rPr>
              <w:t>6. Customer Constraints</w:t>
            </w:r>
          </w:p>
        </w:tc>
        <w:tc>
          <w:tcPr>
            <w:tcW w:type="dxa" w:w="6336"/>
          </w:tcPr>
          <w:p>
            <w:pPr>
              <w:spacing w:after="40" w:before="40"/>
            </w:pPr>
            <w:r>
              <w:rPr>
                <w:sz w:val="18"/>
              </w:rPr>
              <w:t>Limited admin time; need a low-code solution inside the platform; no extra licences or external tools.</w:t>
            </w:r>
          </w:p>
        </w:tc>
      </w:tr>
      <w:tr>
        <w:tc>
          <w:tcPr>
            <w:tcW w:type="dxa" w:w="2736"/>
            <w:shd w:val="clear" w:color="auto" w:fill="E8F0FA"/>
          </w:tcPr>
          <w:p>
            <w:pPr>
              <w:spacing w:after="40" w:before="40"/>
            </w:pPr>
            <w:r>
              <w:rPr>
                <w:b/>
                <w:sz w:val="18"/>
              </w:rPr>
              <w:t>7. Behaviour</w:t>
            </w:r>
          </w:p>
        </w:tc>
        <w:tc>
          <w:tcPr>
            <w:tcW w:type="dxa" w:w="6336"/>
          </w:tcPr>
          <w:p>
            <w:pPr>
              <w:spacing w:after="40" w:before="40"/>
            </w:pPr>
            <w:r>
              <w:rPr>
                <w:sz w:val="18"/>
              </w:rPr>
              <w:t>Administrators already manage roles and ACLs; users work through lists and forms; testers use Impersonate User.</w:t>
            </w:r>
          </w:p>
        </w:tc>
      </w:tr>
      <w:tr>
        <w:tc>
          <w:tcPr>
            <w:tcW w:type="dxa" w:w="2736"/>
            <w:shd w:val="clear" w:color="auto" w:fill="E8F0FA"/>
          </w:tcPr>
          <w:p>
            <w:pPr>
              <w:spacing w:after="40" w:before="40"/>
            </w:pPr>
            <w:r>
              <w:rPr>
                <w:b/>
                <w:sz w:val="18"/>
              </w:rPr>
              <w:t>8. Channels of Behaviour</w:t>
            </w:r>
          </w:p>
        </w:tc>
        <w:tc>
          <w:tcPr>
            <w:tcW w:type="dxa" w:w="6336"/>
          </w:tcPr>
          <w:p>
            <w:pPr>
              <w:spacing w:after="40" w:before="40"/>
            </w:pPr>
            <w:r>
              <w:rPr>
                <w:sz w:val="18"/>
              </w:rPr>
              <w:t>Online: ServiceNow list view, form, reports, REST API.   Offline: access reviews, audit meetings.</w:t>
            </w:r>
          </w:p>
        </w:tc>
      </w:tr>
      <w:tr>
        <w:tc>
          <w:tcPr>
            <w:tcW w:type="dxa" w:w="2736"/>
            <w:shd w:val="clear" w:color="auto" w:fill="E8F0FA"/>
          </w:tcPr>
          <w:p>
            <w:pPr>
              <w:spacing w:after="40" w:before="40"/>
            </w:pPr>
            <w:r>
              <w:rPr>
                <w:b/>
                <w:sz w:val="18"/>
              </w:rPr>
              <w:t>9. Root Cause of the Problem</w:t>
            </w:r>
          </w:p>
        </w:tc>
        <w:tc>
          <w:tcPr>
            <w:tcW w:type="dxa" w:w="6336"/>
          </w:tcPr>
          <w:p>
            <w:pPr>
              <w:spacing w:after="40" w:before="40"/>
            </w:pPr>
            <w:r>
              <w:rPr>
                <w:sz w:val="18"/>
              </w:rPr>
              <w:t>Role ACLs check who the user is, not what the record contains.</w:t>
            </w:r>
          </w:p>
        </w:tc>
      </w:tr>
      <w:tr>
        <w:tc>
          <w:tcPr>
            <w:tcW w:type="dxa" w:w="2736"/>
            <w:shd w:val="clear" w:color="auto" w:fill="E8F0FA"/>
          </w:tcPr>
          <w:p>
            <w:pPr>
              <w:spacing w:after="40" w:before="40"/>
            </w:pPr>
            <w:r>
              <w:rPr>
                <w:b/>
                <w:sz w:val="18"/>
              </w:rPr>
              <w:t>10. Our Solution</w:t>
            </w:r>
          </w:p>
        </w:tc>
        <w:tc>
          <w:tcPr>
            <w:tcW w:type="dxa" w:w="6336"/>
          </w:tcPr>
          <w:p>
            <w:pPr>
              <w:spacing w:after="40" w:before="40"/>
            </w:pPr>
            <w:r>
              <w:rPr>
                <w:sz w:val="18"/>
              </w:rPr>
              <w:t>A script-controlled ACL that reads the record's Classification and allows Confidential records only for the viewer role, admin or the record owner.</w:t>
            </w:r>
          </w:p>
        </w:tc>
      </w:tr>
    </w:tbl>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