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>
              <w:t>25 September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>SWTID-2026-9989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>Script-Controlled ACL – Restrict Record Access Based on Field Value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>
            <w:r>
              <w:t>Role-based ACLs give every user with a table role access to every record, so Confidential records cannot be protected individually. Access must depend on the value of a field on each record.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>
            <w:r>
              <w:t>Create a custom table (Secure Records) with a Classification field (Public / Internal / Confidential) and an Owner field. Add script-controlled read, write and delete ACLs whose script checks the Classification: Confidential records open only for the u_confidential_viewer role, admin or the record owner. Verify with Impersonate User and Security Debugger.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>
            <w:r>
              <w:t>Record-level security driven by a field value, using only native platform features – no extra tables, plug-ins or licences. One short script works on every access path (list, form, report, REST).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>
            <w:r>
              <w:t>Protects sensitive information and builds trust among record owners, auditors and users. Reduces the risk of accidental data exposure and makes compliance review easier.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>
            <w:r>
              <w:t>Internal tool: no direct revenue. Value comes from lower data-breach risk, less manual access administration and audit readiness. It can be packaged as a reusable ServiceNow accelerator / Update Set for other teams.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>
            <w:r>
              <w:t>The same pattern can be applied to any table, extended with more classification levels, groups or time-bound access, and moved to a Query Business Rule for very large tables.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