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7B7" w:rsidRPr="00F9177F" w:rsidRDefault="00F017B7" w:rsidP="00522417">
      <w:pPr>
        <w:pStyle w:val="Default"/>
        <w:jc w:val="center"/>
        <w:rPr>
          <w:rFonts w:asciiTheme="minorHAnsi" w:hAnsiTheme="minorHAnsi"/>
          <w:b/>
          <w:bCs/>
          <w:color w:val="4F81BD" w:themeColor="accent1"/>
          <w:sz w:val="40"/>
          <w:szCs w:val="40"/>
        </w:rPr>
      </w:pPr>
      <w:bookmarkStart w:id="0" w:name="_GoBack"/>
      <w:bookmarkEnd w:id="0"/>
    </w:p>
    <w:p w:rsidR="00F017B7" w:rsidRPr="00F9177F" w:rsidRDefault="00F017B7" w:rsidP="00522417">
      <w:pPr>
        <w:pStyle w:val="Default"/>
        <w:jc w:val="center"/>
        <w:rPr>
          <w:rFonts w:asciiTheme="minorHAnsi" w:hAnsiTheme="minorHAnsi"/>
          <w:b/>
          <w:bCs/>
          <w:color w:val="4F81BD" w:themeColor="accent1"/>
          <w:sz w:val="40"/>
          <w:szCs w:val="40"/>
        </w:rPr>
      </w:pPr>
    </w:p>
    <w:p w:rsidR="00522417" w:rsidRPr="00F9177F" w:rsidRDefault="00522417" w:rsidP="00522417">
      <w:pPr>
        <w:pStyle w:val="Default"/>
        <w:jc w:val="center"/>
        <w:rPr>
          <w:rFonts w:asciiTheme="minorHAnsi" w:hAnsiTheme="minorHAnsi"/>
          <w:b/>
          <w:bCs/>
          <w:color w:val="4F81BD" w:themeColor="accent1"/>
          <w:sz w:val="40"/>
          <w:szCs w:val="40"/>
        </w:rPr>
      </w:pPr>
      <w:r w:rsidRPr="00F9177F">
        <w:rPr>
          <w:rFonts w:asciiTheme="minorHAnsi" w:hAnsiTheme="minorHAnsi"/>
          <w:b/>
          <w:bCs/>
          <w:color w:val="4F81BD" w:themeColor="accent1"/>
          <w:sz w:val="40"/>
          <w:szCs w:val="40"/>
        </w:rPr>
        <w:t>U.S. Department of Energy</w:t>
      </w:r>
    </w:p>
    <w:p w:rsidR="00522417" w:rsidRPr="009F1265" w:rsidRDefault="00B11F3E" w:rsidP="009F1265">
      <w:pPr>
        <w:pStyle w:val="Default"/>
        <w:tabs>
          <w:tab w:val="left" w:pos="5950"/>
        </w:tabs>
        <w:jc w:val="center"/>
        <w:rPr>
          <w:rFonts w:asciiTheme="minorHAnsi" w:hAnsiTheme="minorHAnsi"/>
          <w:b/>
          <w:bCs/>
          <w:color w:val="FF0000"/>
          <w:sz w:val="72"/>
          <w:szCs w:val="72"/>
        </w:rPr>
      </w:pPr>
      <w:r>
        <w:rPr>
          <w:rFonts w:asciiTheme="minorHAnsi" w:hAnsiTheme="minorHAnsi"/>
          <w:b/>
          <w:bCs/>
          <w:color w:val="FF0000"/>
          <w:sz w:val="72"/>
          <w:szCs w:val="72"/>
        </w:rPr>
        <w:t xml:space="preserve"> </w:t>
      </w:r>
    </w:p>
    <w:p w:rsidR="00522417" w:rsidRPr="00F9177F" w:rsidRDefault="00522417" w:rsidP="00522417">
      <w:pPr>
        <w:pStyle w:val="Default"/>
        <w:jc w:val="center"/>
        <w:rPr>
          <w:rFonts w:asciiTheme="minorHAnsi" w:hAnsiTheme="minorHAnsi"/>
          <w:bCs/>
          <w:color w:val="FF9900"/>
          <w:sz w:val="40"/>
          <w:szCs w:val="40"/>
        </w:rPr>
      </w:pPr>
    </w:p>
    <w:p w:rsidR="00F017B7" w:rsidRPr="00F9177F" w:rsidRDefault="00F017B7" w:rsidP="00522417">
      <w:pPr>
        <w:pStyle w:val="Default"/>
        <w:jc w:val="center"/>
        <w:rPr>
          <w:rFonts w:asciiTheme="minorHAnsi" w:hAnsiTheme="minorHAnsi"/>
          <w:bCs/>
          <w:color w:val="FF9900"/>
          <w:sz w:val="40"/>
          <w:szCs w:val="40"/>
        </w:rPr>
      </w:pPr>
    </w:p>
    <w:p w:rsidR="00522417" w:rsidRPr="00F9177F" w:rsidRDefault="00522417" w:rsidP="00522417">
      <w:pPr>
        <w:pStyle w:val="Default"/>
        <w:jc w:val="center"/>
        <w:rPr>
          <w:rFonts w:asciiTheme="minorHAnsi" w:hAnsiTheme="minorHAnsi"/>
          <w:b/>
          <w:bCs/>
          <w:sz w:val="48"/>
          <w:szCs w:val="48"/>
        </w:rPr>
      </w:pPr>
      <w:r w:rsidRPr="00F9177F">
        <w:rPr>
          <w:rFonts w:asciiTheme="minorHAnsi" w:hAnsiTheme="minorHAnsi"/>
          <w:b/>
          <w:bCs/>
          <w:noProof/>
          <w:sz w:val="48"/>
          <w:szCs w:val="48"/>
        </w:rPr>
        <w:drawing>
          <wp:anchor distT="0" distB="0" distL="114300" distR="114300" simplePos="0" relativeHeight="251659264" behindDoc="1" locked="0" layoutInCell="1" allowOverlap="1">
            <wp:simplePos x="0" y="0"/>
            <wp:positionH relativeFrom="column">
              <wp:posOffset>1838325</wp:posOffset>
            </wp:positionH>
            <wp:positionV relativeFrom="paragraph">
              <wp:posOffset>82550</wp:posOffset>
            </wp:positionV>
            <wp:extent cx="2068195" cy="1981200"/>
            <wp:effectExtent l="19050" t="0" r="8255" b="0"/>
            <wp:wrapThrough wrapText="left">
              <wp:wrapPolygon edited="0">
                <wp:start x="-199" y="0"/>
                <wp:lineTo x="-199" y="21392"/>
                <wp:lineTo x="21686" y="21392"/>
                <wp:lineTo x="21686" y="0"/>
                <wp:lineTo x="-199" y="0"/>
              </wp:wrapPolygon>
            </wp:wrapThrough>
            <wp:docPr id="3" name="Picture 5" descr="DOE Logo (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E Logo (Old)"/>
                    <pic:cNvPicPr>
                      <a:picLocks noChangeAspect="1" noChangeArrowheads="1"/>
                    </pic:cNvPicPr>
                  </pic:nvPicPr>
                  <pic:blipFill>
                    <a:blip r:embed="rId10" cstate="print"/>
                    <a:srcRect/>
                    <a:stretch>
                      <a:fillRect/>
                    </a:stretch>
                  </pic:blipFill>
                  <pic:spPr bwMode="auto">
                    <a:xfrm>
                      <a:off x="0" y="0"/>
                      <a:ext cx="2068195" cy="1981200"/>
                    </a:xfrm>
                    <a:prstGeom prst="rect">
                      <a:avLst/>
                    </a:prstGeom>
                    <a:noFill/>
                    <a:ln w="9525">
                      <a:noFill/>
                      <a:miter lim="800000"/>
                      <a:headEnd/>
                      <a:tailEnd/>
                    </a:ln>
                  </pic:spPr>
                </pic:pic>
              </a:graphicData>
            </a:graphic>
          </wp:anchor>
        </w:drawing>
      </w:r>
    </w:p>
    <w:p w:rsidR="00522417" w:rsidRPr="00F9177F" w:rsidRDefault="00522417" w:rsidP="00522417">
      <w:pPr>
        <w:pStyle w:val="Default"/>
        <w:jc w:val="center"/>
        <w:rPr>
          <w:rFonts w:asciiTheme="minorHAnsi" w:hAnsiTheme="minorHAnsi"/>
          <w:b/>
          <w:bCs/>
          <w:sz w:val="48"/>
          <w:szCs w:val="48"/>
        </w:rPr>
      </w:pPr>
    </w:p>
    <w:p w:rsidR="00522417" w:rsidRPr="00F9177F" w:rsidRDefault="00522417" w:rsidP="00522417">
      <w:pPr>
        <w:pStyle w:val="Default"/>
        <w:jc w:val="center"/>
        <w:rPr>
          <w:rFonts w:asciiTheme="minorHAnsi" w:hAnsiTheme="minorHAnsi"/>
          <w:b/>
          <w:bCs/>
          <w:sz w:val="48"/>
          <w:szCs w:val="48"/>
        </w:rPr>
      </w:pPr>
    </w:p>
    <w:p w:rsidR="00522417" w:rsidRPr="00F9177F" w:rsidRDefault="00522417" w:rsidP="00522417">
      <w:pPr>
        <w:pStyle w:val="Default"/>
        <w:jc w:val="center"/>
        <w:rPr>
          <w:rFonts w:asciiTheme="minorHAnsi" w:hAnsiTheme="minorHAnsi"/>
          <w:b/>
          <w:bCs/>
          <w:sz w:val="48"/>
          <w:szCs w:val="48"/>
        </w:rPr>
      </w:pPr>
    </w:p>
    <w:p w:rsidR="00522417" w:rsidRPr="00F9177F" w:rsidRDefault="00522417" w:rsidP="00522417">
      <w:pPr>
        <w:pStyle w:val="Default"/>
        <w:jc w:val="center"/>
        <w:rPr>
          <w:rFonts w:asciiTheme="minorHAnsi" w:hAnsiTheme="minorHAnsi"/>
          <w:b/>
          <w:bCs/>
          <w:sz w:val="48"/>
          <w:szCs w:val="48"/>
        </w:rPr>
      </w:pPr>
    </w:p>
    <w:p w:rsidR="00522417" w:rsidRPr="00F9177F" w:rsidRDefault="00522417" w:rsidP="00522417">
      <w:pPr>
        <w:pStyle w:val="Default"/>
        <w:jc w:val="center"/>
        <w:rPr>
          <w:rFonts w:asciiTheme="minorHAnsi" w:hAnsiTheme="minorHAnsi"/>
          <w:b/>
          <w:bCs/>
          <w:sz w:val="48"/>
          <w:szCs w:val="48"/>
        </w:rPr>
      </w:pPr>
    </w:p>
    <w:p w:rsidR="00522417" w:rsidRPr="00F9177F" w:rsidRDefault="00522417" w:rsidP="00522417">
      <w:pPr>
        <w:pStyle w:val="Default"/>
        <w:jc w:val="center"/>
        <w:rPr>
          <w:rFonts w:asciiTheme="minorHAnsi" w:hAnsiTheme="minorHAnsi"/>
          <w:b/>
          <w:bCs/>
          <w:sz w:val="48"/>
          <w:szCs w:val="48"/>
        </w:rPr>
      </w:pPr>
    </w:p>
    <w:p w:rsidR="00522417" w:rsidRPr="00F9177F" w:rsidRDefault="00522417" w:rsidP="00522417">
      <w:pPr>
        <w:pStyle w:val="Default"/>
        <w:jc w:val="center"/>
        <w:rPr>
          <w:rFonts w:asciiTheme="minorHAnsi" w:hAnsiTheme="minorHAnsi"/>
          <w:b/>
          <w:bCs/>
          <w:sz w:val="48"/>
          <w:szCs w:val="48"/>
        </w:rPr>
      </w:pPr>
      <w:r w:rsidRPr="00F9177F">
        <w:rPr>
          <w:rFonts w:asciiTheme="minorHAnsi" w:hAnsiTheme="minorHAnsi"/>
          <w:b/>
          <w:bCs/>
          <w:sz w:val="48"/>
          <w:szCs w:val="48"/>
        </w:rPr>
        <w:t xml:space="preserve"> </w:t>
      </w:r>
    </w:p>
    <w:p w:rsidR="00522417" w:rsidRPr="00F9177F" w:rsidRDefault="00522417" w:rsidP="00522417">
      <w:pPr>
        <w:jc w:val="center"/>
        <w:rPr>
          <w:b/>
        </w:rPr>
      </w:pPr>
    </w:p>
    <w:p w:rsidR="00BF2705" w:rsidRPr="00BB7A6D" w:rsidRDefault="00BF2705" w:rsidP="00BF2705">
      <w:pPr>
        <w:jc w:val="center"/>
        <w:rPr>
          <w:b/>
          <w:sz w:val="32"/>
          <w:szCs w:val="32"/>
        </w:rPr>
      </w:pPr>
      <w:r w:rsidRPr="00BB7A6D">
        <w:rPr>
          <w:b/>
          <w:sz w:val="32"/>
          <w:szCs w:val="32"/>
        </w:rPr>
        <w:t>Fiscal Year 2013</w:t>
      </w:r>
    </w:p>
    <w:p w:rsidR="00BF2705" w:rsidRPr="00BB7A6D" w:rsidRDefault="00BF2705" w:rsidP="00BF2705">
      <w:pPr>
        <w:jc w:val="center"/>
        <w:rPr>
          <w:b/>
          <w:sz w:val="48"/>
          <w:szCs w:val="48"/>
        </w:rPr>
      </w:pPr>
      <w:r w:rsidRPr="00BB7A6D">
        <w:rPr>
          <w:b/>
          <w:sz w:val="48"/>
          <w:szCs w:val="48"/>
        </w:rPr>
        <w:t>Federal Program Inventory</w:t>
      </w:r>
    </w:p>
    <w:p w:rsidR="00BF2705" w:rsidRPr="00BB7A6D" w:rsidRDefault="00BF2705" w:rsidP="00BF2705">
      <w:pPr>
        <w:jc w:val="center"/>
        <w:rPr>
          <w:b/>
          <w:sz w:val="32"/>
          <w:szCs w:val="32"/>
        </w:rPr>
      </w:pPr>
      <w:r w:rsidRPr="00BB7A6D">
        <w:rPr>
          <w:b/>
          <w:sz w:val="32"/>
          <w:szCs w:val="32"/>
        </w:rPr>
        <w:t>May 2013</w:t>
      </w:r>
    </w:p>
    <w:p w:rsidR="00210BA5" w:rsidRPr="00F9177F" w:rsidRDefault="00210BA5" w:rsidP="00210BA5">
      <w:pPr>
        <w:pStyle w:val="Default"/>
        <w:rPr>
          <w:rFonts w:asciiTheme="minorHAnsi" w:hAnsiTheme="minorHAnsi"/>
          <w:bCs/>
          <w:shadow/>
          <w:sz w:val="36"/>
          <w:szCs w:val="36"/>
        </w:rPr>
      </w:pPr>
    </w:p>
    <w:p w:rsidR="00210BA5" w:rsidRPr="00F9177F" w:rsidRDefault="00210BA5" w:rsidP="00210BA5">
      <w:pPr>
        <w:pStyle w:val="Default"/>
        <w:rPr>
          <w:rFonts w:asciiTheme="minorHAnsi" w:hAnsiTheme="minorHAnsi"/>
          <w:bCs/>
          <w:shadow/>
          <w:sz w:val="36"/>
          <w:szCs w:val="36"/>
        </w:rPr>
      </w:pPr>
    </w:p>
    <w:p w:rsidR="00210BA5" w:rsidRPr="00F9177F" w:rsidRDefault="00210BA5" w:rsidP="00210BA5">
      <w:pPr>
        <w:pStyle w:val="Default"/>
        <w:rPr>
          <w:rFonts w:asciiTheme="minorHAnsi" w:hAnsiTheme="minorHAnsi"/>
          <w:bCs/>
          <w:shadow/>
          <w:sz w:val="36"/>
          <w:szCs w:val="36"/>
        </w:rPr>
      </w:pPr>
    </w:p>
    <w:p w:rsidR="00BF2705" w:rsidRDefault="00BF2705" w:rsidP="001A1219"/>
    <w:p w:rsidR="0047754E" w:rsidRDefault="0047754E" w:rsidP="0047754E">
      <w:pPr>
        <w:rPr>
          <w:rFonts w:eastAsia="Times New Roman" w:cs="Times New Roman"/>
          <w:b/>
          <w:bCs/>
          <w:color w:val="000000"/>
          <w:sz w:val="48"/>
          <w:szCs w:val="48"/>
        </w:rPr>
      </w:pPr>
      <w:bookmarkStart w:id="1" w:name="_Toc352758959"/>
      <w:r>
        <w:rPr>
          <w:b/>
          <w:bCs/>
          <w:sz w:val="48"/>
          <w:szCs w:val="48"/>
        </w:rPr>
        <w:br w:type="page"/>
      </w:r>
    </w:p>
    <w:sdt>
      <w:sdtPr>
        <w:rPr>
          <w:rFonts w:asciiTheme="minorHAnsi" w:eastAsiaTheme="minorHAnsi" w:hAnsiTheme="minorHAnsi" w:cstheme="minorBidi"/>
          <w:b w:val="0"/>
          <w:bCs w:val="0"/>
          <w:color w:val="auto"/>
          <w:sz w:val="22"/>
          <w:szCs w:val="22"/>
        </w:rPr>
        <w:id w:val="1791065"/>
        <w:docPartObj>
          <w:docPartGallery w:val="Table of Contents"/>
          <w:docPartUnique/>
        </w:docPartObj>
      </w:sdtPr>
      <w:sdtContent>
        <w:p w:rsidR="0047754E" w:rsidRPr="00F9177F" w:rsidRDefault="0047754E" w:rsidP="0047754E">
          <w:pPr>
            <w:pStyle w:val="TOCHeading"/>
            <w:rPr>
              <w:rFonts w:asciiTheme="minorHAnsi" w:hAnsiTheme="minorHAnsi"/>
            </w:rPr>
          </w:pPr>
          <w:r w:rsidRPr="00F9177F">
            <w:rPr>
              <w:rFonts w:asciiTheme="minorHAnsi" w:hAnsiTheme="minorHAnsi"/>
            </w:rPr>
            <w:t>Contents</w:t>
          </w:r>
        </w:p>
        <w:p w:rsidR="00AA60E0" w:rsidRDefault="00440795">
          <w:pPr>
            <w:pStyle w:val="TOC1"/>
            <w:rPr>
              <w:rFonts w:eastAsiaTheme="minorEastAsia"/>
              <w:noProof/>
            </w:rPr>
          </w:pPr>
          <w:r w:rsidRPr="00F9177F">
            <w:fldChar w:fldCharType="begin"/>
          </w:r>
          <w:r w:rsidR="0047754E" w:rsidRPr="00F9177F">
            <w:instrText xml:space="preserve"> TOC \o "1-3" \h \z \u </w:instrText>
          </w:r>
          <w:r w:rsidRPr="00F9177F">
            <w:fldChar w:fldCharType="separate"/>
          </w:r>
          <w:hyperlink w:anchor="_Toc357763442" w:history="1">
            <w:r w:rsidR="00AA60E0" w:rsidRPr="008B4113">
              <w:rPr>
                <w:rStyle w:val="Hyperlink"/>
                <w:noProof/>
              </w:rPr>
              <w:t>Approach</w:t>
            </w:r>
            <w:r w:rsidR="00AA60E0">
              <w:rPr>
                <w:noProof/>
                <w:webHidden/>
              </w:rPr>
              <w:tab/>
            </w:r>
            <w:r w:rsidR="00AA60E0">
              <w:rPr>
                <w:noProof/>
                <w:webHidden/>
              </w:rPr>
              <w:fldChar w:fldCharType="begin"/>
            </w:r>
            <w:r w:rsidR="00AA60E0">
              <w:rPr>
                <w:noProof/>
                <w:webHidden/>
              </w:rPr>
              <w:instrText xml:space="preserve"> PAGEREF _Toc357763442 \h </w:instrText>
            </w:r>
            <w:r w:rsidR="00AA60E0">
              <w:rPr>
                <w:noProof/>
                <w:webHidden/>
              </w:rPr>
            </w:r>
            <w:r w:rsidR="00AA60E0">
              <w:rPr>
                <w:noProof/>
                <w:webHidden/>
              </w:rPr>
              <w:fldChar w:fldCharType="separate"/>
            </w:r>
            <w:r w:rsidR="00AA60E0">
              <w:rPr>
                <w:noProof/>
                <w:webHidden/>
              </w:rPr>
              <w:t>6</w:t>
            </w:r>
            <w:r w:rsidR="00AA60E0">
              <w:rPr>
                <w:noProof/>
                <w:webHidden/>
              </w:rPr>
              <w:fldChar w:fldCharType="end"/>
            </w:r>
          </w:hyperlink>
        </w:p>
        <w:p w:rsidR="00AA60E0" w:rsidRDefault="00AA60E0">
          <w:pPr>
            <w:pStyle w:val="TOC1"/>
            <w:rPr>
              <w:rFonts w:eastAsiaTheme="minorEastAsia"/>
              <w:noProof/>
            </w:rPr>
          </w:pPr>
          <w:hyperlink w:anchor="_Toc357763443" w:history="1">
            <w:r w:rsidRPr="008B4113">
              <w:rPr>
                <w:rStyle w:val="Hyperlink"/>
                <w:noProof/>
              </w:rPr>
              <w:t>DOE Organization</w:t>
            </w:r>
            <w:r>
              <w:rPr>
                <w:noProof/>
                <w:webHidden/>
              </w:rPr>
              <w:tab/>
            </w:r>
            <w:r>
              <w:rPr>
                <w:noProof/>
                <w:webHidden/>
              </w:rPr>
              <w:fldChar w:fldCharType="begin"/>
            </w:r>
            <w:r>
              <w:rPr>
                <w:noProof/>
                <w:webHidden/>
              </w:rPr>
              <w:instrText xml:space="preserve"> PAGEREF _Toc357763443 \h </w:instrText>
            </w:r>
            <w:r>
              <w:rPr>
                <w:noProof/>
                <w:webHidden/>
              </w:rPr>
            </w:r>
            <w:r>
              <w:rPr>
                <w:noProof/>
                <w:webHidden/>
              </w:rPr>
              <w:fldChar w:fldCharType="separate"/>
            </w:r>
            <w:r>
              <w:rPr>
                <w:noProof/>
                <w:webHidden/>
              </w:rPr>
              <w:t>6</w:t>
            </w:r>
            <w:r>
              <w:rPr>
                <w:noProof/>
                <w:webHidden/>
              </w:rPr>
              <w:fldChar w:fldCharType="end"/>
            </w:r>
          </w:hyperlink>
        </w:p>
        <w:p w:rsidR="00AA60E0" w:rsidRDefault="00AA60E0">
          <w:pPr>
            <w:pStyle w:val="TOC1"/>
            <w:rPr>
              <w:rFonts w:eastAsiaTheme="minorEastAsia"/>
              <w:noProof/>
            </w:rPr>
          </w:pPr>
          <w:hyperlink w:anchor="_Toc357763444" w:history="1">
            <w:r w:rsidRPr="008B4113">
              <w:rPr>
                <w:rStyle w:val="Hyperlink"/>
                <w:noProof/>
              </w:rPr>
              <w:t>Strategic Framework</w:t>
            </w:r>
            <w:r>
              <w:rPr>
                <w:noProof/>
                <w:webHidden/>
              </w:rPr>
              <w:tab/>
            </w:r>
            <w:r>
              <w:rPr>
                <w:noProof/>
                <w:webHidden/>
              </w:rPr>
              <w:fldChar w:fldCharType="begin"/>
            </w:r>
            <w:r>
              <w:rPr>
                <w:noProof/>
                <w:webHidden/>
              </w:rPr>
              <w:instrText xml:space="preserve"> PAGEREF _Toc357763444 \h </w:instrText>
            </w:r>
            <w:r>
              <w:rPr>
                <w:noProof/>
                <w:webHidden/>
              </w:rPr>
            </w:r>
            <w:r>
              <w:rPr>
                <w:noProof/>
                <w:webHidden/>
              </w:rPr>
              <w:fldChar w:fldCharType="separate"/>
            </w:r>
            <w:r>
              <w:rPr>
                <w:noProof/>
                <w:webHidden/>
              </w:rPr>
              <w:t>7</w:t>
            </w:r>
            <w:r>
              <w:rPr>
                <w:noProof/>
                <w:webHidden/>
              </w:rPr>
              <w:fldChar w:fldCharType="end"/>
            </w:r>
          </w:hyperlink>
        </w:p>
        <w:p w:rsidR="00AA60E0" w:rsidRDefault="00AA60E0">
          <w:pPr>
            <w:pStyle w:val="TOC1"/>
            <w:rPr>
              <w:rFonts w:eastAsiaTheme="minorEastAsia"/>
              <w:noProof/>
            </w:rPr>
          </w:pPr>
          <w:hyperlink w:anchor="_Toc357763445" w:history="1">
            <w:r w:rsidRPr="008B4113">
              <w:rPr>
                <w:rStyle w:val="Hyperlink"/>
                <w:noProof/>
              </w:rPr>
              <w:t>Program Inventory</w:t>
            </w:r>
            <w:r>
              <w:rPr>
                <w:noProof/>
                <w:webHidden/>
              </w:rPr>
              <w:tab/>
            </w:r>
            <w:r>
              <w:rPr>
                <w:noProof/>
                <w:webHidden/>
              </w:rPr>
              <w:fldChar w:fldCharType="begin"/>
            </w:r>
            <w:r>
              <w:rPr>
                <w:noProof/>
                <w:webHidden/>
              </w:rPr>
              <w:instrText xml:space="preserve"> PAGEREF _Toc357763445 \h </w:instrText>
            </w:r>
            <w:r>
              <w:rPr>
                <w:noProof/>
                <w:webHidden/>
              </w:rPr>
            </w:r>
            <w:r>
              <w:rPr>
                <w:noProof/>
                <w:webHidden/>
              </w:rPr>
              <w:fldChar w:fldCharType="separate"/>
            </w:r>
            <w:r>
              <w:rPr>
                <w:noProof/>
                <w:webHidden/>
              </w:rPr>
              <w:t>8</w:t>
            </w:r>
            <w:r>
              <w:rPr>
                <w:noProof/>
                <w:webHidden/>
              </w:rPr>
              <w:fldChar w:fldCharType="end"/>
            </w:r>
          </w:hyperlink>
        </w:p>
        <w:p w:rsidR="00AA60E0" w:rsidRDefault="00AA60E0">
          <w:pPr>
            <w:pStyle w:val="TOC1"/>
            <w:rPr>
              <w:rFonts w:eastAsiaTheme="minorEastAsia"/>
              <w:noProof/>
            </w:rPr>
          </w:pPr>
          <w:hyperlink w:anchor="_Toc357763446" w:history="1">
            <w:r w:rsidRPr="008B4113">
              <w:rPr>
                <w:rStyle w:val="Hyperlink"/>
                <w:noProof/>
              </w:rPr>
              <w:t>Energy Efficiency and Renewable Energy (EERE)</w:t>
            </w:r>
            <w:r>
              <w:rPr>
                <w:noProof/>
                <w:webHidden/>
              </w:rPr>
              <w:tab/>
            </w:r>
            <w:r>
              <w:rPr>
                <w:noProof/>
                <w:webHidden/>
              </w:rPr>
              <w:fldChar w:fldCharType="begin"/>
            </w:r>
            <w:r>
              <w:rPr>
                <w:noProof/>
                <w:webHidden/>
              </w:rPr>
              <w:instrText xml:space="preserve"> PAGEREF _Toc357763446 \h </w:instrText>
            </w:r>
            <w:r>
              <w:rPr>
                <w:noProof/>
                <w:webHidden/>
              </w:rPr>
            </w:r>
            <w:r>
              <w:rPr>
                <w:noProof/>
                <w:webHidden/>
              </w:rPr>
              <w:fldChar w:fldCharType="separate"/>
            </w:r>
            <w:r>
              <w:rPr>
                <w:noProof/>
                <w:webHidden/>
              </w:rPr>
              <w:t>8</w:t>
            </w:r>
            <w:r>
              <w:rPr>
                <w:noProof/>
                <w:webHidden/>
              </w:rPr>
              <w:fldChar w:fldCharType="end"/>
            </w:r>
          </w:hyperlink>
        </w:p>
        <w:p w:rsidR="00AA60E0" w:rsidRDefault="00AA60E0">
          <w:pPr>
            <w:pStyle w:val="TOC2"/>
            <w:rPr>
              <w:rFonts w:eastAsiaTheme="minorEastAsia"/>
              <w:noProof/>
            </w:rPr>
          </w:pPr>
          <w:hyperlink w:anchor="_Toc357763447" w:history="1">
            <w:r w:rsidRPr="008B4113">
              <w:rPr>
                <w:rStyle w:val="Hyperlink"/>
                <w:noProof/>
              </w:rPr>
              <w:t>Advanced Manufacturing Office (formerly Industrial Technologies)</w:t>
            </w:r>
            <w:r>
              <w:rPr>
                <w:noProof/>
                <w:webHidden/>
              </w:rPr>
              <w:tab/>
            </w:r>
            <w:r>
              <w:rPr>
                <w:noProof/>
                <w:webHidden/>
              </w:rPr>
              <w:fldChar w:fldCharType="begin"/>
            </w:r>
            <w:r>
              <w:rPr>
                <w:noProof/>
                <w:webHidden/>
              </w:rPr>
              <w:instrText xml:space="preserve"> PAGEREF _Toc357763447 \h </w:instrText>
            </w:r>
            <w:r>
              <w:rPr>
                <w:noProof/>
                <w:webHidden/>
              </w:rPr>
            </w:r>
            <w:r>
              <w:rPr>
                <w:noProof/>
                <w:webHidden/>
              </w:rPr>
              <w:fldChar w:fldCharType="separate"/>
            </w:r>
            <w:r>
              <w:rPr>
                <w:noProof/>
                <w:webHidden/>
              </w:rPr>
              <w:t>8</w:t>
            </w:r>
            <w:r>
              <w:rPr>
                <w:noProof/>
                <w:webHidden/>
              </w:rPr>
              <w:fldChar w:fldCharType="end"/>
            </w:r>
          </w:hyperlink>
        </w:p>
        <w:p w:rsidR="00AA60E0" w:rsidRDefault="00AA60E0">
          <w:pPr>
            <w:pStyle w:val="TOC2"/>
            <w:rPr>
              <w:rFonts w:eastAsiaTheme="minorEastAsia"/>
              <w:noProof/>
            </w:rPr>
          </w:pPr>
          <w:hyperlink w:anchor="_Toc357763448" w:history="1">
            <w:r w:rsidRPr="008B4113">
              <w:rPr>
                <w:rStyle w:val="Hyperlink"/>
                <w:noProof/>
              </w:rPr>
              <w:t>Building Technologies</w:t>
            </w:r>
            <w:r>
              <w:rPr>
                <w:noProof/>
                <w:webHidden/>
              </w:rPr>
              <w:tab/>
            </w:r>
            <w:r>
              <w:rPr>
                <w:noProof/>
                <w:webHidden/>
              </w:rPr>
              <w:fldChar w:fldCharType="begin"/>
            </w:r>
            <w:r>
              <w:rPr>
                <w:noProof/>
                <w:webHidden/>
              </w:rPr>
              <w:instrText xml:space="preserve"> PAGEREF _Toc357763448 \h </w:instrText>
            </w:r>
            <w:r>
              <w:rPr>
                <w:noProof/>
                <w:webHidden/>
              </w:rPr>
            </w:r>
            <w:r>
              <w:rPr>
                <w:noProof/>
                <w:webHidden/>
              </w:rPr>
              <w:fldChar w:fldCharType="separate"/>
            </w:r>
            <w:r>
              <w:rPr>
                <w:noProof/>
                <w:webHidden/>
              </w:rPr>
              <w:t>8</w:t>
            </w:r>
            <w:r>
              <w:rPr>
                <w:noProof/>
                <w:webHidden/>
              </w:rPr>
              <w:fldChar w:fldCharType="end"/>
            </w:r>
          </w:hyperlink>
        </w:p>
        <w:p w:rsidR="00AA60E0" w:rsidRDefault="00AA60E0">
          <w:pPr>
            <w:pStyle w:val="TOC2"/>
            <w:rPr>
              <w:rFonts w:eastAsiaTheme="minorEastAsia"/>
              <w:noProof/>
            </w:rPr>
          </w:pPr>
          <w:hyperlink w:anchor="_Toc357763449" w:history="1">
            <w:r w:rsidRPr="008B4113">
              <w:rPr>
                <w:rStyle w:val="Hyperlink"/>
                <w:noProof/>
              </w:rPr>
              <w:t>Vehicle Technologies</w:t>
            </w:r>
            <w:r>
              <w:rPr>
                <w:noProof/>
                <w:webHidden/>
              </w:rPr>
              <w:tab/>
            </w:r>
            <w:r>
              <w:rPr>
                <w:noProof/>
                <w:webHidden/>
              </w:rPr>
              <w:fldChar w:fldCharType="begin"/>
            </w:r>
            <w:r>
              <w:rPr>
                <w:noProof/>
                <w:webHidden/>
              </w:rPr>
              <w:instrText xml:space="preserve"> PAGEREF _Toc357763449 \h </w:instrText>
            </w:r>
            <w:r>
              <w:rPr>
                <w:noProof/>
                <w:webHidden/>
              </w:rPr>
            </w:r>
            <w:r>
              <w:rPr>
                <w:noProof/>
                <w:webHidden/>
              </w:rPr>
              <w:fldChar w:fldCharType="separate"/>
            </w:r>
            <w:r>
              <w:rPr>
                <w:noProof/>
                <w:webHidden/>
              </w:rPr>
              <w:t>8</w:t>
            </w:r>
            <w:r>
              <w:rPr>
                <w:noProof/>
                <w:webHidden/>
              </w:rPr>
              <w:fldChar w:fldCharType="end"/>
            </w:r>
          </w:hyperlink>
        </w:p>
        <w:p w:rsidR="00AA60E0" w:rsidRDefault="00AA60E0">
          <w:pPr>
            <w:pStyle w:val="TOC2"/>
            <w:rPr>
              <w:rFonts w:eastAsiaTheme="minorEastAsia"/>
              <w:noProof/>
            </w:rPr>
          </w:pPr>
          <w:hyperlink w:anchor="_Toc357763450" w:history="1">
            <w:r w:rsidRPr="008B4113">
              <w:rPr>
                <w:rStyle w:val="Hyperlink"/>
                <w:noProof/>
              </w:rPr>
              <w:t>Weatherization and Intergovernmental Programs</w:t>
            </w:r>
            <w:r>
              <w:rPr>
                <w:noProof/>
                <w:webHidden/>
              </w:rPr>
              <w:tab/>
            </w:r>
            <w:r>
              <w:rPr>
                <w:noProof/>
                <w:webHidden/>
              </w:rPr>
              <w:fldChar w:fldCharType="begin"/>
            </w:r>
            <w:r>
              <w:rPr>
                <w:noProof/>
                <w:webHidden/>
              </w:rPr>
              <w:instrText xml:space="preserve"> PAGEREF _Toc357763450 \h </w:instrText>
            </w:r>
            <w:r>
              <w:rPr>
                <w:noProof/>
                <w:webHidden/>
              </w:rPr>
            </w:r>
            <w:r>
              <w:rPr>
                <w:noProof/>
                <w:webHidden/>
              </w:rPr>
              <w:fldChar w:fldCharType="separate"/>
            </w:r>
            <w:r>
              <w:rPr>
                <w:noProof/>
                <w:webHidden/>
              </w:rPr>
              <w:t>8</w:t>
            </w:r>
            <w:r>
              <w:rPr>
                <w:noProof/>
                <w:webHidden/>
              </w:rPr>
              <w:fldChar w:fldCharType="end"/>
            </w:r>
          </w:hyperlink>
        </w:p>
        <w:p w:rsidR="00AA60E0" w:rsidRDefault="00AA60E0">
          <w:pPr>
            <w:pStyle w:val="TOC2"/>
            <w:rPr>
              <w:rFonts w:eastAsiaTheme="minorEastAsia"/>
              <w:noProof/>
            </w:rPr>
          </w:pPr>
          <w:hyperlink w:anchor="_Toc357763451" w:history="1">
            <w:r w:rsidRPr="008B4113">
              <w:rPr>
                <w:rStyle w:val="Hyperlink"/>
                <w:noProof/>
              </w:rPr>
              <w:t>Bioenergy Technologies (formerly Biomass and Biorefinery R&amp;D)</w:t>
            </w:r>
            <w:r>
              <w:rPr>
                <w:noProof/>
                <w:webHidden/>
              </w:rPr>
              <w:tab/>
            </w:r>
            <w:r>
              <w:rPr>
                <w:noProof/>
                <w:webHidden/>
              </w:rPr>
              <w:fldChar w:fldCharType="begin"/>
            </w:r>
            <w:r>
              <w:rPr>
                <w:noProof/>
                <w:webHidden/>
              </w:rPr>
              <w:instrText xml:space="preserve"> PAGEREF _Toc357763451 \h </w:instrText>
            </w:r>
            <w:r>
              <w:rPr>
                <w:noProof/>
                <w:webHidden/>
              </w:rPr>
            </w:r>
            <w:r>
              <w:rPr>
                <w:noProof/>
                <w:webHidden/>
              </w:rPr>
              <w:fldChar w:fldCharType="separate"/>
            </w:r>
            <w:r>
              <w:rPr>
                <w:noProof/>
                <w:webHidden/>
              </w:rPr>
              <w:t>9</w:t>
            </w:r>
            <w:r>
              <w:rPr>
                <w:noProof/>
                <w:webHidden/>
              </w:rPr>
              <w:fldChar w:fldCharType="end"/>
            </w:r>
          </w:hyperlink>
        </w:p>
        <w:p w:rsidR="00AA60E0" w:rsidRDefault="00AA60E0">
          <w:pPr>
            <w:pStyle w:val="TOC2"/>
            <w:rPr>
              <w:rFonts w:eastAsiaTheme="minorEastAsia"/>
              <w:noProof/>
            </w:rPr>
          </w:pPr>
          <w:hyperlink w:anchor="_Toc357763452" w:history="1">
            <w:r w:rsidRPr="008B4113">
              <w:rPr>
                <w:rStyle w:val="Hyperlink"/>
                <w:noProof/>
              </w:rPr>
              <w:t>Geothermal Technology</w:t>
            </w:r>
            <w:r>
              <w:rPr>
                <w:noProof/>
                <w:webHidden/>
              </w:rPr>
              <w:tab/>
            </w:r>
            <w:r>
              <w:rPr>
                <w:noProof/>
                <w:webHidden/>
              </w:rPr>
              <w:fldChar w:fldCharType="begin"/>
            </w:r>
            <w:r>
              <w:rPr>
                <w:noProof/>
                <w:webHidden/>
              </w:rPr>
              <w:instrText xml:space="preserve"> PAGEREF _Toc357763452 \h </w:instrText>
            </w:r>
            <w:r>
              <w:rPr>
                <w:noProof/>
                <w:webHidden/>
              </w:rPr>
            </w:r>
            <w:r>
              <w:rPr>
                <w:noProof/>
                <w:webHidden/>
              </w:rPr>
              <w:fldChar w:fldCharType="separate"/>
            </w:r>
            <w:r>
              <w:rPr>
                <w:noProof/>
                <w:webHidden/>
              </w:rPr>
              <w:t>9</w:t>
            </w:r>
            <w:r>
              <w:rPr>
                <w:noProof/>
                <w:webHidden/>
              </w:rPr>
              <w:fldChar w:fldCharType="end"/>
            </w:r>
          </w:hyperlink>
        </w:p>
        <w:p w:rsidR="00AA60E0" w:rsidRDefault="00AA60E0">
          <w:pPr>
            <w:pStyle w:val="TOC2"/>
            <w:rPr>
              <w:rFonts w:eastAsiaTheme="minorEastAsia"/>
              <w:noProof/>
            </w:rPr>
          </w:pPr>
          <w:hyperlink w:anchor="_Toc357763453" w:history="1">
            <w:r w:rsidRPr="008B4113">
              <w:rPr>
                <w:rStyle w:val="Hyperlink"/>
                <w:noProof/>
              </w:rPr>
              <w:t>Hydrogen and Fuel Cell Technologies</w:t>
            </w:r>
            <w:r>
              <w:rPr>
                <w:noProof/>
                <w:webHidden/>
              </w:rPr>
              <w:tab/>
            </w:r>
            <w:r>
              <w:rPr>
                <w:noProof/>
                <w:webHidden/>
              </w:rPr>
              <w:fldChar w:fldCharType="begin"/>
            </w:r>
            <w:r>
              <w:rPr>
                <w:noProof/>
                <w:webHidden/>
              </w:rPr>
              <w:instrText xml:space="preserve"> PAGEREF _Toc357763453 \h </w:instrText>
            </w:r>
            <w:r>
              <w:rPr>
                <w:noProof/>
                <w:webHidden/>
              </w:rPr>
            </w:r>
            <w:r>
              <w:rPr>
                <w:noProof/>
                <w:webHidden/>
              </w:rPr>
              <w:fldChar w:fldCharType="separate"/>
            </w:r>
            <w:r>
              <w:rPr>
                <w:noProof/>
                <w:webHidden/>
              </w:rPr>
              <w:t>9</w:t>
            </w:r>
            <w:r>
              <w:rPr>
                <w:noProof/>
                <w:webHidden/>
              </w:rPr>
              <w:fldChar w:fldCharType="end"/>
            </w:r>
          </w:hyperlink>
        </w:p>
        <w:p w:rsidR="00AA60E0" w:rsidRDefault="00AA60E0">
          <w:pPr>
            <w:pStyle w:val="TOC2"/>
            <w:rPr>
              <w:rFonts w:eastAsiaTheme="minorEastAsia"/>
              <w:noProof/>
            </w:rPr>
          </w:pPr>
          <w:hyperlink w:anchor="_Toc357763454" w:history="1">
            <w:r w:rsidRPr="008B4113">
              <w:rPr>
                <w:rStyle w:val="Hyperlink"/>
                <w:noProof/>
              </w:rPr>
              <w:t>Solar Energy</w:t>
            </w:r>
            <w:r>
              <w:rPr>
                <w:noProof/>
                <w:webHidden/>
              </w:rPr>
              <w:tab/>
            </w:r>
            <w:r>
              <w:rPr>
                <w:noProof/>
                <w:webHidden/>
              </w:rPr>
              <w:fldChar w:fldCharType="begin"/>
            </w:r>
            <w:r>
              <w:rPr>
                <w:noProof/>
                <w:webHidden/>
              </w:rPr>
              <w:instrText xml:space="preserve"> PAGEREF _Toc357763454 \h </w:instrText>
            </w:r>
            <w:r>
              <w:rPr>
                <w:noProof/>
                <w:webHidden/>
              </w:rPr>
            </w:r>
            <w:r>
              <w:rPr>
                <w:noProof/>
                <w:webHidden/>
              </w:rPr>
              <w:fldChar w:fldCharType="separate"/>
            </w:r>
            <w:r>
              <w:rPr>
                <w:noProof/>
                <w:webHidden/>
              </w:rPr>
              <w:t>9</w:t>
            </w:r>
            <w:r>
              <w:rPr>
                <w:noProof/>
                <w:webHidden/>
              </w:rPr>
              <w:fldChar w:fldCharType="end"/>
            </w:r>
          </w:hyperlink>
        </w:p>
        <w:p w:rsidR="00AA60E0" w:rsidRDefault="00AA60E0">
          <w:pPr>
            <w:pStyle w:val="TOC2"/>
            <w:rPr>
              <w:rFonts w:eastAsiaTheme="minorEastAsia"/>
              <w:noProof/>
            </w:rPr>
          </w:pPr>
          <w:hyperlink w:anchor="_Toc357763455" w:history="1">
            <w:r w:rsidRPr="008B4113">
              <w:rPr>
                <w:rStyle w:val="Hyperlink"/>
                <w:noProof/>
              </w:rPr>
              <w:t>Water Power</w:t>
            </w:r>
            <w:r>
              <w:rPr>
                <w:noProof/>
                <w:webHidden/>
              </w:rPr>
              <w:tab/>
            </w:r>
            <w:r>
              <w:rPr>
                <w:noProof/>
                <w:webHidden/>
              </w:rPr>
              <w:fldChar w:fldCharType="begin"/>
            </w:r>
            <w:r>
              <w:rPr>
                <w:noProof/>
                <w:webHidden/>
              </w:rPr>
              <w:instrText xml:space="preserve"> PAGEREF _Toc357763455 \h </w:instrText>
            </w:r>
            <w:r>
              <w:rPr>
                <w:noProof/>
                <w:webHidden/>
              </w:rPr>
            </w:r>
            <w:r>
              <w:rPr>
                <w:noProof/>
                <w:webHidden/>
              </w:rPr>
              <w:fldChar w:fldCharType="separate"/>
            </w:r>
            <w:r>
              <w:rPr>
                <w:noProof/>
                <w:webHidden/>
              </w:rPr>
              <w:t>9</w:t>
            </w:r>
            <w:r>
              <w:rPr>
                <w:noProof/>
                <w:webHidden/>
              </w:rPr>
              <w:fldChar w:fldCharType="end"/>
            </w:r>
          </w:hyperlink>
        </w:p>
        <w:p w:rsidR="00AA60E0" w:rsidRDefault="00AA60E0">
          <w:pPr>
            <w:pStyle w:val="TOC2"/>
            <w:rPr>
              <w:rFonts w:eastAsiaTheme="minorEastAsia"/>
              <w:noProof/>
            </w:rPr>
          </w:pPr>
          <w:hyperlink w:anchor="_Toc357763456" w:history="1">
            <w:r w:rsidRPr="008B4113">
              <w:rPr>
                <w:rStyle w:val="Hyperlink"/>
                <w:noProof/>
              </w:rPr>
              <w:t>Wind Energy</w:t>
            </w:r>
            <w:r>
              <w:rPr>
                <w:noProof/>
                <w:webHidden/>
              </w:rPr>
              <w:tab/>
            </w:r>
            <w:r>
              <w:rPr>
                <w:noProof/>
                <w:webHidden/>
              </w:rPr>
              <w:fldChar w:fldCharType="begin"/>
            </w:r>
            <w:r>
              <w:rPr>
                <w:noProof/>
                <w:webHidden/>
              </w:rPr>
              <w:instrText xml:space="preserve"> PAGEREF _Toc357763456 \h </w:instrText>
            </w:r>
            <w:r>
              <w:rPr>
                <w:noProof/>
                <w:webHidden/>
              </w:rPr>
            </w:r>
            <w:r>
              <w:rPr>
                <w:noProof/>
                <w:webHidden/>
              </w:rPr>
              <w:fldChar w:fldCharType="separate"/>
            </w:r>
            <w:r>
              <w:rPr>
                <w:noProof/>
                <w:webHidden/>
              </w:rPr>
              <w:t>9</w:t>
            </w:r>
            <w:r>
              <w:rPr>
                <w:noProof/>
                <w:webHidden/>
              </w:rPr>
              <w:fldChar w:fldCharType="end"/>
            </w:r>
          </w:hyperlink>
        </w:p>
        <w:p w:rsidR="00AA60E0" w:rsidRDefault="00AA60E0">
          <w:pPr>
            <w:pStyle w:val="TOC2"/>
            <w:rPr>
              <w:rFonts w:eastAsiaTheme="minorEastAsia"/>
              <w:noProof/>
            </w:rPr>
          </w:pPr>
          <w:hyperlink w:anchor="_Toc357763457" w:history="1">
            <w:r w:rsidRPr="008B4113">
              <w:rPr>
                <w:rStyle w:val="Hyperlink"/>
                <w:noProof/>
              </w:rPr>
              <w:t>Federal Energy Management Program</w:t>
            </w:r>
            <w:r>
              <w:rPr>
                <w:noProof/>
                <w:webHidden/>
              </w:rPr>
              <w:tab/>
            </w:r>
            <w:r>
              <w:rPr>
                <w:noProof/>
                <w:webHidden/>
              </w:rPr>
              <w:fldChar w:fldCharType="begin"/>
            </w:r>
            <w:r>
              <w:rPr>
                <w:noProof/>
                <w:webHidden/>
              </w:rPr>
              <w:instrText xml:space="preserve"> PAGEREF _Toc357763457 \h </w:instrText>
            </w:r>
            <w:r>
              <w:rPr>
                <w:noProof/>
                <w:webHidden/>
              </w:rPr>
            </w:r>
            <w:r>
              <w:rPr>
                <w:noProof/>
                <w:webHidden/>
              </w:rPr>
              <w:fldChar w:fldCharType="separate"/>
            </w:r>
            <w:r>
              <w:rPr>
                <w:noProof/>
                <w:webHidden/>
              </w:rPr>
              <w:t>9</w:t>
            </w:r>
            <w:r>
              <w:rPr>
                <w:noProof/>
                <w:webHidden/>
              </w:rPr>
              <w:fldChar w:fldCharType="end"/>
            </w:r>
          </w:hyperlink>
        </w:p>
        <w:p w:rsidR="00AA60E0" w:rsidRDefault="00AA60E0">
          <w:pPr>
            <w:pStyle w:val="TOC1"/>
            <w:rPr>
              <w:rFonts w:eastAsiaTheme="minorEastAsia"/>
              <w:noProof/>
            </w:rPr>
          </w:pPr>
          <w:hyperlink w:anchor="_Toc357763458" w:history="1">
            <w:r w:rsidRPr="008B4113">
              <w:rPr>
                <w:rStyle w:val="Hyperlink"/>
                <w:noProof/>
              </w:rPr>
              <w:t>Fossil Energy (FE)</w:t>
            </w:r>
            <w:r>
              <w:rPr>
                <w:noProof/>
                <w:webHidden/>
              </w:rPr>
              <w:tab/>
            </w:r>
            <w:r>
              <w:rPr>
                <w:noProof/>
                <w:webHidden/>
              </w:rPr>
              <w:fldChar w:fldCharType="begin"/>
            </w:r>
            <w:r>
              <w:rPr>
                <w:noProof/>
                <w:webHidden/>
              </w:rPr>
              <w:instrText xml:space="preserve"> PAGEREF _Toc357763458 \h </w:instrText>
            </w:r>
            <w:r>
              <w:rPr>
                <w:noProof/>
                <w:webHidden/>
              </w:rPr>
            </w:r>
            <w:r>
              <w:rPr>
                <w:noProof/>
                <w:webHidden/>
              </w:rPr>
              <w:fldChar w:fldCharType="separate"/>
            </w:r>
            <w:r>
              <w:rPr>
                <w:noProof/>
                <w:webHidden/>
              </w:rPr>
              <w:t>10</w:t>
            </w:r>
            <w:r>
              <w:rPr>
                <w:noProof/>
                <w:webHidden/>
              </w:rPr>
              <w:fldChar w:fldCharType="end"/>
            </w:r>
          </w:hyperlink>
        </w:p>
        <w:p w:rsidR="00AA60E0" w:rsidRDefault="00AA60E0">
          <w:pPr>
            <w:pStyle w:val="TOC2"/>
            <w:rPr>
              <w:rFonts w:eastAsiaTheme="minorEastAsia"/>
              <w:noProof/>
            </w:rPr>
          </w:pPr>
          <w:hyperlink w:anchor="_Toc357763459" w:history="1">
            <w:r w:rsidRPr="008B4113">
              <w:rPr>
                <w:rStyle w:val="Hyperlink"/>
                <w:noProof/>
              </w:rPr>
              <w:t>Petroleum Reserves</w:t>
            </w:r>
            <w:r>
              <w:rPr>
                <w:noProof/>
                <w:webHidden/>
              </w:rPr>
              <w:tab/>
            </w:r>
            <w:r>
              <w:rPr>
                <w:noProof/>
                <w:webHidden/>
              </w:rPr>
              <w:fldChar w:fldCharType="begin"/>
            </w:r>
            <w:r>
              <w:rPr>
                <w:noProof/>
                <w:webHidden/>
              </w:rPr>
              <w:instrText xml:space="preserve"> PAGEREF _Toc357763459 \h </w:instrText>
            </w:r>
            <w:r>
              <w:rPr>
                <w:noProof/>
                <w:webHidden/>
              </w:rPr>
            </w:r>
            <w:r>
              <w:rPr>
                <w:noProof/>
                <w:webHidden/>
              </w:rPr>
              <w:fldChar w:fldCharType="separate"/>
            </w:r>
            <w:r>
              <w:rPr>
                <w:noProof/>
                <w:webHidden/>
              </w:rPr>
              <w:t>10</w:t>
            </w:r>
            <w:r>
              <w:rPr>
                <w:noProof/>
                <w:webHidden/>
              </w:rPr>
              <w:fldChar w:fldCharType="end"/>
            </w:r>
          </w:hyperlink>
        </w:p>
        <w:p w:rsidR="00AA60E0" w:rsidRDefault="00AA60E0">
          <w:pPr>
            <w:pStyle w:val="TOC2"/>
            <w:rPr>
              <w:rFonts w:eastAsiaTheme="minorEastAsia"/>
              <w:noProof/>
            </w:rPr>
          </w:pPr>
          <w:hyperlink w:anchor="_Toc357763460" w:history="1">
            <w:r w:rsidRPr="008B4113">
              <w:rPr>
                <w:rStyle w:val="Hyperlink"/>
                <w:noProof/>
              </w:rPr>
              <w:t>Fossil Energy R&amp;D</w:t>
            </w:r>
            <w:r>
              <w:rPr>
                <w:noProof/>
                <w:webHidden/>
              </w:rPr>
              <w:tab/>
            </w:r>
            <w:r>
              <w:rPr>
                <w:noProof/>
                <w:webHidden/>
              </w:rPr>
              <w:fldChar w:fldCharType="begin"/>
            </w:r>
            <w:r>
              <w:rPr>
                <w:noProof/>
                <w:webHidden/>
              </w:rPr>
              <w:instrText xml:space="preserve"> PAGEREF _Toc357763460 \h </w:instrText>
            </w:r>
            <w:r>
              <w:rPr>
                <w:noProof/>
                <w:webHidden/>
              </w:rPr>
            </w:r>
            <w:r>
              <w:rPr>
                <w:noProof/>
                <w:webHidden/>
              </w:rPr>
              <w:fldChar w:fldCharType="separate"/>
            </w:r>
            <w:r>
              <w:rPr>
                <w:noProof/>
                <w:webHidden/>
              </w:rPr>
              <w:t>10</w:t>
            </w:r>
            <w:r>
              <w:rPr>
                <w:noProof/>
                <w:webHidden/>
              </w:rPr>
              <w:fldChar w:fldCharType="end"/>
            </w:r>
          </w:hyperlink>
        </w:p>
        <w:p w:rsidR="00AA60E0" w:rsidRDefault="00AA60E0">
          <w:pPr>
            <w:pStyle w:val="TOC1"/>
            <w:rPr>
              <w:rFonts w:eastAsiaTheme="minorEastAsia"/>
              <w:noProof/>
            </w:rPr>
          </w:pPr>
          <w:hyperlink w:anchor="_Toc357763461" w:history="1">
            <w:r w:rsidRPr="008B4113">
              <w:rPr>
                <w:rStyle w:val="Hyperlink"/>
                <w:noProof/>
              </w:rPr>
              <w:t>Nuclear Energy (NE)</w:t>
            </w:r>
            <w:r>
              <w:rPr>
                <w:noProof/>
                <w:webHidden/>
              </w:rPr>
              <w:tab/>
            </w:r>
            <w:r>
              <w:rPr>
                <w:noProof/>
                <w:webHidden/>
              </w:rPr>
              <w:fldChar w:fldCharType="begin"/>
            </w:r>
            <w:r>
              <w:rPr>
                <w:noProof/>
                <w:webHidden/>
              </w:rPr>
              <w:instrText xml:space="preserve"> PAGEREF _Toc357763461 \h </w:instrText>
            </w:r>
            <w:r>
              <w:rPr>
                <w:noProof/>
                <w:webHidden/>
              </w:rPr>
            </w:r>
            <w:r>
              <w:rPr>
                <w:noProof/>
                <w:webHidden/>
              </w:rPr>
              <w:fldChar w:fldCharType="separate"/>
            </w:r>
            <w:r>
              <w:rPr>
                <w:noProof/>
                <w:webHidden/>
              </w:rPr>
              <w:t>11</w:t>
            </w:r>
            <w:r>
              <w:rPr>
                <w:noProof/>
                <w:webHidden/>
              </w:rPr>
              <w:fldChar w:fldCharType="end"/>
            </w:r>
          </w:hyperlink>
        </w:p>
        <w:p w:rsidR="00AA60E0" w:rsidRDefault="00AA60E0">
          <w:pPr>
            <w:pStyle w:val="TOC1"/>
            <w:rPr>
              <w:rFonts w:eastAsiaTheme="minorEastAsia"/>
              <w:noProof/>
            </w:rPr>
          </w:pPr>
          <w:hyperlink w:anchor="_Toc357763462" w:history="1">
            <w:r w:rsidRPr="008B4113">
              <w:rPr>
                <w:rStyle w:val="Hyperlink"/>
                <w:noProof/>
              </w:rPr>
              <w:t>Electricity Delivery and Energy Reliability (OE)</w:t>
            </w:r>
            <w:r>
              <w:rPr>
                <w:noProof/>
                <w:webHidden/>
              </w:rPr>
              <w:tab/>
            </w:r>
            <w:r>
              <w:rPr>
                <w:noProof/>
                <w:webHidden/>
              </w:rPr>
              <w:fldChar w:fldCharType="begin"/>
            </w:r>
            <w:r>
              <w:rPr>
                <w:noProof/>
                <w:webHidden/>
              </w:rPr>
              <w:instrText xml:space="preserve"> PAGEREF _Toc357763462 \h </w:instrText>
            </w:r>
            <w:r>
              <w:rPr>
                <w:noProof/>
                <w:webHidden/>
              </w:rPr>
            </w:r>
            <w:r>
              <w:rPr>
                <w:noProof/>
                <w:webHidden/>
              </w:rPr>
              <w:fldChar w:fldCharType="separate"/>
            </w:r>
            <w:r>
              <w:rPr>
                <w:noProof/>
                <w:webHidden/>
              </w:rPr>
              <w:t>11</w:t>
            </w:r>
            <w:r>
              <w:rPr>
                <w:noProof/>
                <w:webHidden/>
              </w:rPr>
              <w:fldChar w:fldCharType="end"/>
            </w:r>
          </w:hyperlink>
        </w:p>
        <w:p w:rsidR="00AA60E0" w:rsidRDefault="00AA60E0">
          <w:pPr>
            <w:pStyle w:val="TOC1"/>
            <w:rPr>
              <w:rFonts w:eastAsiaTheme="minorEastAsia"/>
              <w:noProof/>
            </w:rPr>
          </w:pPr>
          <w:hyperlink w:anchor="_Toc357763463" w:history="1">
            <w:r w:rsidRPr="008B4113">
              <w:rPr>
                <w:rStyle w:val="Hyperlink"/>
                <w:noProof/>
              </w:rPr>
              <w:t>Bonneville Power Administration (BPA)</w:t>
            </w:r>
            <w:r>
              <w:rPr>
                <w:noProof/>
                <w:webHidden/>
              </w:rPr>
              <w:tab/>
            </w:r>
            <w:r>
              <w:rPr>
                <w:noProof/>
                <w:webHidden/>
              </w:rPr>
              <w:fldChar w:fldCharType="begin"/>
            </w:r>
            <w:r>
              <w:rPr>
                <w:noProof/>
                <w:webHidden/>
              </w:rPr>
              <w:instrText xml:space="preserve"> PAGEREF _Toc357763463 \h </w:instrText>
            </w:r>
            <w:r>
              <w:rPr>
                <w:noProof/>
                <w:webHidden/>
              </w:rPr>
            </w:r>
            <w:r>
              <w:rPr>
                <w:noProof/>
                <w:webHidden/>
              </w:rPr>
              <w:fldChar w:fldCharType="separate"/>
            </w:r>
            <w:r>
              <w:rPr>
                <w:noProof/>
                <w:webHidden/>
              </w:rPr>
              <w:t>12</w:t>
            </w:r>
            <w:r>
              <w:rPr>
                <w:noProof/>
                <w:webHidden/>
              </w:rPr>
              <w:fldChar w:fldCharType="end"/>
            </w:r>
          </w:hyperlink>
        </w:p>
        <w:p w:rsidR="00AA60E0" w:rsidRDefault="00AA60E0">
          <w:pPr>
            <w:pStyle w:val="TOC1"/>
            <w:rPr>
              <w:rFonts w:eastAsiaTheme="minorEastAsia"/>
              <w:noProof/>
            </w:rPr>
          </w:pPr>
          <w:hyperlink w:anchor="_Toc357763464" w:history="1">
            <w:r w:rsidRPr="008B4113">
              <w:rPr>
                <w:rStyle w:val="Hyperlink"/>
                <w:noProof/>
              </w:rPr>
              <w:t>Southeastern Power Administration (SEPA)</w:t>
            </w:r>
            <w:r>
              <w:rPr>
                <w:noProof/>
                <w:webHidden/>
              </w:rPr>
              <w:tab/>
            </w:r>
            <w:r>
              <w:rPr>
                <w:noProof/>
                <w:webHidden/>
              </w:rPr>
              <w:fldChar w:fldCharType="begin"/>
            </w:r>
            <w:r>
              <w:rPr>
                <w:noProof/>
                <w:webHidden/>
              </w:rPr>
              <w:instrText xml:space="preserve"> PAGEREF _Toc357763464 \h </w:instrText>
            </w:r>
            <w:r>
              <w:rPr>
                <w:noProof/>
                <w:webHidden/>
              </w:rPr>
            </w:r>
            <w:r>
              <w:rPr>
                <w:noProof/>
                <w:webHidden/>
              </w:rPr>
              <w:fldChar w:fldCharType="separate"/>
            </w:r>
            <w:r>
              <w:rPr>
                <w:noProof/>
                <w:webHidden/>
              </w:rPr>
              <w:t>12</w:t>
            </w:r>
            <w:r>
              <w:rPr>
                <w:noProof/>
                <w:webHidden/>
              </w:rPr>
              <w:fldChar w:fldCharType="end"/>
            </w:r>
          </w:hyperlink>
        </w:p>
        <w:p w:rsidR="00AA60E0" w:rsidRDefault="00AA60E0">
          <w:pPr>
            <w:pStyle w:val="TOC1"/>
            <w:rPr>
              <w:rFonts w:eastAsiaTheme="minorEastAsia"/>
              <w:noProof/>
            </w:rPr>
          </w:pPr>
          <w:hyperlink w:anchor="_Toc357763465" w:history="1">
            <w:r w:rsidRPr="008B4113">
              <w:rPr>
                <w:rStyle w:val="Hyperlink"/>
                <w:noProof/>
              </w:rPr>
              <w:t>Southwestern Power Administration (SWPA)</w:t>
            </w:r>
            <w:r>
              <w:rPr>
                <w:noProof/>
                <w:webHidden/>
              </w:rPr>
              <w:tab/>
            </w:r>
            <w:r>
              <w:rPr>
                <w:noProof/>
                <w:webHidden/>
              </w:rPr>
              <w:fldChar w:fldCharType="begin"/>
            </w:r>
            <w:r>
              <w:rPr>
                <w:noProof/>
                <w:webHidden/>
              </w:rPr>
              <w:instrText xml:space="preserve"> PAGEREF _Toc357763465 \h </w:instrText>
            </w:r>
            <w:r>
              <w:rPr>
                <w:noProof/>
                <w:webHidden/>
              </w:rPr>
            </w:r>
            <w:r>
              <w:rPr>
                <w:noProof/>
                <w:webHidden/>
              </w:rPr>
              <w:fldChar w:fldCharType="separate"/>
            </w:r>
            <w:r>
              <w:rPr>
                <w:noProof/>
                <w:webHidden/>
              </w:rPr>
              <w:t>13</w:t>
            </w:r>
            <w:r>
              <w:rPr>
                <w:noProof/>
                <w:webHidden/>
              </w:rPr>
              <w:fldChar w:fldCharType="end"/>
            </w:r>
          </w:hyperlink>
        </w:p>
        <w:p w:rsidR="00AA60E0" w:rsidRDefault="00AA60E0">
          <w:pPr>
            <w:pStyle w:val="TOC1"/>
            <w:rPr>
              <w:rFonts w:eastAsiaTheme="minorEastAsia"/>
              <w:noProof/>
            </w:rPr>
          </w:pPr>
          <w:hyperlink w:anchor="_Toc357763466" w:history="1">
            <w:r w:rsidRPr="008B4113">
              <w:rPr>
                <w:rStyle w:val="Hyperlink"/>
                <w:noProof/>
              </w:rPr>
              <w:t>Western Area Power Administration (WAPA)</w:t>
            </w:r>
            <w:r>
              <w:rPr>
                <w:noProof/>
                <w:webHidden/>
              </w:rPr>
              <w:tab/>
            </w:r>
            <w:r>
              <w:rPr>
                <w:noProof/>
                <w:webHidden/>
              </w:rPr>
              <w:fldChar w:fldCharType="begin"/>
            </w:r>
            <w:r>
              <w:rPr>
                <w:noProof/>
                <w:webHidden/>
              </w:rPr>
              <w:instrText xml:space="preserve"> PAGEREF _Toc357763466 \h </w:instrText>
            </w:r>
            <w:r>
              <w:rPr>
                <w:noProof/>
                <w:webHidden/>
              </w:rPr>
            </w:r>
            <w:r>
              <w:rPr>
                <w:noProof/>
                <w:webHidden/>
              </w:rPr>
              <w:fldChar w:fldCharType="separate"/>
            </w:r>
            <w:r>
              <w:rPr>
                <w:noProof/>
                <w:webHidden/>
              </w:rPr>
              <w:t>13</w:t>
            </w:r>
            <w:r>
              <w:rPr>
                <w:noProof/>
                <w:webHidden/>
              </w:rPr>
              <w:fldChar w:fldCharType="end"/>
            </w:r>
          </w:hyperlink>
        </w:p>
        <w:p w:rsidR="00AA60E0" w:rsidRDefault="00AA60E0">
          <w:pPr>
            <w:pStyle w:val="TOC1"/>
            <w:rPr>
              <w:rFonts w:eastAsiaTheme="minorEastAsia"/>
              <w:noProof/>
            </w:rPr>
          </w:pPr>
          <w:hyperlink w:anchor="_Toc357763467" w:history="1">
            <w:r w:rsidRPr="008B4113">
              <w:rPr>
                <w:rStyle w:val="Hyperlink"/>
                <w:noProof/>
              </w:rPr>
              <w:t>Loan Programs (LP)</w:t>
            </w:r>
            <w:r>
              <w:rPr>
                <w:noProof/>
                <w:webHidden/>
              </w:rPr>
              <w:tab/>
            </w:r>
            <w:r>
              <w:rPr>
                <w:noProof/>
                <w:webHidden/>
              </w:rPr>
              <w:fldChar w:fldCharType="begin"/>
            </w:r>
            <w:r>
              <w:rPr>
                <w:noProof/>
                <w:webHidden/>
              </w:rPr>
              <w:instrText xml:space="preserve"> PAGEREF _Toc357763467 \h </w:instrText>
            </w:r>
            <w:r>
              <w:rPr>
                <w:noProof/>
                <w:webHidden/>
              </w:rPr>
            </w:r>
            <w:r>
              <w:rPr>
                <w:noProof/>
                <w:webHidden/>
              </w:rPr>
              <w:fldChar w:fldCharType="separate"/>
            </w:r>
            <w:r>
              <w:rPr>
                <w:noProof/>
                <w:webHidden/>
              </w:rPr>
              <w:t>13</w:t>
            </w:r>
            <w:r>
              <w:rPr>
                <w:noProof/>
                <w:webHidden/>
              </w:rPr>
              <w:fldChar w:fldCharType="end"/>
            </w:r>
          </w:hyperlink>
        </w:p>
        <w:p w:rsidR="00AA60E0" w:rsidRDefault="00AA60E0">
          <w:pPr>
            <w:pStyle w:val="TOC1"/>
            <w:rPr>
              <w:rFonts w:eastAsiaTheme="minorEastAsia"/>
              <w:noProof/>
            </w:rPr>
          </w:pPr>
          <w:hyperlink w:anchor="_Toc357763468" w:history="1">
            <w:r w:rsidRPr="008B4113">
              <w:rPr>
                <w:rStyle w:val="Hyperlink"/>
                <w:noProof/>
              </w:rPr>
              <w:t>Advanced Research Projects Agency-Energy (ARPA-E)</w:t>
            </w:r>
            <w:r>
              <w:rPr>
                <w:noProof/>
                <w:webHidden/>
              </w:rPr>
              <w:tab/>
            </w:r>
            <w:r>
              <w:rPr>
                <w:noProof/>
                <w:webHidden/>
              </w:rPr>
              <w:fldChar w:fldCharType="begin"/>
            </w:r>
            <w:r>
              <w:rPr>
                <w:noProof/>
                <w:webHidden/>
              </w:rPr>
              <w:instrText xml:space="preserve"> PAGEREF _Toc357763468 \h </w:instrText>
            </w:r>
            <w:r>
              <w:rPr>
                <w:noProof/>
                <w:webHidden/>
              </w:rPr>
            </w:r>
            <w:r>
              <w:rPr>
                <w:noProof/>
                <w:webHidden/>
              </w:rPr>
              <w:fldChar w:fldCharType="separate"/>
            </w:r>
            <w:r>
              <w:rPr>
                <w:noProof/>
                <w:webHidden/>
              </w:rPr>
              <w:t>14</w:t>
            </w:r>
            <w:r>
              <w:rPr>
                <w:noProof/>
                <w:webHidden/>
              </w:rPr>
              <w:fldChar w:fldCharType="end"/>
            </w:r>
          </w:hyperlink>
        </w:p>
        <w:p w:rsidR="00AA60E0" w:rsidRDefault="00AA60E0">
          <w:pPr>
            <w:pStyle w:val="TOC1"/>
            <w:rPr>
              <w:rFonts w:eastAsiaTheme="minorEastAsia"/>
              <w:noProof/>
            </w:rPr>
          </w:pPr>
          <w:hyperlink w:anchor="_Toc357763469" w:history="1">
            <w:r w:rsidRPr="008B4113">
              <w:rPr>
                <w:rStyle w:val="Hyperlink"/>
                <w:noProof/>
              </w:rPr>
              <w:t>Energy Information Administration (EIA)</w:t>
            </w:r>
            <w:r>
              <w:rPr>
                <w:noProof/>
                <w:webHidden/>
              </w:rPr>
              <w:tab/>
            </w:r>
            <w:r>
              <w:rPr>
                <w:noProof/>
                <w:webHidden/>
              </w:rPr>
              <w:fldChar w:fldCharType="begin"/>
            </w:r>
            <w:r>
              <w:rPr>
                <w:noProof/>
                <w:webHidden/>
              </w:rPr>
              <w:instrText xml:space="preserve"> PAGEREF _Toc357763469 \h </w:instrText>
            </w:r>
            <w:r>
              <w:rPr>
                <w:noProof/>
                <w:webHidden/>
              </w:rPr>
            </w:r>
            <w:r>
              <w:rPr>
                <w:noProof/>
                <w:webHidden/>
              </w:rPr>
              <w:fldChar w:fldCharType="separate"/>
            </w:r>
            <w:r>
              <w:rPr>
                <w:noProof/>
                <w:webHidden/>
              </w:rPr>
              <w:t>14</w:t>
            </w:r>
            <w:r>
              <w:rPr>
                <w:noProof/>
                <w:webHidden/>
              </w:rPr>
              <w:fldChar w:fldCharType="end"/>
            </w:r>
          </w:hyperlink>
        </w:p>
        <w:p w:rsidR="00AA60E0" w:rsidRDefault="00AA60E0">
          <w:pPr>
            <w:pStyle w:val="TOC1"/>
            <w:rPr>
              <w:rFonts w:eastAsiaTheme="minorEastAsia"/>
              <w:noProof/>
            </w:rPr>
          </w:pPr>
          <w:hyperlink w:anchor="_Toc357763470" w:history="1">
            <w:r w:rsidRPr="008B4113">
              <w:rPr>
                <w:rStyle w:val="Hyperlink"/>
                <w:noProof/>
              </w:rPr>
              <w:t>Science (SC)</w:t>
            </w:r>
            <w:r>
              <w:rPr>
                <w:noProof/>
                <w:webHidden/>
              </w:rPr>
              <w:tab/>
            </w:r>
            <w:r>
              <w:rPr>
                <w:noProof/>
                <w:webHidden/>
              </w:rPr>
              <w:fldChar w:fldCharType="begin"/>
            </w:r>
            <w:r>
              <w:rPr>
                <w:noProof/>
                <w:webHidden/>
              </w:rPr>
              <w:instrText xml:space="preserve"> PAGEREF _Toc357763470 \h </w:instrText>
            </w:r>
            <w:r>
              <w:rPr>
                <w:noProof/>
                <w:webHidden/>
              </w:rPr>
            </w:r>
            <w:r>
              <w:rPr>
                <w:noProof/>
                <w:webHidden/>
              </w:rPr>
              <w:fldChar w:fldCharType="separate"/>
            </w:r>
            <w:r>
              <w:rPr>
                <w:noProof/>
                <w:webHidden/>
              </w:rPr>
              <w:t>15</w:t>
            </w:r>
            <w:r>
              <w:rPr>
                <w:noProof/>
                <w:webHidden/>
              </w:rPr>
              <w:fldChar w:fldCharType="end"/>
            </w:r>
          </w:hyperlink>
        </w:p>
        <w:p w:rsidR="00AA60E0" w:rsidRDefault="00AA60E0">
          <w:pPr>
            <w:pStyle w:val="TOC2"/>
            <w:rPr>
              <w:rFonts w:eastAsiaTheme="minorEastAsia"/>
              <w:noProof/>
            </w:rPr>
          </w:pPr>
          <w:hyperlink w:anchor="_Toc357763471" w:history="1">
            <w:r w:rsidRPr="008B4113">
              <w:rPr>
                <w:rStyle w:val="Hyperlink"/>
                <w:noProof/>
              </w:rPr>
              <w:t>Advanced Scientific Computing Research</w:t>
            </w:r>
            <w:r>
              <w:rPr>
                <w:noProof/>
                <w:webHidden/>
              </w:rPr>
              <w:tab/>
            </w:r>
            <w:r>
              <w:rPr>
                <w:noProof/>
                <w:webHidden/>
              </w:rPr>
              <w:fldChar w:fldCharType="begin"/>
            </w:r>
            <w:r>
              <w:rPr>
                <w:noProof/>
                <w:webHidden/>
              </w:rPr>
              <w:instrText xml:space="preserve"> PAGEREF _Toc357763471 \h </w:instrText>
            </w:r>
            <w:r>
              <w:rPr>
                <w:noProof/>
                <w:webHidden/>
              </w:rPr>
            </w:r>
            <w:r>
              <w:rPr>
                <w:noProof/>
                <w:webHidden/>
              </w:rPr>
              <w:fldChar w:fldCharType="separate"/>
            </w:r>
            <w:r>
              <w:rPr>
                <w:noProof/>
                <w:webHidden/>
              </w:rPr>
              <w:t>15</w:t>
            </w:r>
            <w:r>
              <w:rPr>
                <w:noProof/>
                <w:webHidden/>
              </w:rPr>
              <w:fldChar w:fldCharType="end"/>
            </w:r>
          </w:hyperlink>
        </w:p>
        <w:p w:rsidR="00AA60E0" w:rsidRDefault="00AA60E0">
          <w:pPr>
            <w:pStyle w:val="TOC2"/>
            <w:rPr>
              <w:rFonts w:eastAsiaTheme="minorEastAsia"/>
              <w:noProof/>
            </w:rPr>
          </w:pPr>
          <w:hyperlink w:anchor="_Toc357763472" w:history="1">
            <w:r w:rsidRPr="008B4113">
              <w:rPr>
                <w:rStyle w:val="Hyperlink"/>
                <w:noProof/>
              </w:rPr>
              <w:t>Basic Energy Sciences</w:t>
            </w:r>
            <w:r>
              <w:rPr>
                <w:noProof/>
                <w:webHidden/>
              </w:rPr>
              <w:tab/>
            </w:r>
            <w:r>
              <w:rPr>
                <w:noProof/>
                <w:webHidden/>
              </w:rPr>
              <w:fldChar w:fldCharType="begin"/>
            </w:r>
            <w:r>
              <w:rPr>
                <w:noProof/>
                <w:webHidden/>
              </w:rPr>
              <w:instrText xml:space="preserve"> PAGEREF _Toc357763472 \h </w:instrText>
            </w:r>
            <w:r>
              <w:rPr>
                <w:noProof/>
                <w:webHidden/>
              </w:rPr>
            </w:r>
            <w:r>
              <w:rPr>
                <w:noProof/>
                <w:webHidden/>
              </w:rPr>
              <w:fldChar w:fldCharType="separate"/>
            </w:r>
            <w:r>
              <w:rPr>
                <w:noProof/>
                <w:webHidden/>
              </w:rPr>
              <w:t>15</w:t>
            </w:r>
            <w:r>
              <w:rPr>
                <w:noProof/>
                <w:webHidden/>
              </w:rPr>
              <w:fldChar w:fldCharType="end"/>
            </w:r>
          </w:hyperlink>
        </w:p>
        <w:p w:rsidR="00AA60E0" w:rsidRDefault="00AA60E0">
          <w:pPr>
            <w:pStyle w:val="TOC2"/>
            <w:rPr>
              <w:rFonts w:eastAsiaTheme="minorEastAsia"/>
              <w:noProof/>
            </w:rPr>
          </w:pPr>
          <w:hyperlink w:anchor="_Toc357763473" w:history="1">
            <w:r w:rsidRPr="008B4113">
              <w:rPr>
                <w:rStyle w:val="Hyperlink"/>
                <w:noProof/>
              </w:rPr>
              <w:t>Biological and Environmental Research</w:t>
            </w:r>
            <w:r>
              <w:rPr>
                <w:noProof/>
                <w:webHidden/>
              </w:rPr>
              <w:tab/>
            </w:r>
            <w:r>
              <w:rPr>
                <w:noProof/>
                <w:webHidden/>
              </w:rPr>
              <w:fldChar w:fldCharType="begin"/>
            </w:r>
            <w:r>
              <w:rPr>
                <w:noProof/>
                <w:webHidden/>
              </w:rPr>
              <w:instrText xml:space="preserve"> PAGEREF _Toc357763473 \h </w:instrText>
            </w:r>
            <w:r>
              <w:rPr>
                <w:noProof/>
                <w:webHidden/>
              </w:rPr>
            </w:r>
            <w:r>
              <w:rPr>
                <w:noProof/>
                <w:webHidden/>
              </w:rPr>
              <w:fldChar w:fldCharType="separate"/>
            </w:r>
            <w:r>
              <w:rPr>
                <w:noProof/>
                <w:webHidden/>
              </w:rPr>
              <w:t>15</w:t>
            </w:r>
            <w:r>
              <w:rPr>
                <w:noProof/>
                <w:webHidden/>
              </w:rPr>
              <w:fldChar w:fldCharType="end"/>
            </w:r>
          </w:hyperlink>
        </w:p>
        <w:p w:rsidR="00AA60E0" w:rsidRDefault="00AA60E0">
          <w:pPr>
            <w:pStyle w:val="TOC2"/>
            <w:rPr>
              <w:rFonts w:eastAsiaTheme="minorEastAsia"/>
              <w:noProof/>
            </w:rPr>
          </w:pPr>
          <w:hyperlink w:anchor="_Toc357763474" w:history="1">
            <w:r w:rsidRPr="008B4113">
              <w:rPr>
                <w:rStyle w:val="Hyperlink"/>
                <w:noProof/>
              </w:rPr>
              <w:t>Fusion Energy Sciences</w:t>
            </w:r>
            <w:r>
              <w:rPr>
                <w:noProof/>
                <w:webHidden/>
              </w:rPr>
              <w:tab/>
            </w:r>
            <w:r>
              <w:rPr>
                <w:noProof/>
                <w:webHidden/>
              </w:rPr>
              <w:fldChar w:fldCharType="begin"/>
            </w:r>
            <w:r>
              <w:rPr>
                <w:noProof/>
                <w:webHidden/>
              </w:rPr>
              <w:instrText xml:space="preserve"> PAGEREF _Toc357763474 \h </w:instrText>
            </w:r>
            <w:r>
              <w:rPr>
                <w:noProof/>
                <w:webHidden/>
              </w:rPr>
            </w:r>
            <w:r>
              <w:rPr>
                <w:noProof/>
                <w:webHidden/>
              </w:rPr>
              <w:fldChar w:fldCharType="separate"/>
            </w:r>
            <w:r>
              <w:rPr>
                <w:noProof/>
                <w:webHidden/>
              </w:rPr>
              <w:t>15</w:t>
            </w:r>
            <w:r>
              <w:rPr>
                <w:noProof/>
                <w:webHidden/>
              </w:rPr>
              <w:fldChar w:fldCharType="end"/>
            </w:r>
          </w:hyperlink>
        </w:p>
        <w:p w:rsidR="00AA60E0" w:rsidRDefault="00AA60E0">
          <w:pPr>
            <w:pStyle w:val="TOC2"/>
            <w:rPr>
              <w:rFonts w:eastAsiaTheme="minorEastAsia"/>
              <w:noProof/>
            </w:rPr>
          </w:pPr>
          <w:hyperlink w:anchor="_Toc357763475" w:history="1">
            <w:r w:rsidRPr="008B4113">
              <w:rPr>
                <w:rStyle w:val="Hyperlink"/>
                <w:noProof/>
              </w:rPr>
              <w:t>High Energy Physics</w:t>
            </w:r>
            <w:r>
              <w:rPr>
                <w:noProof/>
                <w:webHidden/>
              </w:rPr>
              <w:tab/>
            </w:r>
            <w:r>
              <w:rPr>
                <w:noProof/>
                <w:webHidden/>
              </w:rPr>
              <w:fldChar w:fldCharType="begin"/>
            </w:r>
            <w:r>
              <w:rPr>
                <w:noProof/>
                <w:webHidden/>
              </w:rPr>
              <w:instrText xml:space="preserve"> PAGEREF _Toc357763475 \h </w:instrText>
            </w:r>
            <w:r>
              <w:rPr>
                <w:noProof/>
                <w:webHidden/>
              </w:rPr>
            </w:r>
            <w:r>
              <w:rPr>
                <w:noProof/>
                <w:webHidden/>
              </w:rPr>
              <w:fldChar w:fldCharType="separate"/>
            </w:r>
            <w:r>
              <w:rPr>
                <w:noProof/>
                <w:webHidden/>
              </w:rPr>
              <w:t>16</w:t>
            </w:r>
            <w:r>
              <w:rPr>
                <w:noProof/>
                <w:webHidden/>
              </w:rPr>
              <w:fldChar w:fldCharType="end"/>
            </w:r>
          </w:hyperlink>
        </w:p>
        <w:p w:rsidR="00AA60E0" w:rsidRDefault="00AA60E0">
          <w:pPr>
            <w:pStyle w:val="TOC2"/>
            <w:rPr>
              <w:rFonts w:eastAsiaTheme="minorEastAsia"/>
              <w:noProof/>
            </w:rPr>
          </w:pPr>
          <w:hyperlink w:anchor="_Toc357763476" w:history="1">
            <w:r w:rsidRPr="008B4113">
              <w:rPr>
                <w:rStyle w:val="Hyperlink"/>
                <w:noProof/>
              </w:rPr>
              <w:t>Nuclear Physics</w:t>
            </w:r>
            <w:r>
              <w:rPr>
                <w:noProof/>
                <w:webHidden/>
              </w:rPr>
              <w:tab/>
            </w:r>
            <w:r>
              <w:rPr>
                <w:noProof/>
                <w:webHidden/>
              </w:rPr>
              <w:fldChar w:fldCharType="begin"/>
            </w:r>
            <w:r>
              <w:rPr>
                <w:noProof/>
                <w:webHidden/>
              </w:rPr>
              <w:instrText xml:space="preserve"> PAGEREF _Toc357763476 \h </w:instrText>
            </w:r>
            <w:r>
              <w:rPr>
                <w:noProof/>
                <w:webHidden/>
              </w:rPr>
            </w:r>
            <w:r>
              <w:rPr>
                <w:noProof/>
                <w:webHidden/>
              </w:rPr>
              <w:fldChar w:fldCharType="separate"/>
            </w:r>
            <w:r>
              <w:rPr>
                <w:noProof/>
                <w:webHidden/>
              </w:rPr>
              <w:t>16</w:t>
            </w:r>
            <w:r>
              <w:rPr>
                <w:noProof/>
                <w:webHidden/>
              </w:rPr>
              <w:fldChar w:fldCharType="end"/>
            </w:r>
          </w:hyperlink>
        </w:p>
        <w:p w:rsidR="00AA60E0" w:rsidRDefault="00AA60E0">
          <w:pPr>
            <w:pStyle w:val="TOC2"/>
            <w:rPr>
              <w:rFonts w:eastAsiaTheme="minorEastAsia"/>
              <w:noProof/>
            </w:rPr>
          </w:pPr>
          <w:hyperlink w:anchor="_Toc357763477" w:history="1">
            <w:r w:rsidRPr="008B4113">
              <w:rPr>
                <w:rStyle w:val="Hyperlink"/>
                <w:noProof/>
              </w:rPr>
              <w:t>Workforce Development for Teachers and Scientists</w:t>
            </w:r>
            <w:r>
              <w:rPr>
                <w:noProof/>
                <w:webHidden/>
              </w:rPr>
              <w:tab/>
            </w:r>
            <w:r>
              <w:rPr>
                <w:noProof/>
                <w:webHidden/>
              </w:rPr>
              <w:fldChar w:fldCharType="begin"/>
            </w:r>
            <w:r>
              <w:rPr>
                <w:noProof/>
                <w:webHidden/>
              </w:rPr>
              <w:instrText xml:space="preserve"> PAGEREF _Toc357763477 \h </w:instrText>
            </w:r>
            <w:r>
              <w:rPr>
                <w:noProof/>
                <w:webHidden/>
              </w:rPr>
            </w:r>
            <w:r>
              <w:rPr>
                <w:noProof/>
                <w:webHidden/>
              </w:rPr>
              <w:fldChar w:fldCharType="separate"/>
            </w:r>
            <w:r>
              <w:rPr>
                <w:noProof/>
                <w:webHidden/>
              </w:rPr>
              <w:t>16</w:t>
            </w:r>
            <w:r>
              <w:rPr>
                <w:noProof/>
                <w:webHidden/>
              </w:rPr>
              <w:fldChar w:fldCharType="end"/>
            </w:r>
          </w:hyperlink>
        </w:p>
        <w:p w:rsidR="00AA60E0" w:rsidRDefault="00AA60E0">
          <w:pPr>
            <w:pStyle w:val="TOC1"/>
            <w:rPr>
              <w:rFonts w:eastAsiaTheme="minorEastAsia"/>
              <w:noProof/>
            </w:rPr>
          </w:pPr>
          <w:hyperlink w:anchor="_Toc357763478" w:history="1">
            <w:r w:rsidRPr="008B4113">
              <w:rPr>
                <w:rStyle w:val="Hyperlink"/>
                <w:noProof/>
              </w:rPr>
              <w:t>National Nuclear Security Administration (NNSA)</w:t>
            </w:r>
            <w:r>
              <w:rPr>
                <w:noProof/>
                <w:webHidden/>
              </w:rPr>
              <w:tab/>
            </w:r>
            <w:r>
              <w:rPr>
                <w:noProof/>
                <w:webHidden/>
              </w:rPr>
              <w:fldChar w:fldCharType="begin"/>
            </w:r>
            <w:r>
              <w:rPr>
                <w:noProof/>
                <w:webHidden/>
              </w:rPr>
              <w:instrText xml:space="preserve"> PAGEREF _Toc357763478 \h </w:instrText>
            </w:r>
            <w:r>
              <w:rPr>
                <w:noProof/>
                <w:webHidden/>
              </w:rPr>
            </w:r>
            <w:r>
              <w:rPr>
                <w:noProof/>
                <w:webHidden/>
              </w:rPr>
              <w:fldChar w:fldCharType="separate"/>
            </w:r>
            <w:r>
              <w:rPr>
                <w:noProof/>
                <w:webHidden/>
              </w:rPr>
              <w:t>16</w:t>
            </w:r>
            <w:r>
              <w:rPr>
                <w:noProof/>
                <w:webHidden/>
              </w:rPr>
              <w:fldChar w:fldCharType="end"/>
            </w:r>
          </w:hyperlink>
        </w:p>
        <w:p w:rsidR="00AA60E0" w:rsidRDefault="00AA60E0">
          <w:pPr>
            <w:pStyle w:val="TOC2"/>
            <w:rPr>
              <w:rFonts w:eastAsiaTheme="minorEastAsia"/>
              <w:noProof/>
            </w:rPr>
          </w:pPr>
          <w:hyperlink w:anchor="_Toc357763479" w:history="1">
            <w:r w:rsidRPr="008B4113">
              <w:rPr>
                <w:rStyle w:val="Hyperlink"/>
                <w:noProof/>
              </w:rPr>
              <w:t>Directed Stockpile Work</w:t>
            </w:r>
            <w:r>
              <w:rPr>
                <w:noProof/>
                <w:webHidden/>
              </w:rPr>
              <w:tab/>
            </w:r>
            <w:r>
              <w:rPr>
                <w:noProof/>
                <w:webHidden/>
              </w:rPr>
              <w:fldChar w:fldCharType="begin"/>
            </w:r>
            <w:r>
              <w:rPr>
                <w:noProof/>
                <w:webHidden/>
              </w:rPr>
              <w:instrText xml:space="preserve"> PAGEREF _Toc357763479 \h </w:instrText>
            </w:r>
            <w:r>
              <w:rPr>
                <w:noProof/>
                <w:webHidden/>
              </w:rPr>
            </w:r>
            <w:r>
              <w:rPr>
                <w:noProof/>
                <w:webHidden/>
              </w:rPr>
              <w:fldChar w:fldCharType="separate"/>
            </w:r>
            <w:r>
              <w:rPr>
                <w:noProof/>
                <w:webHidden/>
              </w:rPr>
              <w:t>17</w:t>
            </w:r>
            <w:r>
              <w:rPr>
                <w:noProof/>
                <w:webHidden/>
              </w:rPr>
              <w:fldChar w:fldCharType="end"/>
            </w:r>
          </w:hyperlink>
        </w:p>
        <w:p w:rsidR="00AA60E0" w:rsidRDefault="00AA60E0">
          <w:pPr>
            <w:pStyle w:val="TOC2"/>
            <w:rPr>
              <w:rFonts w:eastAsiaTheme="minorEastAsia"/>
              <w:noProof/>
            </w:rPr>
          </w:pPr>
          <w:hyperlink w:anchor="_Toc357763480" w:history="1">
            <w:r w:rsidRPr="008B4113">
              <w:rPr>
                <w:rStyle w:val="Hyperlink"/>
                <w:noProof/>
              </w:rPr>
              <w:t>Science Campaign</w:t>
            </w:r>
            <w:r>
              <w:rPr>
                <w:noProof/>
                <w:webHidden/>
              </w:rPr>
              <w:tab/>
            </w:r>
            <w:r>
              <w:rPr>
                <w:noProof/>
                <w:webHidden/>
              </w:rPr>
              <w:fldChar w:fldCharType="begin"/>
            </w:r>
            <w:r>
              <w:rPr>
                <w:noProof/>
                <w:webHidden/>
              </w:rPr>
              <w:instrText xml:space="preserve"> PAGEREF _Toc357763480 \h </w:instrText>
            </w:r>
            <w:r>
              <w:rPr>
                <w:noProof/>
                <w:webHidden/>
              </w:rPr>
            </w:r>
            <w:r>
              <w:rPr>
                <w:noProof/>
                <w:webHidden/>
              </w:rPr>
              <w:fldChar w:fldCharType="separate"/>
            </w:r>
            <w:r>
              <w:rPr>
                <w:noProof/>
                <w:webHidden/>
              </w:rPr>
              <w:t>17</w:t>
            </w:r>
            <w:r>
              <w:rPr>
                <w:noProof/>
                <w:webHidden/>
              </w:rPr>
              <w:fldChar w:fldCharType="end"/>
            </w:r>
          </w:hyperlink>
        </w:p>
        <w:p w:rsidR="00AA60E0" w:rsidRDefault="00AA60E0">
          <w:pPr>
            <w:pStyle w:val="TOC2"/>
            <w:rPr>
              <w:rFonts w:eastAsiaTheme="minorEastAsia"/>
              <w:noProof/>
            </w:rPr>
          </w:pPr>
          <w:hyperlink w:anchor="_Toc357763481" w:history="1">
            <w:r w:rsidRPr="008B4113">
              <w:rPr>
                <w:rStyle w:val="Hyperlink"/>
                <w:noProof/>
              </w:rPr>
              <w:t>Engineering Campaign</w:t>
            </w:r>
            <w:r>
              <w:rPr>
                <w:noProof/>
                <w:webHidden/>
              </w:rPr>
              <w:tab/>
            </w:r>
            <w:r>
              <w:rPr>
                <w:noProof/>
                <w:webHidden/>
              </w:rPr>
              <w:fldChar w:fldCharType="begin"/>
            </w:r>
            <w:r>
              <w:rPr>
                <w:noProof/>
                <w:webHidden/>
              </w:rPr>
              <w:instrText xml:space="preserve"> PAGEREF _Toc357763481 \h </w:instrText>
            </w:r>
            <w:r>
              <w:rPr>
                <w:noProof/>
                <w:webHidden/>
              </w:rPr>
            </w:r>
            <w:r>
              <w:rPr>
                <w:noProof/>
                <w:webHidden/>
              </w:rPr>
              <w:fldChar w:fldCharType="separate"/>
            </w:r>
            <w:r>
              <w:rPr>
                <w:noProof/>
                <w:webHidden/>
              </w:rPr>
              <w:t>17</w:t>
            </w:r>
            <w:r>
              <w:rPr>
                <w:noProof/>
                <w:webHidden/>
              </w:rPr>
              <w:fldChar w:fldCharType="end"/>
            </w:r>
          </w:hyperlink>
        </w:p>
        <w:p w:rsidR="00AA60E0" w:rsidRDefault="00AA60E0">
          <w:pPr>
            <w:pStyle w:val="TOC2"/>
            <w:rPr>
              <w:rFonts w:eastAsiaTheme="minorEastAsia"/>
              <w:noProof/>
            </w:rPr>
          </w:pPr>
          <w:hyperlink w:anchor="_Toc357763482" w:history="1">
            <w:r w:rsidRPr="008B4113">
              <w:rPr>
                <w:rStyle w:val="Hyperlink"/>
                <w:noProof/>
              </w:rPr>
              <w:t>Inertial Confinement Fusion Ignition and High Yield Campaign</w:t>
            </w:r>
            <w:r>
              <w:rPr>
                <w:noProof/>
                <w:webHidden/>
              </w:rPr>
              <w:tab/>
            </w:r>
            <w:r>
              <w:rPr>
                <w:noProof/>
                <w:webHidden/>
              </w:rPr>
              <w:fldChar w:fldCharType="begin"/>
            </w:r>
            <w:r>
              <w:rPr>
                <w:noProof/>
                <w:webHidden/>
              </w:rPr>
              <w:instrText xml:space="preserve"> PAGEREF _Toc357763482 \h </w:instrText>
            </w:r>
            <w:r>
              <w:rPr>
                <w:noProof/>
                <w:webHidden/>
              </w:rPr>
            </w:r>
            <w:r>
              <w:rPr>
                <w:noProof/>
                <w:webHidden/>
              </w:rPr>
              <w:fldChar w:fldCharType="separate"/>
            </w:r>
            <w:r>
              <w:rPr>
                <w:noProof/>
                <w:webHidden/>
              </w:rPr>
              <w:t>17</w:t>
            </w:r>
            <w:r>
              <w:rPr>
                <w:noProof/>
                <w:webHidden/>
              </w:rPr>
              <w:fldChar w:fldCharType="end"/>
            </w:r>
          </w:hyperlink>
        </w:p>
        <w:p w:rsidR="00AA60E0" w:rsidRDefault="00AA60E0">
          <w:pPr>
            <w:pStyle w:val="TOC2"/>
            <w:rPr>
              <w:rFonts w:eastAsiaTheme="minorEastAsia"/>
              <w:noProof/>
            </w:rPr>
          </w:pPr>
          <w:hyperlink w:anchor="_Toc357763483" w:history="1">
            <w:r w:rsidRPr="008B4113">
              <w:rPr>
                <w:rStyle w:val="Hyperlink"/>
                <w:noProof/>
              </w:rPr>
              <w:t>Advanced Simulation and Computing Campaign</w:t>
            </w:r>
            <w:r>
              <w:rPr>
                <w:noProof/>
                <w:webHidden/>
              </w:rPr>
              <w:tab/>
            </w:r>
            <w:r>
              <w:rPr>
                <w:noProof/>
                <w:webHidden/>
              </w:rPr>
              <w:fldChar w:fldCharType="begin"/>
            </w:r>
            <w:r>
              <w:rPr>
                <w:noProof/>
                <w:webHidden/>
              </w:rPr>
              <w:instrText xml:space="preserve"> PAGEREF _Toc357763483 \h </w:instrText>
            </w:r>
            <w:r>
              <w:rPr>
                <w:noProof/>
                <w:webHidden/>
              </w:rPr>
            </w:r>
            <w:r>
              <w:rPr>
                <w:noProof/>
                <w:webHidden/>
              </w:rPr>
              <w:fldChar w:fldCharType="separate"/>
            </w:r>
            <w:r>
              <w:rPr>
                <w:noProof/>
                <w:webHidden/>
              </w:rPr>
              <w:t>18</w:t>
            </w:r>
            <w:r>
              <w:rPr>
                <w:noProof/>
                <w:webHidden/>
              </w:rPr>
              <w:fldChar w:fldCharType="end"/>
            </w:r>
          </w:hyperlink>
        </w:p>
        <w:p w:rsidR="00AA60E0" w:rsidRDefault="00AA60E0">
          <w:pPr>
            <w:pStyle w:val="TOC2"/>
            <w:rPr>
              <w:rFonts w:eastAsiaTheme="minorEastAsia"/>
              <w:noProof/>
            </w:rPr>
          </w:pPr>
          <w:hyperlink w:anchor="_Toc357763484" w:history="1">
            <w:r w:rsidRPr="008B4113">
              <w:rPr>
                <w:rStyle w:val="Hyperlink"/>
                <w:noProof/>
              </w:rPr>
              <w:t>Readiness Campaign</w:t>
            </w:r>
            <w:r>
              <w:rPr>
                <w:noProof/>
                <w:webHidden/>
              </w:rPr>
              <w:tab/>
            </w:r>
            <w:r>
              <w:rPr>
                <w:noProof/>
                <w:webHidden/>
              </w:rPr>
              <w:fldChar w:fldCharType="begin"/>
            </w:r>
            <w:r>
              <w:rPr>
                <w:noProof/>
                <w:webHidden/>
              </w:rPr>
              <w:instrText xml:space="preserve"> PAGEREF _Toc357763484 \h </w:instrText>
            </w:r>
            <w:r>
              <w:rPr>
                <w:noProof/>
                <w:webHidden/>
              </w:rPr>
            </w:r>
            <w:r>
              <w:rPr>
                <w:noProof/>
                <w:webHidden/>
              </w:rPr>
              <w:fldChar w:fldCharType="separate"/>
            </w:r>
            <w:r>
              <w:rPr>
                <w:noProof/>
                <w:webHidden/>
              </w:rPr>
              <w:t>18</w:t>
            </w:r>
            <w:r>
              <w:rPr>
                <w:noProof/>
                <w:webHidden/>
              </w:rPr>
              <w:fldChar w:fldCharType="end"/>
            </w:r>
          </w:hyperlink>
        </w:p>
        <w:p w:rsidR="00AA60E0" w:rsidRDefault="00AA60E0">
          <w:pPr>
            <w:pStyle w:val="TOC2"/>
            <w:rPr>
              <w:rFonts w:eastAsiaTheme="minorEastAsia"/>
              <w:noProof/>
            </w:rPr>
          </w:pPr>
          <w:hyperlink w:anchor="_Toc357763485" w:history="1">
            <w:r w:rsidRPr="008B4113">
              <w:rPr>
                <w:rStyle w:val="Hyperlink"/>
                <w:noProof/>
              </w:rPr>
              <w:t>Nuclear Programs</w:t>
            </w:r>
            <w:r>
              <w:rPr>
                <w:noProof/>
                <w:webHidden/>
              </w:rPr>
              <w:tab/>
            </w:r>
            <w:r>
              <w:rPr>
                <w:noProof/>
                <w:webHidden/>
              </w:rPr>
              <w:fldChar w:fldCharType="begin"/>
            </w:r>
            <w:r>
              <w:rPr>
                <w:noProof/>
                <w:webHidden/>
              </w:rPr>
              <w:instrText xml:space="preserve"> PAGEREF _Toc357763485 \h </w:instrText>
            </w:r>
            <w:r>
              <w:rPr>
                <w:noProof/>
                <w:webHidden/>
              </w:rPr>
            </w:r>
            <w:r>
              <w:rPr>
                <w:noProof/>
                <w:webHidden/>
              </w:rPr>
              <w:fldChar w:fldCharType="separate"/>
            </w:r>
            <w:r>
              <w:rPr>
                <w:noProof/>
                <w:webHidden/>
              </w:rPr>
              <w:t>18</w:t>
            </w:r>
            <w:r>
              <w:rPr>
                <w:noProof/>
                <w:webHidden/>
              </w:rPr>
              <w:fldChar w:fldCharType="end"/>
            </w:r>
          </w:hyperlink>
        </w:p>
        <w:p w:rsidR="00AA60E0" w:rsidRDefault="00AA60E0">
          <w:pPr>
            <w:pStyle w:val="TOC2"/>
            <w:rPr>
              <w:rFonts w:eastAsiaTheme="minorEastAsia"/>
              <w:noProof/>
            </w:rPr>
          </w:pPr>
          <w:hyperlink w:anchor="_Toc357763486" w:history="1">
            <w:r w:rsidRPr="008B4113">
              <w:rPr>
                <w:rStyle w:val="Hyperlink"/>
                <w:noProof/>
              </w:rPr>
              <w:t>Secure Transportation Asset</w:t>
            </w:r>
            <w:r>
              <w:rPr>
                <w:noProof/>
                <w:webHidden/>
              </w:rPr>
              <w:tab/>
            </w:r>
            <w:r>
              <w:rPr>
                <w:noProof/>
                <w:webHidden/>
              </w:rPr>
              <w:fldChar w:fldCharType="begin"/>
            </w:r>
            <w:r>
              <w:rPr>
                <w:noProof/>
                <w:webHidden/>
              </w:rPr>
              <w:instrText xml:space="preserve"> PAGEREF _Toc357763486 \h </w:instrText>
            </w:r>
            <w:r>
              <w:rPr>
                <w:noProof/>
                <w:webHidden/>
              </w:rPr>
            </w:r>
            <w:r>
              <w:rPr>
                <w:noProof/>
                <w:webHidden/>
              </w:rPr>
              <w:fldChar w:fldCharType="separate"/>
            </w:r>
            <w:r>
              <w:rPr>
                <w:noProof/>
                <w:webHidden/>
              </w:rPr>
              <w:t>18</w:t>
            </w:r>
            <w:r>
              <w:rPr>
                <w:noProof/>
                <w:webHidden/>
              </w:rPr>
              <w:fldChar w:fldCharType="end"/>
            </w:r>
          </w:hyperlink>
        </w:p>
        <w:p w:rsidR="00AA60E0" w:rsidRDefault="00AA60E0">
          <w:pPr>
            <w:pStyle w:val="TOC2"/>
            <w:rPr>
              <w:rFonts w:eastAsiaTheme="minorEastAsia"/>
              <w:noProof/>
            </w:rPr>
          </w:pPr>
          <w:hyperlink w:anchor="_Toc357763487" w:history="1">
            <w:r w:rsidRPr="008B4113">
              <w:rPr>
                <w:rStyle w:val="Hyperlink"/>
                <w:noProof/>
              </w:rPr>
              <w:t>Facilities and Infrastructure Recapitalization Program</w:t>
            </w:r>
            <w:r>
              <w:rPr>
                <w:noProof/>
                <w:webHidden/>
              </w:rPr>
              <w:tab/>
            </w:r>
            <w:r>
              <w:rPr>
                <w:noProof/>
                <w:webHidden/>
              </w:rPr>
              <w:fldChar w:fldCharType="begin"/>
            </w:r>
            <w:r>
              <w:rPr>
                <w:noProof/>
                <w:webHidden/>
              </w:rPr>
              <w:instrText xml:space="preserve"> PAGEREF _Toc357763487 \h </w:instrText>
            </w:r>
            <w:r>
              <w:rPr>
                <w:noProof/>
                <w:webHidden/>
              </w:rPr>
            </w:r>
            <w:r>
              <w:rPr>
                <w:noProof/>
                <w:webHidden/>
              </w:rPr>
              <w:fldChar w:fldCharType="separate"/>
            </w:r>
            <w:r>
              <w:rPr>
                <w:noProof/>
                <w:webHidden/>
              </w:rPr>
              <w:t>18</w:t>
            </w:r>
            <w:r>
              <w:rPr>
                <w:noProof/>
                <w:webHidden/>
              </w:rPr>
              <w:fldChar w:fldCharType="end"/>
            </w:r>
          </w:hyperlink>
        </w:p>
        <w:p w:rsidR="00AA60E0" w:rsidRDefault="00AA60E0">
          <w:pPr>
            <w:pStyle w:val="TOC2"/>
            <w:rPr>
              <w:rFonts w:eastAsiaTheme="minorEastAsia"/>
              <w:noProof/>
            </w:rPr>
          </w:pPr>
          <w:hyperlink w:anchor="_Toc357763488" w:history="1">
            <w:r w:rsidRPr="008B4113">
              <w:rPr>
                <w:rStyle w:val="Hyperlink"/>
                <w:noProof/>
              </w:rPr>
              <w:t>Site Stewardship</w:t>
            </w:r>
            <w:r>
              <w:rPr>
                <w:noProof/>
                <w:webHidden/>
              </w:rPr>
              <w:tab/>
            </w:r>
            <w:r>
              <w:rPr>
                <w:noProof/>
                <w:webHidden/>
              </w:rPr>
              <w:fldChar w:fldCharType="begin"/>
            </w:r>
            <w:r>
              <w:rPr>
                <w:noProof/>
                <w:webHidden/>
              </w:rPr>
              <w:instrText xml:space="preserve"> PAGEREF _Toc357763488 \h </w:instrText>
            </w:r>
            <w:r>
              <w:rPr>
                <w:noProof/>
                <w:webHidden/>
              </w:rPr>
            </w:r>
            <w:r>
              <w:rPr>
                <w:noProof/>
                <w:webHidden/>
              </w:rPr>
              <w:fldChar w:fldCharType="separate"/>
            </w:r>
            <w:r>
              <w:rPr>
                <w:noProof/>
                <w:webHidden/>
              </w:rPr>
              <w:t>19</w:t>
            </w:r>
            <w:r>
              <w:rPr>
                <w:noProof/>
                <w:webHidden/>
              </w:rPr>
              <w:fldChar w:fldCharType="end"/>
            </w:r>
          </w:hyperlink>
        </w:p>
        <w:p w:rsidR="00AA60E0" w:rsidRDefault="00AA60E0">
          <w:pPr>
            <w:pStyle w:val="TOC2"/>
            <w:rPr>
              <w:rFonts w:eastAsiaTheme="minorEastAsia"/>
              <w:noProof/>
            </w:rPr>
          </w:pPr>
          <w:hyperlink w:anchor="_Toc357763489" w:history="1">
            <w:r w:rsidRPr="008B4113">
              <w:rPr>
                <w:rStyle w:val="Hyperlink"/>
                <w:noProof/>
              </w:rPr>
              <w:t>Defense Nuclear Security</w:t>
            </w:r>
            <w:r>
              <w:rPr>
                <w:noProof/>
                <w:webHidden/>
              </w:rPr>
              <w:tab/>
            </w:r>
            <w:r>
              <w:rPr>
                <w:noProof/>
                <w:webHidden/>
              </w:rPr>
              <w:fldChar w:fldCharType="begin"/>
            </w:r>
            <w:r>
              <w:rPr>
                <w:noProof/>
                <w:webHidden/>
              </w:rPr>
              <w:instrText xml:space="preserve"> PAGEREF _Toc357763489 \h </w:instrText>
            </w:r>
            <w:r>
              <w:rPr>
                <w:noProof/>
                <w:webHidden/>
              </w:rPr>
            </w:r>
            <w:r>
              <w:rPr>
                <w:noProof/>
                <w:webHidden/>
              </w:rPr>
              <w:fldChar w:fldCharType="separate"/>
            </w:r>
            <w:r>
              <w:rPr>
                <w:noProof/>
                <w:webHidden/>
              </w:rPr>
              <w:t>19</w:t>
            </w:r>
            <w:r>
              <w:rPr>
                <w:noProof/>
                <w:webHidden/>
              </w:rPr>
              <w:fldChar w:fldCharType="end"/>
            </w:r>
          </w:hyperlink>
        </w:p>
        <w:p w:rsidR="00AA60E0" w:rsidRDefault="00AA60E0">
          <w:pPr>
            <w:pStyle w:val="TOC2"/>
            <w:rPr>
              <w:rFonts w:eastAsiaTheme="minorEastAsia"/>
              <w:noProof/>
            </w:rPr>
          </w:pPr>
          <w:hyperlink w:anchor="_Toc357763490" w:history="1">
            <w:r w:rsidRPr="008B4113">
              <w:rPr>
                <w:rStyle w:val="Hyperlink"/>
                <w:noProof/>
              </w:rPr>
              <w:t>NNSA CIO Activities</w:t>
            </w:r>
            <w:r>
              <w:rPr>
                <w:noProof/>
                <w:webHidden/>
              </w:rPr>
              <w:tab/>
            </w:r>
            <w:r>
              <w:rPr>
                <w:noProof/>
                <w:webHidden/>
              </w:rPr>
              <w:fldChar w:fldCharType="begin"/>
            </w:r>
            <w:r>
              <w:rPr>
                <w:noProof/>
                <w:webHidden/>
              </w:rPr>
              <w:instrText xml:space="preserve"> PAGEREF _Toc357763490 \h </w:instrText>
            </w:r>
            <w:r>
              <w:rPr>
                <w:noProof/>
                <w:webHidden/>
              </w:rPr>
            </w:r>
            <w:r>
              <w:rPr>
                <w:noProof/>
                <w:webHidden/>
              </w:rPr>
              <w:fldChar w:fldCharType="separate"/>
            </w:r>
            <w:r>
              <w:rPr>
                <w:noProof/>
                <w:webHidden/>
              </w:rPr>
              <w:t>19</w:t>
            </w:r>
            <w:r>
              <w:rPr>
                <w:noProof/>
                <w:webHidden/>
              </w:rPr>
              <w:fldChar w:fldCharType="end"/>
            </w:r>
          </w:hyperlink>
        </w:p>
        <w:p w:rsidR="00AA60E0" w:rsidRDefault="00AA60E0">
          <w:pPr>
            <w:pStyle w:val="TOC2"/>
            <w:rPr>
              <w:rFonts w:eastAsiaTheme="minorEastAsia"/>
              <w:noProof/>
            </w:rPr>
          </w:pPr>
          <w:hyperlink w:anchor="_Toc357763491" w:history="1">
            <w:r w:rsidRPr="008B4113">
              <w:rPr>
                <w:rStyle w:val="Hyperlink"/>
                <w:noProof/>
              </w:rPr>
              <w:t>Global Threat Reduction Initiative</w:t>
            </w:r>
            <w:r>
              <w:rPr>
                <w:noProof/>
                <w:webHidden/>
              </w:rPr>
              <w:tab/>
            </w:r>
            <w:r>
              <w:rPr>
                <w:noProof/>
                <w:webHidden/>
              </w:rPr>
              <w:fldChar w:fldCharType="begin"/>
            </w:r>
            <w:r>
              <w:rPr>
                <w:noProof/>
                <w:webHidden/>
              </w:rPr>
              <w:instrText xml:space="preserve"> PAGEREF _Toc357763491 \h </w:instrText>
            </w:r>
            <w:r>
              <w:rPr>
                <w:noProof/>
                <w:webHidden/>
              </w:rPr>
            </w:r>
            <w:r>
              <w:rPr>
                <w:noProof/>
                <w:webHidden/>
              </w:rPr>
              <w:fldChar w:fldCharType="separate"/>
            </w:r>
            <w:r>
              <w:rPr>
                <w:noProof/>
                <w:webHidden/>
              </w:rPr>
              <w:t>19</w:t>
            </w:r>
            <w:r>
              <w:rPr>
                <w:noProof/>
                <w:webHidden/>
              </w:rPr>
              <w:fldChar w:fldCharType="end"/>
            </w:r>
          </w:hyperlink>
        </w:p>
        <w:p w:rsidR="00AA60E0" w:rsidRDefault="00AA60E0">
          <w:pPr>
            <w:pStyle w:val="TOC2"/>
            <w:rPr>
              <w:rFonts w:eastAsiaTheme="minorEastAsia"/>
              <w:noProof/>
            </w:rPr>
          </w:pPr>
          <w:hyperlink w:anchor="_Toc357763492" w:history="1">
            <w:r w:rsidRPr="008B4113">
              <w:rPr>
                <w:rStyle w:val="Hyperlink"/>
                <w:noProof/>
              </w:rPr>
              <w:t>International Material Protection and Cooperation</w:t>
            </w:r>
            <w:r>
              <w:rPr>
                <w:noProof/>
                <w:webHidden/>
              </w:rPr>
              <w:tab/>
            </w:r>
            <w:r>
              <w:rPr>
                <w:noProof/>
                <w:webHidden/>
              </w:rPr>
              <w:fldChar w:fldCharType="begin"/>
            </w:r>
            <w:r>
              <w:rPr>
                <w:noProof/>
                <w:webHidden/>
              </w:rPr>
              <w:instrText xml:space="preserve"> PAGEREF _Toc357763492 \h </w:instrText>
            </w:r>
            <w:r>
              <w:rPr>
                <w:noProof/>
                <w:webHidden/>
              </w:rPr>
            </w:r>
            <w:r>
              <w:rPr>
                <w:noProof/>
                <w:webHidden/>
              </w:rPr>
              <w:fldChar w:fldCharType="separate"/>
            </w:r>
            <w:r>
              <w:rPr>
                <w:noProof/>
                <w:webHidden/>
              </w:rPr>
              <w:t>19</w:t>
            </w:r>
            <w:r>
              <w:rPr>
                <w:noProof/>
                <w:webHidden/>
              </w:rPr>
              <w:fldChar w:fldCharType="end"/>
            </w:r>
          </w:hyperlink>
        </w:p>
        <w:p w:rsidR="00AA60E0" w:rsidRDefault="00AA60E0">
          <w:pPr>
            <w:pStyle w:val="TOC2"/>
            <w:rPr>
              <w:rFonts w:eastAsiaTheme="minorEastAsia"/>
              <w:noProof/>
            </w:rPr>
          </w:pPr>
          <w:hyperlink w:anchor="_Toc357763493" w:history="1">
            <w:r w:rsidRPr="008B4113">
              <w:rPr>
                <w:rStyle w:val="Hyperlink"/>
                <w:noProof/>
              </w:rPr>
              <w:t>Fissile Materials Disposition</w:t>
            </w:r>
            <w:r>
              <w:rPr>
                <w:noProof/>
                <w:webHidden/>
              </w:rPr>
              <w:tab/>
            </w:r>
            <w:r>
              <w:rPr>
                <w:noProof/>
                <w:webHidden/>
              </w:rPr>
              <w:fldChar w:fldCharType="begin"/>
            </w:r>
            <w:r>
              <w:rPr>
                <w:noProof/>
                <w:webHidden/>
              </w:rPr>
              <w:instrText xml:space="preserve"> PAGEREF _Toc357763493 \h </w:instrText>
            </w:r>
            <w:r>
              <w:rPr>
                <w:noProof/>
                <w:webHidden/>
              </w:rPr>
            </w:r>
            <w:r>
              <w:rPr>
                <w:noProof/>
                <w:webHidden/>
              </w:rPr>
              <w:fldChar w:fldCharType="separate"/>
            </w:r>
            <w:r>
              <w:rPr>
                <w:noProof/>
                <w:webHidden/>
              </w:rPr>
              <w:t>19</w:t>
            </w:r>
            <w:r>
              <w:rPr>
                <w:noProof/>
                <w:webHidden/>
              </w:rPr>
              <w:fldChar w:fldCharType="end"/>
            </w:r>
          </w:hyperlink>
        </w:p>
        <w:p w:rsidR="00AA60E0" w:rsidRDefault="00AA60E0">
          <w:pPr>
            <w:pStyle w:val="TOC2"/>
            <w:rPr>
              <w:rFonts w:eastAsiaTheme="minorEastAsia"/>
              <w:noProof/>
            </w:rPr>
          </w:pPr>
          <w:hyperlink w:anchor="_Toc357763494" w:history="1">
            <w:r w:rsidRPr="008B4113">
              <w:rPr>
                <w:rStyle w:val="Hyperlink"/>
                <w:noProof/>
              </w:rPr>
              <w:t>Nonproliferation and International Security</w:t>
            </w:r>
            <w:r>
              <w:rPr>
                <w:noProof/>
                <w:webHidden/>
              </w:rPr>
              <w:tab/>
            </w:r>
            <w:r>
              <w:rPr>
                <w:noProof/>
                <w:webHidden/>
              </w:rPr>
              <w:fldChar w:fldCharType="begin"/>
            </w:r>
            <w:r>
              <w:rPr>
                <w:noProof/>
                <w:webHidden/>
              </w:rPr>
              <w:instrText xml:space="preserve"> PAGEREF _Toc357763494 \h </w:instrText>
            </w:r>
            <w:r>
              <w:rPr>
                <w:noProof/>
                <w:webHidden/>
              </w:rPr>
            </w:r>
            <w:r>
              <w:rPr>
                <w:noProof/>
                <w:webHidden/>
              </w:rPr>
              <w:fldChar w:fldCharType="separate"/>
            </w:r>
            <w:r>
              <w:rPr>
                <w:noProof/>
                <w:webHidden/>
              </w:rPr>
              <w:t>20</w:t>
            </w:r>
            <w:r>
              <w:rPr>
                <w:noProof/>
                <w:webHidden/>
              </w:rPr>
              <w:fldChar w:fldCharType="end"/>
            </w:r>
          </w:hyperlink>
        </w:p>
        <w:p w:rsidR="00AA60E0" w:rsidRDefault="00AA60E0">
          <w:pPr>
            <w:pStyle w:val="TOC2"/>
            <w:rPr>
              <w:rFonts w:eastAsiaTheme="minorEastAsia"/>
              <w:noProof/>
            </w:rPr>
          </w:pPr>
          <w:hyperlink w:anchor="_Toc357763495" w:history="1">
            <w:r w:rsidRPr="008B4113">
              <w:rPr>
                <w:rStyle w:val="Hyperlink"/>
                <w:noProof/>
              </w:rPr>
              <w:t>Defense Nuclear Nonproliferation Research and Development</w:t>
            </w:r>
            <w:r>
              <w:rPr>
                <w:noProof/>
                <w:webHidden/>
              </w:rPr>
              <w:tab/>
            </w:r>
            <w:r>
              <w:rPr>
                <w:noProof/>
                <w:webHidden/>
              </w:rPr>
              <w:fldChar w:fldCharType="begin"/>
            </w:r>
            <w:r>
              <w:rPr>
                <w:noProof/>
                <w:webHidden/>
              </w:rPr>
              <w:instrText xml:space="preserve"> PAGEREF _Toc357763495 \h </w:instrText>
            </w:r>
            <w:r>
              <w:rPr>
                <w:noProof/>
                <w:webHidden/>
              </w:rPr>
            </w:r>
            <w:r>
              <w:rPr>
                <w:noProof/>
                <w:webHidden/>
              </w:rPr>
              <w:fldChar w:fldCharType="separate"/>
            </w:r>
            <w:r>
              <w:rPr>
                <w:noProof/>
                <w:webHidden/>
              </w:rPr>
              <w:t>20</w:t>
            </w:r>
            <w:r>
              <w:rPr>
                <w:noProof/>
                <w:webHidden/>
              </w:rPr>
              <w:fldChar w:fldCharType="end"/>
            </w:r>
          </w:hyperlink>
        </w:p>
        <w:p w:rsidR="00AA60E0" w:rsidRDefault="00AA60E0">
          <w:pPr>
            <w:pStyle w:val="TOC2"/>
            <w:rPr>
              <w:rFonts w:eastAsiaTheme="minorEastAsia"/>
              <w:noProof/>
            </w:rPr>
          </w:pPr>
          <w:hyperlink w:anchor="_Toc357763496" w:history="1">
            <w:r w:rsidRPr="008B4113">
              <w:rPr>
                <w:rStyle w:val="Hyperlink"/>
                <w:noProof/>
              </w:rPr>
              <w:t>Nuclear Counterterrorism Incident Response Program</w:t>
            </w:r>
            <w:r>
              <w:rPr>
                <w:noProof/>
                <w:webHidden/>
              </w:rPr>
              <w:tab/>
            </w:r>
            <w:r>
              <w:rPr>
                <w:noProof/>
                <w:webHidden/>
              </w:rPr>
              <w:fldChar w:fldCharType="begin"/>
            </w:r>
            <w:r>
              <w:rPr>
                <w:noProof/>
                <w:webHidden/>
              </w:rPr>
              <w:instrText xml:space="preserve"> PAGEREF _Toc357763496 \h </w:instrText>
            </w:r>
            <w:r>
              <w:rPr>
                <w:noProof/>
                <w:webHidden/>
              </w:rPr>
            </w:r>
            <w:r>
              <w:rPr>
                <w:noProof/>
                <w:webHidden/>
              </w:rPr>
              <w:fldChar w:fldCharType="separate"/>
            </w:r>
            <w:r>
              <w:rPr>
                <w:noProof/>
                <w:webHidden/>
              </w:rPr>
              <w:t>20</w:t>
            </w:r>
            <w:r>
              <w:rPr>
                <w:noProof/>
                <w:webHidden/>
              </w:rPr>
              <w:fldChar w:fldCharType="end"/>
            </w:r>
          </w:hyperlink>
        </w:p>
        <w:p w:rsidR="00AA60E0" w:rsidRDefault="00AA60E0">
          <w:pPr>
            <w:pStyle w:val="TOC2"/>
            <w:rPr>
              <w:rFonts w:eastAsiaTheme="minorEastAsia"/>
              <w:noProof/>
            </w:rPr>
          </w:pPr>
          <w:hyperlink w:anchor="_Toc357763497" w:history="1">
            <w:r w:rsidRPr="008B4113">
              <w:rPr>
                <w:rStyle w:val="Hyperlink"/>
                <w:noProof/>
              </w:rPr>
              <w:t>Counterterrorism and Counterproliferation</w:t>
            </w:r>
            <w:r>
              <w:rPr>
                <w:noProof/>
                <w:webHidden/>
              </w:rPr>
              <w:tab/>
            </w:r>
            <w:r>
              <w:rPr>
                <w:noProof/>
                <w:webHidden/>
              </w:rPr>
              <w:fldChar w:fldCharType="begin"/>
            </w:r>
            <w:r>
              <w:rPr>
                <w:noProof/>
                <w:webHidden/>
              </w:rPr>
              <w:instrText xml:space="preserve"> PAGEREF _Toc357763497 \h </w:instrText>
            </w:r>
            <w:r>
              <w:rPr>
                <w:noProof/>
                <w:webHidden/>
              </w:rPr>
            </w:r>
            <w:r>
              <w:rPr>
                <w:noProof/>
                <w:webHidden/>
              </w:rPr>
              <w:fldChar w:fldCharType="separate"/>
            </w:r>
            <w:r>
              <w:rPr>
                <w:noProof/>
                <w:webHidden/>
              </w:rPr>
              <w:t>20</w:t>
            </w:r>
            <w:r>
              <w:rPr>
                <w:noProof/>
                <w:webHidden/>
              </w:rPr>
              <w:fldChar w:fldCharType="end"/>
            </w:r>
          </w:hyperlink>
        </w:p>
        <w:p w:rsidR="00AA60E0" w:rsidRDefault="00AA60E0">
          <w:pPr>
            <w:pStyle w:val="TOC2"/>
            <w:rPr>
              <w:rFonts w:eastAsiaTheme="minorEastAsia"/>
              <w:noProof/>
            </w:rPr>
          </w:pPr>
          <w:hyperlink w:anchor="_Toc357763498" w:history="1">
            <w:r w:rsidRPr="008B4113">
              <w:rPr>
                <w:rStyle w:val="Hyperlink"/>
                <w:noProof/>
              </w:rPr>
              <w:t>Naval Reactors</w:t>
            </w:r>
            <w:r>
              <w:rPr>
                <w:noProof/>
                <w:webHidden/>
              </w:rPr>
              <w:tab/>
            </w:r>
            <w:r>
              <w:rPr>
                <w:noProof/>
                <w:webHidden/>
              </w:rPr>
              <w:fldChar w:fldCharType="begin"/>
            </w:r>
            <w:r>
              <w:rPr>
                <w:noProof/>
                <w:webHidden/>
              </w:rPr>
              <w:instrText xml:space="preserve"> PAGEREF _Toc357763498 \h </w:instrText>
            </w:r>
            <w:r>
              <w:rPr>
                <w:noProof/>
                <w:webHidden/>
              </w:rPr>
            </w:r>
            <w:r>
              <w:rPr>
                <w:noProof/>
                <w:webHidden/>
              </w:rPr>
              <w:fldChar w:fldCharType="separate"/>
            </w:r>
            <w:r>
              <w:rPr>
                <w:noProof/>
                <w:webHidden/>
              </w:rPr>
              <w:t>20</w:t>
            </w:r>
            <w:r>
              <w:rPr>
                <w:noProof/>
                <w:webHidden/>
              </w:rPr>
              <w:fldChar w:fldCharType="end"/>
            </w:r>
          </w:hyperlink>
        </w:p>
        <w:p w:rsidR="00AA60E0" w:rsidRDefault="00AA60E0">
          <w:pPr>
            <w:pStyle w:val="TOC2"/>
            <w:rPr>
              <w:rFonts w:eastAsiaTheme="minorEastAsia"/>
              <w:noProof/>
            </w:rPr>
          </w:pPr>
          <w:hyperlink w:anchor="_Toc357763499" w:history="1">
            <w:r w:rsidRPr="008B4113">
              <w:rPr>
                <w:rStyle w:val="Hyperlink"/>
                <w:noProof/>
              </w:rPr>
              <w:t>NNSA Office of the Administrator</w:t>
            </w:r>
            <w:r>
              <w:rPr>
                <w:noProof/>
                <w:webHidden/>
              </w:rPr>
              <w:tab/>
            </w:r>
            <w:r>
              <w:rPr>
                <w:noProof/>
                <w:webHidden/>
              </w:rPr>
              <w:fldChar w:fldCharType="begin"/>
            </w:r>
            <w:r>
              <w:rPr>
                <w:noProof/>
                <w:webHidden/>
              </w:rPr>
              <w:instrText xml:space="preserve"> PAGEREF _Toc357763499 \h </w:instrText>
            </w:r>
            <w:r>
              <w:rPr>
                <w:noProof/>
                <w:webHidden/>
              </w:rPr>
            </w:r>
            <w:r>
              <w:rPr>
                <w:noProof/>
                <w:webHidden/>
              </w:rPr>
              <w:fldChar w:fldCharType="separate"/>
            </w:r>
            <w:r>
              <w:rPr>
                <w:noProof/>
                <w:webHidden/>
              </w:rPr>
              <w:t>21</w:t>
            </w:r>
            <w:r>
              <w:rPr>
                <w:noProof/>
                <w:webHidden/>
              </w:rPr>
              <w:fldChar w:fldCharType="end"/>
            </w:r>
          </w:hyperlink>
        </w:p>
        <w:p w:rsidR="00AA60E0" w:rsidRDefault="00AA60E0">
          <w:pPr>
            <w:pStyle w:val="TOC1"/>
            <w:rPr>
              <w:rFonts w:eastAsiaTheme="minorEastAsia"/>
              <w:noProof/>
            </w:rPr>
          </w:pPr>
          <w:hyperlink w:anchor="_Toc357763500" w:history="1">
            <w:r w:rsidRPr="008B4113">
              <w:rPr>
                <w:rStyle w:val="Hyperlink"/>
                <w:noProof/>
              </w:rPr>
              <w:t>Environmental Management (EM)</w:t>
            </w:r>
            <w:r>
              <w:rPr>
                <w:noProof/>
                <w:webHidden/>
              </w:rPr>
              <w:tab/>
            </w:r>
            <w:r>
              <w:rPr>
                <w:noProof/>
                <w:webHidden/>
              </w:rPr>
              <w:fldChar w:fldCharType="begin"/>
            </w:r>
            <w:r>
              <w:rPr>
                <w:noProof/>
                <w:webHidden/>
              </w:rPr>
              <w:instrText xml:space="preserve"> PAGEREF _Toc357763500 \h </w:instrText>
            </w:r>
            <w:r>
              <w:rPr>
                <w:noProof/>
                <w:webHidden/>
              </w:rPr>
            </w:r>
            <w:r>
              <w:rPr>
                <w:noProof/>
                <w:webHidden/>
              </w:rPr>
              <w:fldChar w:fldCharType="separate"/>
            </w:r>
            <w:r>
              <w:rPr>
                <w:noProof/>
                <w:webHidden/>
              </w:rPr>
              <w:t>22</w:t>
            </w:r>
            <w:r>
              <w:rPr>
                <w:noProof/>
                <w:webHidden/>
              </w:rPr>
              <w:fldChar w:fldCharType="end"/>
            </w:r>
          </w:hyperlink>
        </w:p>
        <w:p w:rsidR="00AA60E0" w:rsidRDefault="00AA60E0">
          <w:pPr>
            <w:pStyle w:val="TOC1"/>
            <w:rPr>
              <w:rFonts w:eastAsiaTheme="minorEastAsia"/>
              <w:noProof/>
            </w:rPr>
          </w:pPr>
          <w:hyperlink w:anchor="_Toc357763501" w:history="1">
            <w:r w:rsidRPr="008B4113">
              <w:rPr>
                <w:rStyle w:val="Hyperlink"/>
                <w:noProof/>
              </w:rPr>
              <w:t>Departmental Administration:  Support Offices/Corporate Management</w:t>
            </w:r>
            <w:r>
              <w:rPr>
                <w:noProof/>
                <w:webHidden/>
              </w:rPr>
              <w:tab/>
            </w:r>
            <w:r>
              <w:rPr>
                <w:noProof/>
                <w:webHidden/>
              </w:rPr>
              <w:fldChar w:fldCharType="begin"/>
            </w:r>
            <w:r>
              <w:rPr>
                <w:noProof/>
                <w:webHidden/>
              </w:rPr>
              <w:instrText xml:space="preserve"> PAGEREF _Toc357763501 \h </w:instrText>
            </w:r>
            <w:r>
              <w:rPr>
                <w:noProof/>
                <w:webHidden/>
              </w:rPr>
            </w:r>
            <w:r>
              <w:rPr>
                <w:noProof/>
                <w:webHidden/>
              </w:rPr>
              <w:fldChar w:fldCharType="separate"/>
            </w:r>
            <w:r>
              <w:rPr>
                <w:noProof/>
                <w:webHidden/>
              </w:rPr>
              <w:t>23</w:t>
            </w:r>
            <w:r>
              <w:rPr>
                <w:noProof/>
                <w:webHidden/>
              </w:rPr>
              <w:fldChar w:fldCharType="end"/>
            </w:r>
          </w:hyperlink>
        </w:p>
        <w:p w:rsidR="00AA60E0" w:rsidRDefault="00AA60E0">
          <w:pPr>
            <w:pStyle w:val="TOC1"/>
            <w:rPr>
              <w:rFonts w:eastAsiaTheme="minorEastAsia"/>
              <w:noProof/>
            </w:rPr>
          </w:pPr>
          <w:hyperlink w:anchor="_Toc357763502" w:history="1">
            <w:r w:rsidRPr="008B4113">
              <w:rPr>
                <w:rStyle w:val="Hyperlink"/>
                <w:noProof/>
              </w:rPr>
              <w:t>Agency Priority Goals and Cross Agency Priority Goals</w:t>
            </w:r>
            <w:r>
              <w:rPr>
                <w:noProof/>
                <w:webHidden/>
              </w:rPr>
              <w:tab/>
            </w:r>
            <w:r>
              <w:rPr>
                <w:noProof/>
                <w:webHidden/>
              </w:rPr>
              <w:fldChar w:fldCharType="begin"/>
            </w:r>
            <w:r>
              <w:rPr>
                <w:noProof/>
                <w:webHidden/>
              </w:rPr>
              <w:instrText xml:space="preserve"> PAGEREF _Toc357763502 \h </w:instrText>
            </w:r>
            <w:r>
              <w:rPr>
                <w:noProof/>
                <w:webHidden/>
              </w:rPr>
            </w:r>
            <w:r>
              <w:rPr>
                <w:noProof/>
                <w:webHidden/>
              </w:rPr>
              <w:fldChar w:fldCharType="separate"/>
            </w:r>
            <w:r>
              <w:rPr>
                <w:noProof/>
                <w:webHidden/>
              </w:rPr>
              <w:t>24</w:t>
            </w:r>
            <w:r>
              <w:rPr>
                <w:noProof/>
                <w:webHidden/>
              </w:rPr>
              <w:fldChar w:fldCharType="end"/>
            </w:r>
          </w:hyperlink>
        </w:p>
        <w:p w:rsidR="0047754E" w:rsidRDefault="00440795" w:rsidP="0047754E">
          <w:r w:rsidRPr="00F9177F">
            <w:fldChar w:fldCharType="end"/>
          </w:r>
        </w:p>
      </w:sdtContent>
    </w:sdt>
    <w:p w:rsidR="0047754E" w:rsidRDefault="0047754E" w:rsidP="0047754E">
      <w:pPr>
        <w:rPr>
          <w:rFonts w:eastAsia="Times New Roman" w:cs="Times New Roman"/>
          <w:b/>
          <w:bCs/>
          <w:color w:val="000000"/>
          <w:sz w:val="48"/>
          <w:szCs w:val="48"/>
        </w:rPr>
      </w:pPr>
      <w:r>
        <w:rPr>
          <w:b/>
          <w:bCs/>
          <w:sz w:val="48"/>
          <w:szCs w:val="48"/>
        </w:rPr>
        <w:t xml:space="preserve"> </w:t>
      </w:r>
      <w:r>
        <w:rPr>
          <w:b/>
          <w:bCs/>
          <w:sz w:val="48"/>
          <w:szCs w:val="48"/>
        </w:rPr>
        <w:br w:type="page"/>
      </w:r>
    </w:p>
    <w:p w:rsidR="00577A74" w:rsidRDefault="00577A74" w:rsidP="00577A74">
      <w:pPr>
        <w:spacing w:after="0"/>
        <w:jc w:val="center"/>
        <w:rPr>
          <w:b/>
          <w:sz w:val="28"/>
          <w:szCs w:val="28"/>
        </w:rPr>
      </w:pPr>
      <w:bookmarkStart w:id="2" w:name="_Toc357755912"/>
      <w:r>
        <w:rPr>
          <w:b/>
          <w:sz w:val="28"/>
          <w:szCs w:val="28"/>
        </w:rPr>
        <w:t xml:space="preserve">U.S. Department of Energy </w:t>
      </w:r>
    </w:p>
    <w:p w:rsidR="00577A74" w:rsidRDefault="00577A74" w:rsidP="00577A74">
      <w:pPr>
        <w:spacing w:after="0"/>
        <w:jc w:val="center"/>
        <w:rPr>
          <w:b/>
          <w:sz w:val="28"/>
          <w:szCs w:val="28"/>
        </w:rPr>
      </w:pPr>
      <w:r w:rsidRPr="00577A74">
        <w:rPr>
          <w:b/>
          <w:sz w:val="40"/>
          <w:szCs w:val="40"/>
        </w:rPr>
        <w:t>Federal Program Inventory</w:t>
      </w:r>
      <w:r w:rsidRPr="00577A74">
        <w:rPr>
          <w:b/>
          <w:sz w:val="28"/>
          <w:szCs w:val="28"/>
        </w:rPr>
        <w:t xml:space="preserve"> </w:t>
      </w:r>
    </w:p>
    <w:p w:rsidR="00577A74" w:rsidRPr="00577A74" w:rsidRDefault="00577A74" w:rsidP="00577A74">
      <w:pPr>
        <w:spacing w:after="0"/>
        <w:jc w:val="center"/>
        <w:rPr>
          <w:b/>
          <w:sz w:val="28"/>
          <w:szCs w:val="28"/>
        </w:rPr>
      </w:pPr>
      <w:r w:rsidRPr="00577A74">
        <w:rPr>
          <w:b/>
          <w:sz w:val="28"/>
          <w:szCs w:val="28"/>
        </w:rPr>
        <w:t>Fiscal Year 2013</w:t>
      </w:r>
    </w:p>
    <w:p w:rsidR="00577A74" w:rsidRPr="00577A74" w:rsidRDefault="00577A74" w:rsidP="00577A74">
      <w:pPr>
        <w:spacing w:after="0"/>
        <w:jc w:val="center"/>
        <w:rPr>
          <w:b/>
          <w:sz w:val="40"/>
          <w:szCs w:val="40"/>
        </w:rPr>
      </w:pPr>
    </w:p>
    <w:p w:rsidR="009F21B5" w:rsidRPr="00AF0C81" w:rsidRDefault="001A1219" w:rsidP="0047754E">
      <w:pPr>
        <w:pStyle w:val="Heading1"/>
        <w:spacing w:before="0"/>
        <w:rPr>
          <w:rFonts w:asciiTheme="minorHAnsi" w:hAnsiTheme="minorHAnsi"/>
          <w:sz w:val="22"/>
          <w:szCs w:val="22"/>
        </w:rPr>
      </w:pPr>
      <w:bookmarkStart w:id="3" w:name="_Toc357763442"/>
      <w:r w:rsidRPr="00AF0C81">
        <w:rPr>
          <w:rFonts w:asciiTheme="minorHAnsi" w:hAnsiTheme="minorHAnsi"/>
          <w:sz w:val="22"/>
          <w:szCs w:val="22"/>
        </w:rPr>
        <w:t>A</w:t>
      </w:r>
      <w:r w:rsidR="009F21B5" w:rsidRPr="00AF0C81">
        <w:rPr>
          <w:rFonts w:asciiTheme="minorHAnsi" w:hAnsiTheme="minorHAnsi"/>
          <w:sz w:val="22"/>
          <w:szCs w:val="22"/>
        </w:rPr>
        <w:t>pproach</w:t>
      </w:r>
      <w:bookmarkEnd w:id="1"/>
      <w:bookmarkEnd w:id="2"/>
      <w:bookmarkEnd w:id="3"/>
    </w:p>
    <w:p w:rsidR="009F21B5" w:rsidRPr="00AF0C81" w:rsidRDefault="009F21B5" w:rsidP="009F21B5">
      <w:pPr>
        <w:autoSpaceDE w:val="0"/>
        <w:autoSpaceDN w:val="0"/>
        <w:adjustRightInd w:val="0"/>
        <w:spacing w:after="0" w:line="240" w:lineRule="auto"/>
        <w:rPr>
          <w:rFonts w:cs="Times New Roman PS Std"/>
          <w:color w:val="000000"/>
        </w:rPr>
      </w:pPr>
      <w:r w:rsidRPr="00AF0C81">
        <w:rPr>
          <w:rFonts w:cs="Times New Roman PS Std"/>
          <w:color w:val="000000"/>
        </w:rPr>
        <w:t xml:space="preserve">The </w:t>
      </w:r>
      <w:r w:rsidR="002D2349">
        <w:rPr>
          <w:rFonts w:cs="Times New Roman PS Std"/>
          <w:color w:val="000000"/>
        </w:rPr>
        <w:t xml:space="preserve">Department of Energy’s </w:t>
      </w:r>
      <w:r w:rsidRPr="00AF0C81">
        <w:rPr>
          <w:rFonts w:cs="Times New Roman PS Std"/>
          <w:color w:val="000000"/>
        </w:rPr>
        <w:t>Government Performance and Results Act (GPRA) Unit list started when</w:t>
      </w:r>
      <w:r w:rsidR="00EC4A1E">
        <w:rPr>
          <w:rFonts w:cs="Times New Roman PS Std"/>
          <w:color w:val="000000"/>
        </w:rPr>
        <w:t xml:space="preserve"> the Office of Management and Budget</w:t>
      </w:r>
      <w:r w:rsidRPr="00AF0C81">
        <w:rPr>
          <w:rFonts w:cs="Times New Roman PS Std"/>
          <w:color w:val="000000"/>
        </w:rPr>
        <w:t xml:space="preserve"> </w:t>
      </w:r>
      <w:r w:rsidR="00EC4A1E">
        <w:rPr>
          <w:rFonts w:cs="Times New Roman PS Std"/>
          <w:color w:val="000000"/>
        </w:rPr>
        <w:t>(</w:t>
      </w:r>
      <w:r w:rsidRPr="00AF0C81">
        <w:rPr>
          <w:rFonts w:cs="Times New Roman PS Std"/>
          <w:color w:val="000000"/>
        </w:rPr>
        <w:t>OMB</w:t>
      </w:r>
      <w:r w:rsidR="00EC4A1E">
        <w:rPr>
          <w:rFonts w:cs="Times New Roman PS Std"/>
          <w:color w:val="000000"/>
        </w:rPr>
        <w:t>)</w:t>
      </w:r>
      <w:r w:rsidRPr="00AF0C81">
        <w:rPr>
          <w:rFonts w:cs="Times New Roman PS Std"/>
          <w:color w:val="000000"/>
        </w:rPr>
        <w:t xml:space="preserve"> established the Program Assessment Rating Tool (PART) program in 2002-2003.  DOE’s Office of Performance Analysis and Evaluation worked with OMB</w:t>
      </w:r>
      <w:r w:rsidR="00EC4A1E">
        <w:rPr>
          <w:rFonts w:cs="Times New Roman PS Std"/>
          <w:color w:val="000000"/>
        </w:rPr>
        <w:t xml:space="preserve"> staff</w:t>
      </w:r>
      <w:r w:rsidRPr="00AF0C81">
        <w:rPr>
          <w:rFonts w:cs="Times New Roman PS Std"/>
          <w:color w:val="000000"/>
        </w:rPr>
        <w:t xml:space="preserve"> to </w:t>
      </w:r>
      <w:r w:rsidR="00B828DE" w:rsidRPr="00AF0C81">
        <w:rPr>
          <w:rFonts w:cs="Times New Roman PS Std"/>
          <w:color w:val="000000"/>
        </w:rPr>
        <w:t xml:space="preserve">organize </w:t>
      </w:r>
      <w:r w:rsidRPr="00AF0C81">
        <w:rPr>
          <w:rFonts w:cs="Times New Roman PS Std"/>
          <w:color w:val="000000"/>
        </w:rPr>
        <w:t xml:space="preserve">the Department into manageable units to develop performance </w:t>
      </w:r>
      <w:r w:rsidR="00B828DE" w:rsidRPr="00AF0C81">
        <w:rPr>
          <w:rFonts w:cs="Times New Roman PS Std"/>
          <w:color w:val="000000"/>
        </w:rPr>
        <w:t xml:space="preserve">metrics that could be tracked as a </w:t>
      </w:r>
      <w:r w:rsidRPr="00AF0C81">
        <w:rPr>
          <w:rFonts w:cs="Times New Roman PS Std"/>
          <w:color w:val="000000"/>
        </w:rPr>
        <w:t>“program” in the PART process.  The initial list was developed based on the DOE organization chart.  Every top line program was given a GPRA Unit number</w:t>
      </w:r>
      <w:r w:rsidR="00B828DE" w:rsidRPr="00AF0C81">
        <w:rPr>
          <w:rFonts w:cs="Times New Roman PS Std"/>
          <w:color w:val="000000"/>
        </w:rPr>
        <w:t xml:space="preserve">.  </w:t>
      </w:r>
      <w:r w:rsidR="00B828DE" w:rsidRPr="00400E59">
        <w:rPr>
          <w:rFonts w:cs="Times New Roman PS Std"/>
          <w:color w:val="000000"/>
        </w:rPr>
        <w:t xml:space="preserve">When organizations were too large to manage as a single GPRA Unit, such as </w:t>
      </w:r>
      <w:r w:rsidR="00E133B7" w:rsidRPr="002972C2">
        <w:rPr>
          <w:rFonts w:cs="Times New Roman PS Std"/>
          <w:color w:val="000000"/>
        </w:rPr>
        <w:t>the</w:t>
      </w:r>
      <w:r w:rsidR="00B828DE" w:rsidRPr="00FA7A56">
        <w:rPr>
          <w:rFonts w:cs="Times New Roman PS Std"/>
          <w:color w:val="000000"/>
        </w:rPr>
        <w:t xml:space="preserve"> Energy Efficiency and Renewable Energy programs, w</w:t>
      </w:r>
      <w:r w:rsidRPr="00FA7A56">
        <w:rPr>
          <w:rFonts w:cs="Times New Roman PS Std"/>
          <w:color w:val="000000"/>
        </w:rPr>
        <w:t xml:space="preserve">e </w:t>
      </w:r>
      <w:r w:rsidR="00E133B7" w:rsidRPr="00FA7A56">
        <w:rPr>
          <w:rFonts w:cs="Times New Roman PS Std"/>
          <w:color w:val="000000"/>
        </w:rPr>
        <w:t xml:space="preserve">agreed </w:t>
      </w:r>
      <w:r w:rsidR="002D2349">
        <w:rPr>
          <w:rFonts w:cs="Times New Roman PS Std"/>
          <w:color w:val="000000"/>
        </w:rPr>
        <w:t xml:space="preserve">to </w:t>
      </w:r>
      <w:r w:rsidR="00B828DE" w:rsidRPr="00FA7A56">
        <w:rPr>
          <w:rFonts w:cs="Times New Roman PS Std"/>
          <w:color w:val="000000"/>
        </w:rPr>
        <w:t>smaller programs</w:t>
      </w:r>
      <w:r w:rsidRPr="00FA7A56">
        <w:rPr>
          <w:rFonts w:cs="Times New Roman PS Std"/>
          <w:color w:val="000000"/>
        </w:rPr>
        <w:t xml:space="preserve">.  This organization was </w:t>
      </w:r>
      <w:r w:rsidR="00B828DE" w:rsidRPr="00FA7A56">
        <w:rPr>
          <w:rFonts w:cs="Times New Roman PS Std"/>
          <w:color w:val="000000"/>
        </w:rPr>
        <w:t>based on</w:t>
      </w:r>
      <w:r w:rsidRPr="00FA7A56">
        <w:rPr>
          <w:rFonts w:cs="Times New Roman PS Std"/>
          <w:color w:val="000000"/>
        </w:rPr>
        <w:t xml:space="preserve"> various technology areas; </w:t>
      </w:r>
      <w:r w:rsidR="00F538AC">
        <w:rPr>
          <w:rFonts w:cs="Times New Roman PS Std"/>
          <w:color w:val="000000"/>
        </w:rPr>
        <w:t xml:space="preserve">e.g., </w:t>
      </w:r>
      <w:r w:rsidRPr="00FA7A56">
        <w:rPr>
          <w:rFonts w:cs="Times New Roman PS Std"/>
          <w:color w:val="000000"/>
        </w:rPr>
        <w:t xml:space="preserve">Fossil Energy </w:t>
      </w:r>
      <w:r w:rsidR="00B828DE" w:rsidRPr="00FA7A56">
        <w:rPr>
          <w:rFonts w:cs="Times New Roman PS Std"/>
          <w:color w:val="000000"/>
        </w:rPr>
        <w:t>components</w:t>
      </w:r>
      <w:r w:rsidRPr="00FA7A56">
        <w:rPr>
          <w:rFonts w:cs="Times New Roman PS Std"/>
          <w:color w:val="000000"/>
        </w:rPr>
        <w:t xml:space="preserve"> </w:t>
      </w:r>
      <w:r w:rsidR="0021424B" w:rsidRPr="00FA7A56">
        <w:rPr>
          <w:rFonts w:cs="Times New Roman PS Std"/>
          <w:color w:val="000000"/>
        </w:rPr>
        <w:t>echo</w:t>
      </w:r>
      <w:r w:rsidRPr="00FA7A56">
        <w:rPr>
          <w:rFonts w:cs="Times New Roman PS Std"/>
          <w:color w:val="000000"/>
        </w:rPr>
        <w:t xml:space="preserve"> their main functions:  </w:t>
      </w:r>
      <w:r w:rsidR="005612F4" w:rsidRPr="00400E59">
        <w:rPr>
          <w:rFonts w:cs="Times New Roman PS Std"/>
          <w:color w:val="000000"/>
        </w:rPr>
        <w:t>Fossil Energy R&amp;D and Petroleum Reserves</w:t>
      </w:r>
      <w:r w:rsidRPr="00400E59">
        <w:rPr>
          <w:rFonts w:cs="Times New Roman PS Std"/>
          <w:color w:val="000000"/>
        </w:rPr>
        <w:t xml:space="preserve">.  GPRA Units for the </w:t>
      </w:r>
      <w:r w:rsidR="00B828DE" w:rsidRPr="002972C2">
        <w:rPr>
          <w:rFonts w:cs="Times New Roman PS Std"/>
          <w:color w:val="000000"/>
        </w:rPr>
        <w:t xml:space="preserve">Office of Science </w:t>
      </w:r>
      <w:r w:rsidRPr="00FA7A56">
        <w:rPr>
          <w:rFonts w:cs="Times New Roman PS Std"/>
          <w:color w:val="000000"/>
        </w:rPr>
        <w:t xml:space="preserve">reflect their </w:t>
      </w:r>
      <w:r w:rsidR="00974800">
        <w:rPr>
          <w:rFonts w:cs="Times New Roman PS Std"/>
          <w:color w:val="000000"/>
        </w:rPr>
        <w:t>main</w:t>
      </w:r>
      <w:r w:rsidRPr="00FA7A56">
        <w:rPr>
          <w:rFonts w:cs="Times New Roman PS Std"/>
          <w:color w:val="000000"/>
        </w:rPr>
        <w:t xml:space="preserve"> lines of business.  The National Nuclear Security Administration (NNSA) is </w:t>
      </w:r>
      <w:r w:rsidR="00A271BA" w:rsidRPr="00FA7A56">
        <w:rPr>
          <w:rFonts w:cs="Times New Roman PS Std"/>
          <w:color w:val="000000"/>
        </w:rPr>
        <w:t xml:space="preserve">disaggregated </w:t>
      </w:r>
      <w:r w:rsidR="002D2349">
        <w:rPr>
          <w:rFonts w:cs="Times New Roman PS Std"/>
          <w:color w:val="000000"/>
        </w:rPr>
        <w:t>by C</w:t>
      </w:r>
      <w:r w:rsidRPr="00FA7A56">
        <w:rPr>
          <w:rFonts w:cs="Times New Roman PS Std"/>
          <w:color w:val="000000"/>
        </w:rPr>
        <w:t xml:space="preserve">ongressional </w:t>
      </w:r>
      <w:r w:rsidR="002D2349">
        <w:rPr>
          <w:rFonts w:cs="Times New Roman PS Std"/>
          <w:color w:val="000000"/>
        </w:rPr>
        <w:t>C</w:t>
      </w:r>
      <w:r w:rsidRPr="00FA7A56">
        <w:rPr>
          <w:rFonts w:cs="Times New Roman PS Std"/>
          <w:color w:val="000000"/>
        </w:rPr>
        <w:t xml:space="preserve">ontrol points.  </w:t>
      </w:r>
      <w:r w:rsidR="001B172D" w:rsidRPr="00FA7A56">
        <w:rPr>
          <w:rFonts w:cs="Times New Roman PS Std"/>
          <w:color w:val="000000"/>
        </w:rPr>
        <w:t xml:space="preserve">In the following Inventory, GPRA Units </w:t>
      </w:r>
      <w:r w:rsidR="00400E59">
        <w:rPr>
          <w:rFonts w:cs="Times New Roman PS Std"/>
          <w:color w:val="000000"/>
        </w:rPr>
        <w:t xml:space="preserve">generally </w:t>
      </w:r>
      <w:r w:rsidR="001B172D" w:rsidRPr="00400E59">
        <w:rPr>
          <w:rFonts w:cs="Times New Roman PS Std"/>
          <w:color w:val="000000"/>
        </w:rPr>
        <w:t xml:space="preserve">appear as </w:t>
      </w:r>
      <w:r w:rsidR="000F3039" w:rsidRPr="00400E59">
        <w:rPr>
          <w:rFonts w:cs="Times New Roman PS Std"/>
          <w:color w:val="000000"/>
        </w:rPr>
        <w:t>“Programs”</w:t>
      </w:r>
      <w:r w:rsidR="001B172D" w:rsidRPr="00400E59">
        <w:rPr>
          <w:rFonts w:cs="Times New Roman PS Std"/>
          <w:color w:val="000000"/>
        </w:rPr>
        <w:t xml:space="preserve"> for each </w:t>
      </w:r>
      <w:r w:rsidR="000F3039" w:rsidRPr="00400E59">
        <w:rPr>
          <w:rFonts w:cs="Times New Roman PS Std"/>
          <w:color w:val="000000"/>
        </w:rPr>
        <w:t>DOE office</w:t>
      </w:r>
      <w:r w:rsidR="001B172D" w:rsidRPr="00400E59">
        <w:rPr>
          <w:rFonts w:cs="Times New Roman PS Std"/>
          <w:color w:val="000000"/>
        </w:rPr>
        <w:t>.</w:t>
      </w:r>
    </w:p>
    <w:p w:rsidR="009F21B5" w:rsidRPr="00AF0C81" w:rsidRDefault="009F21B5" w:rsidP="009F21B5">
      <w:pPr>
        <w:autoSpaceDE w:val="0"/>
        <w:autoSpaceDN w:val="0"/>
        <w:adjustRightInd w:val="0"/>
        <w:spacing w:after="0" w:line="240" w:lineRule="auto"/>
        <w:rPr>
          <w:rFonts w:cs="Times New Roman PS Std"/>
          <w:color w:val="000000"/>
        </w:rPr>
      </w:pPr>
      <w:r w:rsidRPr="00AF0C81">
        <w:rPr>
          <w:rFonts w:cs="Times New Roman PS Std"/>
          <w:color w:val="000000"/>
        </w:rPr>
        <w:t xml:space="preserve"> </w:t>
      </w:r>
    </w:p>
    <w:p w:rsidR="009F21B5" w:rsidRDefault="009F21B5" w:rsidP="009F21B5">
      <w:pPr>
        <w:autoSpaceDE w:val="0"/>
        <w:autoSpaceDN w:val="0"/>
        <w:adjustRightInd w:val="0"/>
        <w:spacing w:after="0" w:line="240" w:lineRule="auto"/>
        <w:rPr>
          <w:rFonts w:cs="Times New Roman PS Std"/>
          <w:color w:val="000000"/>
        </w:rPr>
      </w:pPr>
      <w:r w:rsidRPr="00AF0C81">
        <w:rPr>
          <w:rFonts w:cs="Times New Roman PS Std"/>
          <w:color w:val="000000"/>
        </w:rPr>
        <w:t xml:space="preserve">This list </w:t>
      </w:r>
      <w:r w:rsidR="001B172D" w:rsidRPr="00AF0C81">
        <w:rPr>
          <w:rFonts w:cs="Times New Roman PS Std"/>
          <w:color w:val="000000"/>
        </w:rPr>
        <w:t xml:space="preserve">of GRPA Units </w:t>
      </w:r>
      <w:r w:rsidRPr="00AF0C81">
        <w:rPr>
          <w:rFonts w:cs="Times New Roman PS Std"/>
          <w:color w:val="000000"/>
        </w:rPr>
        <w:t>is updated annually during the budget formulation process.  There have been several changes to the list over time, and new organizations</w:t>
      </w:r>
      <w:r w:rsidR="00A271BA" w:rsidRPr="00AF0C81">
        <w:rPr>
          <w:rFonts w:cs="Times New Roman PS Std"/>
          <w:color w:val="000000"/>
        </w:rPr>
        <w:t xml:space="preserve"> such </w:t>
      </w:r>
      <w:r w:rsidR="00E23CE9" w:rsidRPr="00AF0C81">
        <w:rPr>
          <w:rFonts w:cs="Times New Roman PS Std"/>
          <w:color w:val="000000"/>
        </w:rPr>
        <w:t>as Advanced</w:t>
      </w:r>
      <w:r w:rsidRPr="00AF0C81">
        <w:rPr>
          <w:rFonts w:cs="Times New Roman PS Std"/>
          <w:color w:val="000000"/>
        </w:rPr>
        <w:t xml:space="preserve"> Research Programs Agency-Energy </w:t>
      </w:r>
      <w:r w:rsidR="00FA7A56">
        <w:rPr>
          <w:rFonts w:cs="Times New Roman PS Std"/>
          <w:color w:val="000000"/>
        </w:rPr>
        <w:t xml:space="preserve">and </w:t>
      </w:r>
      <w:r w:rsidRPr="00AF0C81">
        <w:rPr>
          <w:rFonts w:cs="Times New Roman PS Std"/>
          <w:color w:val="000000"/>
        </w:rPr>
        <w:t xml:space="preserve">Loan Programs, have been added.  There is also a change control process </w:t>
      </w:r>
      <w:r w:rsidR="00C26199">
        <w:rPr>
          <w:rFonts w:cs="Times New Roman PS Std"/>
          <w:color w:val="000000"/>
        </w:rPr>
        <w:t xml:space="preserve">for GPRA Units that affect NNSA, </w:t>
      </w:r>
      <w:r w:rsidRPr="00AF0C81">
        <w:rPr>
          <w:rFonts w:cs="Times New Roman PS Std"/>
          <w:color w:val="000000"/>
        </w:rPr>
        <w:t>as these changes have a direct correlation to their budget.</w:t>
      </w:r>
    </w:p>
    <w:p w:rsidR="00275EC5" w:rsidRDefault="00275EC5" w:rsidP="009F21B5">
      <w:pPr>
        <w:autoSpaceDE w:val="0"/>
        <w:autoSpaceDN w:val="0"/>
        <w:adjustRightInd w:val="0"/>
        <w:spacing w:after="0" w:line="240" w:lineRule="auto"/>
        <w:rPr>
          <w:rFonts w:cs="Times New Roman PS Std"/>
          <w:color w:val="000000"/>
        </w:rPr>
      </w:pPr>
    </w:p>
    <w:p w:rsidR="00275EC5" w:rsidRPr="00275EC5" w:rsidRDefault="00275EC5" w:rsidP="00275EC5">
      <w:pPr>
        <w:rPr>
          <w:color w:val="000000" w:themeColor="text1"/>
        </w:rPr>
      </w:pPr>
      <w:r w:rsidRPr="00275EC5">
        <w:rPr>
          <w:color w:val="000000" w:themeColor="text1"/>
        </w:rPr>
        <w:t>The Budget Authority identified for FY 2013 in the FPI pertains to the Continuing Resolution (CR) and is and consistent with the numbers listed in DOE’s FY 2014 Congressional Request.  These are the annualized numbers under the 2013 short-term CR (P.L. 112-175) and not the 2013 Enacted appropriations, and they do not include the impacts of sequestration.  The Budget Authorities indicated for each fiscal year are summed by DOE Office and are generally provided at the appropriations account level.  While the FPI provides a comprehensive listing of programs, some accounts, such as those pertaining to receipts, are omitted herein but are included and described in greater detail in the Congressional budget request.</w:t>
      </w:r>
    </w:p>
    <w:p w:rsidR="000C762B" w:rsidRPr="00AF0C81" w:rsidRDefault="000C762B" w:rsidP="000C762B">
      <w:pPr>
        <w:autoSpaceDE w:val="0"/>
        <w:autoSpaceDN w:val="0"/>
        <w:adjustRightInd w:val="0"/>
        <w:spacing w:after="0" w:line="240" w:lineRule="auto"/>
        <w:rPr>
          <w:rFonts w:cs="Times New Roman PS Std"/>
          <w:color w:val="000000"/>
        </w:rPr>
      </w:pPr>
      <w:r w:rsidRPr="000C762B">
        <w:rPr>
          <w:rFonts w:cs="Times New Roman PS Std"/>
          <w:color w:val="000000"/>
        </w:rPr>
        <w:t>The performance hierarchy contained</w:t>
      </w:r>
      <w:r>
        <w:rPr>
          <w:rFonts w:cs="Times New Roman PS Std"/>
          <w:color w:val="000000"/>
        </w:rPr>
        <w:t xml:space="preserve"> in the FPI is consistent with</w:t>
      </w:r>
      <w:r w:rsidRPr="000C762B">
        <w:rPr>
          <w:rFonts w:cs="Times New Roman PS Std"/>
          <w:color w:val="000000"/>
        </w:rPr>
        <w:t xml:space="preserve"> the contents of DOE's other GPRA documents to include the current Strategic Plan, the FY 2014 Congressional Budget, the FY 2012-14 Annual Performance Plan and Report, and the FY 2012 Annual Financial Report.  Because program mission and performance can support multiple Strategic Objectives, the program-to-Strategic Objective one-to-one mapping used to allocate resources in other DOE GPRA documents is somewhat restrictive in creating the FPI.   </w:t>
      </w:r>
      <w:r>
        <w:rPr>
          <w:rFonts w:cs="Times New Roman PS Std"/>
          <w:color w:val="000000"/>
        </w:rPr>
        <w:t>DOE is likely to explore this consideration</w:t>
      </w:r>
      <w:r w:rsidRPr="000C762B">
        <w:rPr>
          <w:rFonts w:cs="Times New Roman PS Std"/>
          <w:color w:val="000000"/>
        </w:rPr>
        <w:t xml:space="preserve"> more fully during the development of</w:t>
      </w:r>
      <w:r>
        <w:rPr>
          <w:rFonts w:cs="Times New Roman PS Std"/>
          <w:color w:val="000000"/>
        </w:rPr>
        <w:t xml:space="preserve"> the </w:t>
      </w:r>
      <w:r w:rsidRPr="000C762B">
        <w:rPr>
          <w:rFonts w:cs="Times New Roman PS Std"/>
          <w:color w:val="000000"/>
        </w:rPr>
        <w:t>next Strategic Plan.</w:t>
      </w:r>
    </w:p>
    <w:p w:rsidR="001A1219" w:rsidRPr="00AF0C81" w:rsidRDefault="001A1219" w:rsidP="00AC00A5">
      <w:pPr>
        <w:pStyle w:val="Heading1"/>
        <w:spacing w:before="0"/>
        <w:rPr>
          <w:rFonts w:asciiTheme="minorHAnsi" w:hAnsiTheme="minorHAnsi"/>
          <w:sz w:val="22"/>
          <w:szCs w:val="22"/>
        </w:rPr>
      </w:pPr>
    </w:p>
    <w:p w:rsidR="00AC3C13" w:rsidRPr="00AF0C81" w:rsidRDefault="00AC3C13" w:rsidP="00AC00A5">
      <w:pPr>
        <w:pStyle w:val="Heading1"/>
        <w:spacing w:before="0"/>
        <w:rPr>
          <w:rFonts w:asciiTheme="minorHAnsi" w:hAnsiTheme="minorHAnsi"/>
          <w:sz w:val="22"/>
          <w:szCs w:val="22"/>
        </w:rPr>
      </w:pPr>
      <w:bookmarkStart w:id="4" w:name="_Toc352758960"/>
      <w:bookmarkStart w:id="5" w:name="_Toc357755913"/>
      <w:bookmarkStart w:id="6" w:name="_Toc357763443"/>
      <w:r w:rsidRPr="00AF0C81">
        <w:rPr>
          <w:rFonts w:asciiTheme="minorHAnsi" w:hAnsiTheme="minorHAnsi"/>
          <w:sz w:val="22"/>
          <w:szCs w:val="22"/>
        </w:rPr>
        <w:t>D</w:t>
      </w:r>
      <w:r w:rsidR="00E35BFD" w:rsidRPr="00AF0C81">
        <w:rPr>
          <w:rFonts w:asciiTheme="minorHAnsi" w:hAnsiTheme="minorHAnsi"/>
          <w:sz w:val="22"/>
          <w:szCs w:val="22"/>
        </w:rPr>
        <w:t>OE</w:t>
      </w:r>
      <w:r w:rsidRPr="00AF0C81">
        <w:rPr>
          <w:rFonts w:asciiTheme="minorHAnsi" w:hAnsiTheme="minorHAnsi"/>
          <w:sz w:val="22"/>
          <w:szCs w:val="22"/>
        </w:rPr>
        <w:t xml:space="preserve"> Organization</w:t>
      </w:r>
      <w:bookmarkEnd w:id="4"/>
      <w:bookmarkEnd w:id="5"/>
      <w:bookmarkEnd w:id="6"/>
    </w:p>
    <w:p w:rsidR="00E35BFD" w:rsidRPr="00AF0C81" w:rsidRDefault="00E35BFD" w:rsidP="00BC0EA3">
      <w:pPr>
        <w:pStyle w:val="Default"/>
        <w:spacing w:line="276" w:lineRule="auto"/>
        <w:rPr>
          <w:rFonts w:asciiTheme="minorHAnsi" w:eastAsiaTheme="minorHAnsi" w:hAnsiTheme="minorHAnsi" w:cs="Calibri"/>
          <w:color w:val="auto"/>
          <w:sz w:val="22"/>
          <w:szCs w:val="22"/>
        </w:rPr>
      </w:pPr>
      <w:r w:rsidRPr="00AF0C81">
        <w:rPr>
          <w:rFonts w:asciiTheme="minorHAnsi" w:eastAsiaTheme="minorHAnsi" w:hAnsiTheme="minorHAnsi" w:cs="Calibri"/>
          <w:color w:val="auto"/>
          <w:sz w:val="22"/>
          <w:szCs w:val="22"/>
        </w:rPr>
        <w:t xml:space="preserve">In response to changing needs and an extended energy crisis, the Congress passed the Department of Energy Organization Act in 1977, creating the </w:t>
      </w:r>
      <w:hyperlink r:id="rId11" w:history="1">
        <w:r w:rsidRPr="00AF0C81">
          <w:rPr>
            <w:rFonts w:asciiTheme="minorHAnsi" w:eastAsiaTheme="minorHAnsi" w:hAnsiTheme="minorHAnsi" w:cs="Calibri"/>
            <w:color w:val="auto"/>
            <w:sz w:val="22"/>
            <w:szCs w:val="22"/>
          </w:rPr>
          <w:t>Department of Energy</w:t>
        </w:r>
      </w:hyperlink>
      <w:r w:rsidR="00C74D70" w:rsidRPr="00AF0C81">
        <w:rPr>
          <w:rFonts w:asciiTheme="minorHAnsi" w:eastAsiaTheme="minorHAnsi" w:hAnsiTheme="minorHAnsi" w:cs="Calibri"/>
          <w:color w:val="auto"/>
          <w:sz w:val="22"/>
          <w:szCs w:val="22"/>
        </w:rPr>
        <w:t xml:space="preserve"> (DOE)</w:t>
      </w:r>
      <w:r w:rsidRPr="00AF0C81">
        <w:rPr>
          <w:rFonts w:asciiTheme="minorHAnsi" w:eastAsiaTheme="minorHAnsi" w:hAnsiTheme="minorHAnsi" w:cs="Calibri"/>
          <w:color w:val="auto"/>
          <w:sz w:val="22"/>
          <w:szCs w:val="22"/>
        </w:rPr>
        <w:t xml:space="preserve">. </w:t>
      </w:r>
      <w:r w:rsidR="00811C23" w:rsidRPr="00AF0C81">
        <w:rPr>
          <w:rFonts w:asciiTheme="minorHAnsi" w:eastAsiaTheme="minorHAnsi" w:hAnsiTheme="minorHAnsi" w:cs="Calibri"/>
          <w:color w:val="auto"/>
          <w:sz w:val="22"/>
          <w:szCs w:val="22"/>
        </w:rPr>
        <w:t xml:space="preserve"> </w:t>
      </w:r>
      <w:r w:rsidRPr="00AF0C81">
        <w:rPr>
          <w:rFonts w:asciiTheme="minorHAnsi" w:eastAsiaTheme="minorHAnsi" w:hAnsiTheme="minorHAnsi" w:cs="Calibri"/>
          <w:color w:val="auto"/>
          <w:sz w:val="22"/>
          <w:szCs w:val="22"/>
        </w:rPr>
        <w:t>That legislation brought together for the first time, not only most of the government’s energy programs, but also science and technology programs and defense responsibilities that included the design, construction</w:t>
      </w:r>
      <w:r w:rsidR="00AB671B">
        <w:rPr>
          <w:rFonts w:asciiTheme="minorHAnsi" w:eastAsiaTheme="minorHAnsi" w:hAnsiTheme="minorHAnsi" w:cs="Calibri"/>
          <w:color w:val="auto"/>
          <w:sz w:val="22"/>
          <w:szCs w:val="22"/>
        </w:rPr>
        <w:t>,</w:t>
      </w:r>
      <w:r w:rsidRPr="00AF0C81">
        <w:rPr>
          <w:rFonts w:asciiTheme="minorHAnsi" w:eastAsiaTheme="minorHAnsi" w:hAnsiTheme="minorHAnsi" w:cs="Calibri"/>
          <w:color w:val="auto"/>
          <w:sz w:val="22"/>
          <w:szCs w:val="22"/>
        </w:rPr>
        <w:t xml:space="preserve"> and testing of nuclear weapons. The Department provided the framework for a comprehensive and balanced </w:t>
      </w:r>
      <w:r w:rsidR="005C0D32" w:rsidRPr="00AF0C81">
        <w:rPr>
          <w:rFonts w:asciiTheme="minorHAnsi" w:eastAsiaTheme="minorHAnsi" w:hAnsiTheme="minorHAnsi" w:cs="Calibri"/>
          <w:color w:val="auto"/>
          <w:sz w:val="22"/>
          <w:szCs w:val="22"/>
        </w:rPr>
        <w:t>n</w:t>
      </w:r>
      <w:r w:rsidR="0022118D" w:rsidRPr="00AF0C81">
        <w:rPr>
          <w:rFonts w:asciiTheme="minorHAnsi" w:eastAsiaTheme="minorHAnsi" w:hAnsiTheme="minorHAnsi" w:cs="Calibri"/>
          <w:color w:val="auto"/>
          <w:sz w:val="22"/>
          <w:szCs w:val="22"/>
        </w:rPr>
        <w:t>ation</w:t>
      </w:r>
      <w:r w:rsidRPr="00AF0C81">
        <w:rPr>
          <w:rFonts w:asciiTheme="minorHAnsi" w:eastAsiaTheme="minorHAnsi" w:hAnsiTheme="minorHAnsi" w:cs="Calibri"/>
          <w:color w:val="auto"/>
          <w:sz w:val="22"/>
          <w:szCs w:val="22"/>
        </w:rPr>
        <w:t xml:space="preserve">al energy plan by coordinating and administering </w:t>
      </w:r>
      <w:r w:rsidR="00E133B7">
        <w:rPr>
          <w:rFonts w:asciiTheme="minorHAnsi" w:eastAsiaTheme="minorHAnsi" w:hAnsiTheme="minorHAnsi" w:cs="Calibri"/>
          <w:color w:val="auto"/>
          <w:sz w:val="22"/>
          <w:szCs w:val="22"/>
        </w:rPr>
        <w:t xml:space="preserve">multiple </w:t>
      </w:r>
      <w:r w:rsidRPr="00AF0C81">
        <w:rPr>
          <w:rFonts w:asciiTheme="minorHAnsi" w:eastAsiaTheme="minorHAnsi" w:hAnsiTheme="minorHAnsi" w:cs="Calibri"/>
          <w:color w:val="auto"/>
          <w:sz w:val="22"/>
          <w:szCs w:val="22"/>
        </w:rPr>
        <w:t>energy</w:t>
      </w:r>
      <w:r w:rsidR="00E133B7">
        <w:rPr>
          <w:rFonts w:asciiTheme="minorHAnsi" w:eastAsiaTheme="minorHAnsi" w:hAnsiTheme="minorHAnsi" w:cs="Calibri"/>
          <w:color w:val="auto"/>
          <w:sz w:val="22"/>
          <w:szCs w:val="22"/>
        </w:rPr>
        <w:t>-related</w:t>
      </w:r>
      <w:r w:rsidRPr="00AF0C81">
        <w:rPr>
          <w:rFonts w:asciiTheme="minorHAnsi" w:eastAsiaTheme="minorHAnsi" w:hAnsiTheme="minorHAnsi" w:cs="Calibri"/>
          <w:color w:val="auto"/>
          <w:sz w:val="22"/>
          <w:szCs w:val="22"/>
        </w:rPr>
        <w:t xml:space="preserve"> functions of the </w:t>
      </w:r>
      <w:r w:rsidR="005C0D32" w:rsidRPr="00AF0C81">
        <w:rPr>
          <w:rFonts w:asciiTheme="minorHAnsi" w:eastAsiaTheme="minorHAnsi" w:hAnsiTheme="minorHAnsi" w:cs="Calibri"/>
          <w:color w:val="auto"/>
          <w:sz w:val="22"/>
          <w:szCs w:val="22"/>
        </w:rPr>
        <w:t>f</w:t>
      </w:r>
      <w:r w:rsidR="0022118D" w:rsidRPr="00AF0C81">
        <w:rPr>
          <w:rFonts w:asciiTheme="minorHAnsi" w:eastAsiaTheme="minorHAnsi" w:hAnsiTheme="minorHAnsi" w:cs="Calibri"/>
          <w:color w:val="auto"/>
          <w:sz w:val="22"/>
          <w:szCs w:val="22"/>
        </w:rPr>
        <w:t>ederal</w:t>
      </w:r>
      <w:r w:rsidRPr="00AF0C81">
        <w:rPr>
          <w:rFonts w:asciiTheme="minorHAnsi" w:eastAsiaTheme="minorHAnsi" w:hAnsiTheme="minorHAnsi" w:cs="Calibri"/>
          <w:color w:val="auto"/>
          <w:sz w:val="22"/>
          <w:szCs w:val="22"/>
        </w:rPr>
        <w:t xml:space="preserve"> government.</w:t>
      </w:r>
      <w:r w:rsidR="00811C23" w:rsidRPr="00AF0C81">
        <w:rPr>
          <w:rFonts w:asciiTheme="minorHAnsi" w:eastAsiaTheme="minorHAnsi" w:hAnsiTheme="minorHAnsi" w:cs="Calibri"/>
          <w:color w:val="auto"/>
          <w:sz w:val="22"/>
          <w:szCs w:val="22"/>
        </w:rPr>
        <w:t xml:space="preserve">  </w:t>
      </w:r>
      <w:r w:rsidRPr="00AF0C81">
        <w:rPr>
          <w:rFonts w:asciiTheme="minorHAnsi" w:eastAsiaTheme="minorHAnsi" w:hAnsiTheme="minorHAnsi" w:cs="Calibri"/>
          <w:color w:val="auto"/>
          <w:sz w:val="22"/>
          <w:szCs w:val="22"/>
        </w:rPr>
        <w:t xml:space="preserve">The Department undertook responsibility for long-term, high-risk research and development of energy technology, </w:t>
      </w:r>
      <w:r w:rsidR="005C0D32" w:rsidRPr="00AF0C81">
        <w:rPr>
          <w:rFonts w:asciiTheme="minorHAnsi" w:eastAsiaTheme="minorHAnsi" w:hAnsiTheme="minorHAnsi" w:cs="Calibri"/>
          <w:color w:val="auto"/>
          <w:sz w:val="22"/>
          <w:szCs w:val="22"/>
        </w:rPr>
        <w:t>f</w:t>
      </w:r>
      <w:r w:rsidR="0022118D" w:rsidRPr="00AF0C81">
        <w:rPr>
          <w:rFonts w:asciiTheme="minorHAnsi" w:eastAsiaTheme="minorHAnsi" w:hAnsiTheme="minorHAnsi" w:cs="Calibri"/>
          <w:color w:val="auto"/>
          <w:sz w:val="22"/>
          <w:szCs w:val="22"/>
        </w:rPr>
        <w:t>ederal</w:t>
      </w:r>
      <w:r w:rsidRPr="00AF0C81">
        <w:rPr>
          <w:rFonts w:asciiTheme="minorHAnsi" w:eastAsiaTheme="minorHAnsi" w:hAnsiTheme="minorHAnsi" w:cs="Calibri"/>
          <w:color w:val="auto"/>
          <w:sz w:val="22"/>
          <w:szCs w:val="22"/>
        </w:rPr>
        <w:t xml:space="preserve"> power marketing, some energy conservation activities, the nuclear weapons programs, some energy regulatory programs</w:t>
      </w:r>
      <w:r w:rsidR="00AB671B">
        <w:rPr>
          <w:rFonts w:asciiTheme="minorHAnsi" w:eastAsiaTheme="minorHAnsi" w:hAnsiTheme="minorHAnsi" w:cs="Calibri"/>
          <w:color w:val="auto"/>
          <w:sz w:val="22"/>
          <w:szCs w:val="22"/>
        </w:rPr>
        <w:t>,</w:t>
      </w:r>
      <w:r w:rsidRPr="00AF0C81">
        <w:rPr>
          <w:rFonts w:asciiTheme="minorHAnsi" w:eastAsiaTheme="minorHAnsi" w:hAnsiTheme="minorHAnsi" w:cs="Calibri"/>
          <w:color w:val="auto"/>
          <w:sz w:val="22"/>
          <w:szCs w:val="22"/>
        </w:rPr>
        <w:t xml:space="preserve"> and a central energy data collection and analysis program.</w:t>
      </w:r>
    </w:p>
    <w:p w:rsidR="00E35BFD" w:rsidRPr="00AF0C81" w:rsidRDefault="00E35BFD" w:rsidP="00BC0EA3">
      <w:pPr>
        <w:pStyle w:val="Default"/>
        <w:spacing w:line="276" w:lineRule="auto"/>
        <w:rPr>
          <w:rFonts w:asciiTheme="minorHAnsi" w:eastAsiaTheme="minorHAnsi" w:hAnsiTheme="minorHAnsi" w:cs="Calibri"/>
          <w:color w:val="auto"/>
          <w:sz w:val="22"/>
          <w:szCs w:val="22"/>
        </w:rPr>
      </w:pPr>
    </w:p>
    <w:p w:rsidR="00A271BA" w:rsidRPr="00AF0C81" w:rsidRDefault="00A271BA" w:rsidP="00F82CE7">
      <w:pPr>
        <w:pStyle w:val="Default"/>
        <w:spacing w:line="276" w:lineRule="auto"/>
        <w:rPr>
          <w:rFonts w:asciiTheme="minorHAnsi" w:eastAsiaTheme="minorHAnsi" w:hAnsiTheme="minorHAnsi" w:cs="Calibri"/>
          <w:color w:val="auto"/>
          <w:sz w:val="22"/>
          <w:szCs w:val="22"/>
        </w:rPr>
      </w:pPr>
      <w:r w:rsidRPr="00AF0C81">
        <w:rPr>
          <w:rFonts w:asciiTheme="minorHAnsi" w:eastAsiaTheme="minorHAnsi" w:hAnsiTheme="minorHAnsi" w:cs="Calibri"/>
          <w:color w:val="auto"/>
          <w:sz w:val="22"/>
          <w:szCs w:val="22"/>
        </w:rPr>
        <w:t xml:space="preserve">Currently, DOE is </w:t>
      </w:r>
      <w:r w:rsidR="00E133B7">
        <w:rPr>
          <w:rFonts w:asciiTheme="minorHAnsi" w:eastAsiaTheme="minorHAnsi" w:hAnsiTheme="minorHAnsi" w:cs="Calibri"/>
          <w:color w:val="auto"/>
          <w:sz w:val="22"/>
          <w:szCs w:val="22"/>
        </w:rPr>
        <w:t xml:space="preserve">organized under and </w:t>
      </w:r>
      <w:r w:rsidRPr="00AF0C81">
        <w:rPr>
          <w:rFonts w:asciiTheme="minorHAnsi" w:eastAsiaTheme="minorHAnsi" w:hAnsiTheme="minorHAnsi" w:cs="Calibri"/>
          <w:color w:val="auto"/>
          <w:sz w:val="22"/>
          <w:szCs w:val="22"/>
        </w:rPr>
        <w:t>managed by</w:t>
      </w:r>
      <w:r w:rsidR="00E35BFD" w:rsidRPr="00AF0C81">
        <w:rPr>
          <w:rFonts w:asciiTheme="minorHAnsi" w:eastAsiaTheme="minorHAnsi" w:hAnsiTheme="minorHAnsi" w:cs="Calibri"/>
          <w:color w:val="auto"/>
          <w:sz w:val="22"/>
          <w:szCs w:val="22"/>
        </w:rPr>
        <w:t xml:space="preserve"> Under Secretaries (Nuclear Security, Energy, and Science), the Energy Information Administration, the Advanced Research Projects Agency-Energy, the Loans Program Office, 4 Power Marketing Administrations, 13 staff and support offices, 22 operations and area offices, and 24 research laboratories and facilities.  </w:t>
      </w:r>
    </w:p>
    <w:p w:rsidR="00A271BA" w:rsidRPr="00AF0C81" w:rsidRDefault="00A271BA" w:rsidP="00F82CE7">
      <w:pPr>
        <w:pStyle w:val="Default"/>
        <w:spacing w:line="276" w:lineRule="auto"/>
        <w:rPr>
          <w:rFonts w:asciiTheme="minorHAnsi" w:eastAsiaTheme="minorHAnsi" w:hAnsiTheme="minorHAnsi" w:cs="Calibri"/>
          <w:color w:val="auto"/>
          <w:sz w:val="22"/>
          <w:szCs w:val="22"/>
        </w:rPr>
      </w:pPr>
    </w:p>
    <w:p w:rsidR="00E35BFD" w:rsidRPr="00AF0C81" w:rsidRDefault="00E35BFD" w:rsidP="00F82CE7">
      <w:pPr>
        <w:pStyle w:val="Default"/>
        <w:spacing w:line="276" w:lineRule="auto"/>
        <w:rPr>
          <w:rFonts w:asciiTheme="minorHAnsi" w:eastAsiaTheme="minorHAnsi" w:hAnsiTheme="minorHAnsi" w:cs="Calibri"/>
          <w:color w:val="auto"/>
          <w:sz w:val="22"/>
          <w:szCs w:val="22"/>
        </w:rPr>
      </w:pPr>
      <w:r w:rsidRPr="00FA7A56">
        <w:rPr>
          <w:rFonts w:asciiTheme="minorHAnsi" w:eastAsiaTheme="minorHAnsi" w:hAnsiTheme="minorHAnsi" w:cs="Calibri"/>
          <w:color w:val="auto"/>
          <w:sz w:val="22"/>
          <w:szCs w:val="22"/>
        </w:rPr>
        <w:t>The FY 201</w:t>
      </w:r>
      <w:r w:rsidR="00D05709" w:rsidRPr="00FA7A56">
        <w:rPr>
          <w:rFonts w:asciiTheme="minorHAnsi" w:eastAsiaTheme="minorHAnsi" w:hAnsiTheme="minorHAnsi" w:cs="Calibri"/>
          <w:color w:val="auto"/>
          <w:sz w:val="22"/>
          <w:szCs w:val="22"/>
        </w:rPr>
        <w:t>2</w:t>
      </w:r>
      <w:r w:rsidRPr="00FA7A56">
        <w:rPr>
          <w:rFonts w:asciiTheme="minorHAnsi" w:eastAsiaTheme="minorHAnsi" w:hAnsiTheme="minorHAnsi" w:cs="Calibri"/>
          <w:color w:val="auto"/>
          <w:sz w:val="22"/>
          <w:szCs w:val="22"/>
        </w:rPr>
        <w:t xml:space="preserve"> workforce was comprised of </w:t>
      </w:r>
      <w:r w:rsidR="00260345">
        <w:rPr>
          <w:rFonts w:asciiTheme="minorHAnsi" w:eastAsiaTheme="minorHAnsi" w:hAnsiTheme="minorHAnsi" w:cs="Calibri"/>
          <w:color w:val="auto"/>
          <w:sz w:val="22"/>
          <w:szCs w:val="22"/>
        </w:rPr>
        <w:t xml:space="preserve">approximately </w:t>
      </w:r>
      <w:r w:rsidR="001C6149" w:rsidRPr="00FA7A56">
        <w:rPr>
          <w:rFonts w:asciiTheme="minorHAnsi" w:eastAsiaTheme="minorHAnsi" w:hAnsiTheme="minorHAnsi" w:cs="Calibri"/>
          <w:color w:val="auto"/>
          <w:sz w:val="22"/>
          <w:szCs w:val="22"/>
        </w:rPr>
        <w:t>15,671</w:t>
      </w:r>
      <w:r w:rsidRPr="00FA7A56">
        <w:rPr>
          <w:rFonts w:asciiTheme="minorHAnsi" w:eastAsiaTheme="minorHAnsi" w:hAnsiTheme="minorHAnsi" w:cs="Calibri"/>
          <w:color w:val="auto"/>
          <w:sz w:val="22"/>
          <w:szCs w:val="22"/>
        </w:rPr>
        <w:t xml:space="preserve"> </w:t>
      </w:r>
      <w:r w:rsidR="00D05709" w:rsidRPr="00FA7A56">
        <w:rPr>
          <w:rFonts w:asciiTheme="minorHAnsi" w:eastAsiaTheme="minorHAnsi" w:hAnsiTheme="minorHAnsi" w:cs="Calibri"/>
          <w:color w:val="auto"/>
          <w:sz w:val="22"/>
          <w:szCs w:val="22"/>
        </w:rPr>
        <w:t>f</w:t>
      </w:r>
      <w:r w:rsidR="0022118D" w:rsidRPr="00FA7A56">
        <w:rPr>
          <w:rFonts w:asciiTheme="minorHAnsi" w:eastAsiaTheme="minorHAnsi" w:hAnsiTheme="minorHAnsi" w:cs="Calibri"/>
          <w:color w:val="auto"/>
          <w:sz w:val="22"/>
          <w:szCs w:val="22"/>
        </w:rPr>
        <w:t>ederal</w:t>
      </w:r>
      <w:r w:rsidRPr="00FA7A56">
        <w:rPr>
          <w:rFonts w:asciiTheme="minorHAnsi" w:eastAsiaTheme="minorHAnsi" w:hAnsiTheme="minorHAnsi" w:cs="Calibri"/>
          <w:color w:val="auto"/>
          <w:sz w:val="22"/>
          <w:szCs w:val="22"/>
        </w:rPr>
        <w:t xml:space="preserve"> and </w:t>
      </w:r>
      <w:r w:rsidR="001C6149" w:rsidRPr="00FA7A56">
        <w:rPr>
          <w:rFonts w:asciiTheme="minorHAnsi" w:eastAsiaTheme="minorHAnsi" w:hAnsiTheme="minorHAnsi" w:cs="Calibri"/>
          <w:color w:val="auto"/>
          <w:sz w:val="22"/>
          <w:szCs w:val="22"/>
        </w:rPr>
        <w:t>92,419</w:t>
      </w:r>
      <w:r w:rsidRPr="00FA7A56">
        <w:rPr>
          <w:rFonts w:asciiTheme="minorHAnsi" w:eastAsiaTheme="minorHAnsi" w:hAnsiTheme="minorHAnsi" w:cs="Calibri"/>
          <w:color w:val="auto"/>
          <w:sz w:val="22"/>
          <w:szCs w:val="22"/>
        </w:rPr>
        <w:t xml:space="preserve"> contractor employees</w:t>
      </w:r>
      <w:r w:rsidR="001C6149" w:rsidRPr="00FA7A56">
        <w:rPr>
          <w:rFonts w:asciiTheme="minorHAnsi" w:eastAsiaTheme="minorHAnsi" w:hAnsiTheme="minorHAnsi" w:cs="Calibri"/>
          <w:color w:val="auto"/>
          <w:sz w:val="22"/>
          <w:szCs w:val="22"/>
        </w:rPr>
        <w:t xml:space="preserve"> (estimated)</w:t>
      </w:r>
      <w:r w:rsidRPr="00FA7A56">
        <w:rPr>
          <w:rFonts w:asciiTheme="minorHAnsi" w:eastAsiaTheme="minorHAnsi" w:hAnsiTheme="minorHAnsi" w:cs="Calibri"/>
          <w:color w:val="auto"/>
          <w:sz w:val="22"/>
          <w:szCs w:val="22"/>
        </w:rPr>
        <w:t>.</w:t>
      </w:r>
      <w:r w:rsidRPr="00AF0C81">
        <w:rPr>
          <w:rFonts w:asciiTheme="minorHAnsi" w:eastAsiaTheme="minorHAnsi" w:hAnsiTheme="minorHAnsi" w:cs="Calibri"/>
          <w:color w:val="auto"/>
          <w:sz w:val="22"/>
          <w:szCs w:val="22"/>
        </w:rPr>
        <w:t xml:space="preserve">  The large number of contractors is attributable </w:t>
      </w:r>
      <w:r w:rsidR="008709DA">
        <w:rPr>
          <w:rFonts w:asciiTheme="minorHAnsi" w:eastAsiaTheme="minorHAnsi" w:hAnsiTheme="minorHAnsi" w:cs="Calibri"/>
          <w:color w:val="auto"/>
          <w:sz w:val="22"/>
          <w:szCs w:val="22"/>
        </w:rPr>
        <w:t xml:space="preserve">primarily to the contractor </w:t>
      </w:r>
      <w:r w:rsidRPr="00AF0C81">
        <w:rPr>
          <w:rFonts w:asciiTheme="minorHAnsi" w:eastAsiaTheme="minorHAnsi" w:hAnsiTheme="minorHAnsi" w:cs="Calibri"/>
          <w:color w:val="auto"/>
          <w:sz w:val="22"/>
          <w:szCs w:val="22"/>
        </w:rPr>
        <w:t>manage</w:t>
      </w:r>
      <w:r w:rsidR="008709DA">
        <w:rPr>
          <w:rFonts w:asciiTheme="minorHAnsi" w:eastAsiaTheme="minorHAnsi" w:hAnsiTheme="minorHAnsi" w:cs="Calibri"/>
          <w:color w:val="auto"/>
          <w:sz w:val="22"/>
          <w:szCs w:val="22"/>
        </w:rPr>
        <w:t>ment</w:t>
      </w:r>
      <w:r w:rsidRPr="00AF0C81">
        <w:rPr>
          <w:rFonts w:asciiTheme="minorHAnsi" w:eastAsiaTheme="minorHAnsi" w:hAnsiTheme="minorHAnsi" w:cs="Calibri"/>
          <w:color w:val="auto"/>
          <w:sz w:val="22"/>
          <w:szCs w:val="22"/>
        </w:rPr>
        <w:t xml:space="preserve"> and operat</w:t>
      </w:r>
      <w:r w:rsidR="008709DA">
        <w:rPr>
          <w:rFonts w:asciiTheme="minorHAnsi" w:eastAsiaTheme="minorHAnsi" w:hAnsiTheme="minorHAnsi" w:cs="Calibri"/>
          <w:color w:val="auto"/>
          <w:sz w:val="22"/>
          <w:szCs w:val="22"/>
        </w:rPr>
        <w:t>ion model for</w:t>
      </w:r>
      <w:r w:rsidRPr="00AF0C81">
        <w:rPr>
          <w:rFonts w:asciiTheme="minorHAnsi" w:eastAsiaTheme="minorHAnsi" w:hAnsiTheme="minorHAnsi" w:cs="Calibri"/>
          <w:color w:val="auto"/>
          <w:sz w:val="22"/>
          <w:szCs w:val="22"/>
        </w:rPr>
        <w:t xml:space="preserve"> DOE’s 17 </w:t>
      </w:r>
      <w:r w:rsidR="005C0D32" w:rsidRPr="00AF0C81">
        <w:rPr>
          <w:rFonts w:asciiTheme="minorHAnsi" w:eastAsiaTheme="minorHAnsi" w:hAnsiTheme="minorHAnsi" w:cs="Calibri"/>
          <w:color w:val="auto"/>
          <w:sz w:val="22"/>
          <w:szCs w:val="22"/>
        </w:rPr>
        <w:t>n</w:t>
      </w:r>
      <w:r w:rsidR="0022118D" w:rsidRPr="00AF0C81">
        <w:rPr>
          <w:rFonts w:asciiTheme="minorHAnsi" w:eastAsiaTheme="minorHAnsi" w:hAnsiTheme="minorHAnsi" w:cs="Calibri"/>
          <w:color w:val="auto"/>
          <w:sz w:val="22"/>
          <w:szCs w:val="22"/>
        </w:rPr>
        <w:t>ation</w:t>
      </w:r>
      <w:r w:rsidRPr="00AF0C81">
        <w:rPr>
          <w:rFonts w:asciiTheme="minorHAnsi" w:eastAsiaTheme="minorHAnsi" w:hAnsiTheme="minorHAnsi" w:cs="Calibri"/>
          <w:color w:val="auto"/>
          <w:sz w:val="22"/>
          <w:szCs w:val="22"/>
        </w:rPr>
        <w:t>al laboratories.</w:t>
      </w:r>
      <w:r w:rsidR="00C23E1F" w:rsidRPr="00AF0C81">
        <w:rPr>
          <w:rFonts w:asciiTheme="minorHAnsi" w:eastAsiaTheme="minorHAnsi" w:hAnsiTheme="minorHAnsi" w:cs="Calibri"/>
          <w:color w:val="auto"/>
          <w:sz w:val="22"/>
          <w:szCs w:val="22"/>
        </w:rPr>
        <w:t xml:space="preserve">  The Department’s organizational chart is located at:  </w:t>
      </w:r>
      <w:hyperlink r:id="rId12" w:history="1">
        <w:r w:rsidR="00C23E1F" w:rsidRPr="00AF0C81">
          <w:rPr>
            <w:rStyle w:val="Hyperlink"/>
            <w:rFonts w:eastAsiaTheme="minorHAnsi" w:cs="Calibri"/>
            <w:sz w:val="22"/>
            <w:szCs w:val="22"/>
          </w:rPr>
          <w:t>http://energy.gov/about-us/organization-chart</w:t>
        </w:r>
      </w:hyperlink>
    </w:p>
    <w:p w:rsidR="00AC3C13" w:rsidRPr="00AF0C81" w:rsidRDefault="00AC3C13" w:rsidP="00F82CE7">
      <w:pPr>
        <w:pStyle w:val="Default"/>
        <w:spacing w:line="276" w:lineRule="auto"/>
        <w:rPr>
          <w:rFonts w:asciiTheme="minorHAnsi" w:hAnsiTheme="minorHAnsi"/>
          <w:iCs/>
          <w:sz w:val="22"/>
          <w:szCs w:val="22"/>
        </w:rPr>
      </w:pPr>
    </w:p>
    <w:p w:rsidR="00223CDD" w:rsidRPr="00AF0C81" w:rsidRDefault="00223CDD" w:rsidP="00F82CE7">
      <w:pPr>
        <w:pStyle w:val="Heading1"/>
        <w:spacing w:before="0"/>
        <w:rPr>
          <w:rFonts w:asciiTheme="minorHAnsi" w:hAnsiTheme="minorHAnsi"/>
          <w:sz w:val="22"/>
          <w:szCs w:val="22"/>
        </w:rPr>
      </w:pPr>
      <w:bookmarkStart w:id="7" w:name="_Toc352758961"/>
      <w:bookmarkStart w:id="8" w:name="_Toc357755914"/>
      <w:bookmarkStart w:id="9" w:name="_Toc357763444"/>
      <w:r w:rsidRPr="00AF0C81">
        <w:rPr>
          <w:rFonts w:asciiTheme="minorHAnsi" w:hAnsiTheme="minorHAnsi"/>
          <w:sz w:val="22"/>
          <w:szCs w:val="22"/>
        </w:rPr>
        <w:t>Strategic Framework</w:t>
      </w:r>
      <w:bookmarkEnd w:id="7"/>
      <w:bookmarkEnd w:id="8"/>
      <w:bookmarkEnd w:id="9"/>
    </w:p>
    <w:p w:rsidR="004026D7" w:rsidRPr="00AF0C81" w:rsidRDefault="004875AB" w:rsidP="00BC0EA3">
      <w:pPr>
        <w:autoSpaceDE w:val="0"/>
        <w:autoSpaceDN w:val="0"/>
        <w:adjustRightInd w:val="0"/>
        <w:spacing w:after="0"/>
        <w:rPr>
          <w:rFonts w:cs="Calibri"/>
        </w:rPr>
      </w:pPr>
      <w:r w:rsidRPr="00AF0C81">
        <w:rPr>
          <w:rFonts w:cs="Calibri"/>
        </w:rPr>
        <w:t>DOE</w:t>
      </w:r>
      <w:r w:rsidR="004026D7" w:rsidRPr="00AF0C81">
        <w:rPr>
          <w:rFonts w:cs="Calibri"/>
        </w:rPr>
        <w:t xml:space="preserve"> </w:t>
      </w:r>
      <w:r w:rsidR="00F07139" w:rsidRPr="00AF0C81">
        <w:rPr>
          <w:rFonts w:cs="Calibri"/>
        </w:rPr>
        <w:t xml:space="preserve">last </w:t>
      </w:r>
      <w:r w:rsidR="004026D7" w:rsidRPr="00AF0C81">
        <w:rPr>
          <w:rFonts w:cs="Calibri"/>
        </w:rPr>
        <w:t>released its Strategic Plan</w:t>
      </w:r>
      <w:r w:rsidR="00F07139" w:rsidRPr="00AF0C81">
        <w:rPr>
          <w:rFonts w:cs="Calibri"/>
        </w:rPr>
        <w:t xml:space="preserve"> in May 2011</w:t>
      </w:r>
      <w:r w:rsidR="004026D7" w:rsidRPr="00AF0C81">
        <w:rPr>
          <w:rFonts w:cs="Calibri"/>
        </w:rPr>
        <w:t>, a document that outlines the broad, cross-cutting</w:t>
      </w:r>
      <w:r w:rsidR="00F07139" w:rsidRPr="00AF0C81">
        <w:rPr>
          <w:rFonts w:cs="Calibri"/>
        </w:rPr>
        <w:t>,</w:t>
      </w:r>
      <w:r w:rsidR="004026D7" w:rsidRPr="00AF0C81">
        <w:rPr>
          <w:rFonts w:cs="Calibri"/>
        </w:rPr>
        <w:t xml:space="preserve"> and collaborative goals that stretch across </w:t>
      </w:r>
      <w:r w:rsidR="00F07139" w:rsidRPr="00AF0C81">
        <w:rPr>
          <w:rFonts w:cs="Calibri"/>
        </w:rPr>
        <w:t>the</w:t>
      </w:r>
      <w:r w:rsidR="004026D7" w:rsidRPr="00AF0C81">
        <w:rPr>
          <w:rFonts w:cs="Calibri"/>
        </w:rPr>
        <w:t xml:space="preserve"> complex. </w:t>
      </w:r>
      <w:r w:rsidR="00F07139" w:rsidRPr="00AF0C81">
        <w:rPr>
          <w:rFonts w:cs="Calibri"/>
        </w:rPr>
        <w:t>This document</w:t>
      </w:r>
      <w:r w:rsidR="004026D7" w:rsidRPr="00AF0C81">
        <w:rPr>
          <w:rFonts w:cs="Calibri"/>
        </w:rPr>
        <w:t xml:space="preserve"> </w:t>
      </w:r>
      <w:r w:rsidR="00F07139" w:rsidRPr="00AF0C81">
        <w:rPr>
          <w:rFonts w:cs="Calibri"/>
        </w:rPr>
        <w:t>serves</w:t>
      </w:r>
      <w:r w:rsidR="004026D7" w:rsidRPr="00AF0C81">
        <w:rPr>
          <w:rFonts w:cs="Calibri"/>
        </w:rPr>
        <w:t xml:space="preserve"> as a blueprint </w:t>
      </w:r>
      <w:r w:rsidR="00F07139" w:rsidRPr="00AF0C81">
        <w:rPr>
          <w:rFonts w:cs="Calibri"/>
        </w:rPr>
        <w:t xml:space="preserve">for </w:t>
      </w:r>
      <w:r w:rsidR="00E133B7">
        <w:rPr>
          <w:rFonts w:cs="Calibri"/>
        </w:rPr>
        <w:t xml:space="preserve">how DOE </w:t>
      </w:r>
      <w:r w:rsidR="00F07139" w:rsidRPr="00AF0C81">
        <w:rPr>
          <w:rFonts w:cs="Calibri"/>
        </w:rPr>
        <w:t>addr</w:t>
      </w:r>
      <w:r w:rsidR="004026D7" w:rsidRPr="00AF0C81">
        <w:rPr>
          <w:rFonts w:cs="Calibri"/>
        </w:rPr>
        <w:t>ess</w:t>
      </w:r>
      <w:r w:rsidR="00E133B7">
        <w:rPr>
          <w:rFonts w:cs="Calibri"/>
        </w:rPr>
        <w:t>es</w:t>
      </w:r>
      <w:r w:rsidR="004026D7" w:rsidRPr="00AF0C81">
        <w:rPr>
          <w:rFonts w:cs="Calibri"/>
        </w:rPr>
        <w:t xml:space="preserve"> the </w:t>
      </w:r>
      <w:r w:rsidR="005C0D32" w:rsidRPr="00AF0C81">
        <w:rPr>
          <w:rFonts w:cs="Calibri"/>
        </w:rPr>
        <w:t>n</w:t>
      </w:r>
      <w:r w:rsidR="0022118D" w:rsidRPr="00AF0C81">
        <w:rPr>
          <w:rFonts w:cs="Calibri"/>
        </w:rPr>
        <w:t>ation</w:t>
      </w:r>
      <w:r w:rsidR="004026D7" w:rsidRPr="00AF0C81">
        <w:rPr>
          <w:rFonts w:cs="Calibri"/>
        </w:rPr>
        <w:t>’s energy, environmental, and nuclear challenges through transformative science and technology solutions.</w:t>
      </w:r>
      <w:r w:rsidR="007A6FC3" w:rsidRPr="00AF0C81">
        <w:rPr>
          <w:rFonts w:cs="Calibri"/>
        </w:rPr>
        <w:t xml:space="preserve"> </w:t>
      </w:r>
      <w:r w:rsidRPr="00AF0C81">
        <w:rPr>
          <w:rFonts w:cs="Calibri"/>
        </w:rPr>
        <w:t xml:space="preserve">The </w:t>
      </w:r>
      <w:r w:rsidR="00F07139" w:rsidRPr="00AF0C81">
        <w:rPr>
          <w:rFonts w:cs="Calibri"/>
        </w:rPr>
        <w:t>plan</w:t>
      </w:r>
      <w:r w:rsidRPr="00AF0C81">
        <w:rPr>
          <w:rFonts w:cs="Calibri"/>
        </w:rPr>
        <w:t xml:space="preserve"> is available </w:t>
      </w:r>
      <w:r w:rsidR="00CF406C" w:rsidRPr="00AF0C81">
        <w:rPr>
          <w:rFonts w:cs="Calibri"/>
        </w:rPr>
        <w:t>at</w:t>
      </w:r>
      <w:r w:rsidR="007A6FC3" w:rsidRPr="00AF0C81">
        <w:t>:</w:t>
      </w:r>
      <w:r w:rsidRPr="00AF0C81">
        <w:t xml:space="preserve">  </w:t>
      </w:r>
      <w:hyperlink r:id="rId13" w:history="1">
        <w:r w:rsidR="007A6FC3" w:rsidRPr="00AF0C81">
          <w:rPr>
            <w:rStyle w:val="Hyperlink"/>
          </w:rPr>
          <w:t>http://energy.gov/sites/prod/files/2011_DOE_Strategic_Plan_.pdf</w:t>
        </w:r>
      </w:hyperlink>
    </w:p>
    <w:p w:rsidR="004026D7" w:rsidRPr="00AF0C81" w:rsidRDefault="004026D7" w:rsidP="00BC0EA3">
      <w:pPr>
        <w:autoSpaceDE w:val="0"/>
        <w:autoSpaceDN w:val="0"/>
        <w:adjustRightInd w:val="0"/>
        <w:spacing w:after="0"/>
        <w:rPr>
          <w:rFonts w:cs="Calibri"/>
        </w:rPr>
      </w:pPr>
    </w:p>
    <w:p w:rsidR="004026D7" w:rsidRPr="00AF0C81" w:rsidRDefault="004026D7" w:rsidP="00E268CC">
      <w:pPr>
        <w:autoSpaceDE w:val="0"/>
        <w:autoSpaceDN w:val="0"/>
        <w:adjustRightInd w:val="0"/>
        <w:spacing w:after="120"/>
        <w:rPr>
          <w:rFonts w:cs="Calibri"/>
        </w:rPr>
      </w:pPr>
      <w:r w:rsidRPr="00AF0C81">
        <w:rPr>
          <w:rFonts w:cs="Calibri"/>
        </w:rPr>
        <w:t>The Strategic Plan</w:t>
      </w:r>
      <w:r w:rsidR="007A6FC3" w:rsidRPr="00AF0C81">
        <w:rPr>
          <w:rFonts w:cs="Calibri"/>
        </w:rPr>
        <w:t xml:space="preserve"> and this </w:t>
      </w:r>
      <w:r w:rsidR="00203EA0" w:rsidRPr="00AF0C81">
        <w:rPr>
          <w:rFonts w:cs="Calibri"/>
        </w:rPr>
        <w:t>report</w:t>
      </w:r>
      <w:r w:rsidR="007A6FC3" w:rsidRPr="00AF0C81">
        <w:rPr>
          <w:rFonts w:cs="Calibri"/>
        </w:rPr>
        <w:t xml:space="preserve"> are </w:t>
      </w:r>
      <w:r w:rsidRPr="00AF0C81">
        <w:rPr>
          <w:rFonts w:cs="Calibri"/>
        </w:rPr>
        <w:t xml:space="preserve">organized </w:t>
      </w:r>
      <w:r w:rsidR="007A6FC3" w:rsidRPr="00AF0C81">
        <w:rPr>
          <w:rFonts w:cs="Calibri"/>
        </w:rPr>
        <w:t>by</w:t>
      </w:r>
      <w:r w:rsidRPr="00AF0C81">
        <w:rPr>
          <w:rFonts w:cs="Calibri"/>
        </w:rPr>
        <w:t xml:space="preserve"> </w:t>
      </w:r>
      <w:r w:rsidR="00E268CC" w:rsidRPr="00AF0C81">
        <w:rPr>
          <w:rFonts w:cs="Calibri"/>
        </w:rPr>
        <w:t xml:space="preserve">the following </w:t>
      </w:r>
      <w:r w:rsidRPr="00AF0C81">
        <w:rPr>
          <w:rFonts w:cs="Calibri"/>
        </w:rPr>
        <w:t xml:space="preserve">four </w:t>
      </w:r>
      <w:r w:rsidR="003418C1" w:rsidRPr="00AF0C81">
        <w:rPr>
          <w:rFonts w:cs="Calibri"/>
        </w:rPr>
        <w:t xml:space="preserve">strategic </w:t>
      </w:r>
      <w:r w:rsidRPr="00AF0C81">
        <w:rPr>
          <w:rFonts w:cs="Calibri"/>
        </w:rPr>
        <w:t>goals:</w:t>
      </w:r>
    </w:p>
    <w:p w:rsidR="007A6FC3" w:rsidRPr="00AF0C81" w:rsidRDefault="004026D7" w:rsidP="00E268CC">
      <w:pPr>
        <w:pStyle w:val="ListParagraph"/>
        <w:widowControl w:val="0"/>
        <w:numPr>
          <w:ilvl w:val="0"/>
          <w:numId w:val="6"/>
        </w:numPr>
        <w:autoSpaceDE w:val="0"/>
        <w:autoSpaceDN w:val="0"/>
        <w:adjustRightInd w:val="0"/>
        <w:spacing w:after="120"/>
        <w:ind w:left="720"/>
        <w:rPr>
          <w:rFonts w:cs="Calibri"/>
        </w:rPr>
      </w:pPr>
      <w:r w:rsidRPr="00AF0C81">
        <w:rPr>
          <w:rFonts w:cs="Calibri"/>
        </w:rPr>
        <w:t>Catalyze the timely, material</w:t>
      </w:r>
      <w:r w:rsidR="00C56B19" w:rsidRPr="00AF0C81">
        <w:rPr>
          <w:rFonts w:cs="Calibri"/>
        </w:rPr>
        <w:t>,</w:t>
      </w:r>
      <w:r w:rsidRPr="00AF0C81">
        <w:rPr>
          <w:rFonts w:cs="Calibri"/>
        </w:rPr>
        <w:t xml:space="preserve"> and efficient transformation of the </w:t>
      </w:r>
      <w:r w:rsidR="005C0D32" w:rsidRPr="00AF0C81">
        <w:rPr>
          <w:rFonts w:cs="Calibri"/>
        </w:rPr>
        <w:t>n</w:t>
      </w:r>
      <w:r w:rsidR="0022118D" w:rsidRPr="00AF0C81">
        <w:rPr>
          <w:rFonts w:cs="Calibri"/>
        </w:rPr>
        <w:t>ation</w:t>
      </w:r>
      <w:r w:rsidRPr="00AF0C81">
        <w:rPr>
          <w:rFonts w:cs="Calibri"/>
        </w:rPr>
        <w:t>’s energy system</w:t>
      </w:r>
      <w:r w:rsidR="007A6FC3" w:rsidRPr="00AF0C81">
        <w:rPr>
          <w:rFonts w:cs="Calibri"/>
        </w:rPr>
        <w:t xml:space="preserve"> </w:t>
      </w:r>
      <w:r w:rsidRPr="00AF0C81">
        <w:rPr>
          <w:rFonts w:cs="Calibri"/>
        </w:rPr>
        <w:t>and secur</w:t>
      </w:r>
      <w:r w:rsidR="00C56B19" w:rsidRPr="00AF0C81">
        <w:rPr>
          <w:rFonts w:cs="Calibri"/>
        </w:rPr>
        <w:t>e</w:t>
      </w:r>
      <w:r w:rsidRPr="00AF0C81">
        <w:rPr>
          <w:rFonts w:cs="Calibri"/>
        </w:rPr>
        <w:t xml:space="preserve"> U.S. leadersh</w:t>
      </w:r>
      <w:r w:rsidR="00C56B19" w:rsidRPr="00AF0C81">
        <w:rPr>
          <w:rFonts w:cs="Calibri"/>
        </w:rPr>
        <w:t>ip in clean energy technologies;</w:t>
      </w:r>
    </w:p>
    <w:p w:rsidR="004026D7" w:rsidRPr="00AF0C81" w:rsidRDefault="004026D7" w:rsidP="00E268CC">
      <w:pPr>
        <w:pStyle w:val="ListParagraph"/>
        <w:widowControl w:val="0"/>
        <w:numPr>
          <w:ilvl w:val="0"/>
          <w:numId w:val="6"/>
        </w:numPr>
        <w:autoSpaceDE w:val="0"/>
        <w:autoSpaceDN w:val="0"/>
        <w:adjustRightInd w:val="0"/>
        <w:spacing w:after="120"/>
        <w:ind w:left="720"/>
        <w:rPr>
          <w:rFonts w:cs="Calibri"/>
        </w:rPr>
      </w:pPr>
      <w:r w:rsidRPr="00AF0C81">
        <w:rPr>
          <w:rFonts w:cs="Calibri"/>
        </w:rPr>
        <w:t>Maintain a vibrant U.S. effort in science and engineering as a cornerstone of our</w:t>
      </w:r>
      <w:r w:rsidR="007A6FC3" w:rsidRPr="00AF0C81">
        <w:rPr>
          <w:rFonts w:cs="Calibri"/>
        </w:rPr>
        <w:t xml:space="preserve"> </w:t>
      </w:r>
      <w:r w:rsidRPr="00AF0C81">
        <w:rPr>
          <w:rFonts w:cs="Calibri"/>
        </w:rPr>
        <w:t>economic prosperity with clea</w:t>
      </w:r>
      <w:r w:rsidR="00C56B19" w:rsidRPr="00AF0C81">
        <w:rPr>
          <w:rFonts w:cs="Calibri"/>
        </w:rPr>
        <w:t>r leadership in strategic areas;</w:t>
      </w:r>
    </w:p>
    <w:p w:rsidR="004026D7" w:rsidRPr="00AF0C81" w:rsidRDefault="004026D7" w:rsidP="00E268CC">
      <w:pPr>
        <w:pStyle w:val="ListParagraph"/>
        <w:widowControl w:val="0"/>
        <w:numPr>
          <w:ilvl w:val="0"/>
          <w:numId w:val="6"/>
        </w:numPr>
        <w:autoSpaceDE w:val="0"/>
        <w:autoSpaceDN w:val="0"/>
        <w:adjustRightInd w:val="0"/>
        <w:spacing w:after="120"/>
        <w:ind w:left="720"/>
        <w:rPr>
          <w:rFonts w:cs="Calibri"/>
        </w:rPr>
      </w:pPr>
      <w:r w:rsidRPr="00AF0C81">
        <w:rPr>
          <w:rFonts w:cs="Calibri"/>
        </w:rPr>
        <w:t>Enhance nuclear security through defense, nonprolifera</w:t>
      </w:r>
      <w:r w:rsidR="00C56B19" w:rsidRPr="00AF0C81">
        <w:rPr>
          <w:rFonts w:cs="Calibri"/>
        </w:rPr>
        <w:t>tion, and environmental efforts; and</w:t>
      </w:r>
    </w:p>
    <w:p w:rsidR="004026D7" w:rsidRPr="00AF0C81" w:rsidRDefault="004026D7" w:rsidP="00E268CC">
      <w:pPr>
        <w:pStyle w:val="ListParagraph"/>
        <w:widowControl w:val="0"/>
        <w:numPr>
          <w:ilvl w:val="0"/>
          <w:numId w:val="6"/>
        </w:numPr>
        <w:autoSpaceDE w:val="0"/>
        <w:autoSpaceDN w:val="0"/>
        <w:adjustRightInd w:val="0"/>
        <w:spacing w:after="100" w:afterAutospacing="1"/>
        <w:ind w:left="720"/>
        <w:rPr>
          <w:rFonts w:cs="Calibri"/>
        </w:rPr>
      </w:pPr>
      <w:r w:rsidRPr="00AF0C81">
        <w:rPr>
          <w:rFonts w:cs="Calibri"/>
        </w:rPr>
        <w:t>Establish an operational and adaptable framework that combines the best wisdom of all</w:t>
      </w:r>
      <w:r w:rsidR="007A6FC3" w:rsidRPr="00AF0C81">
        <w:rPr>
          <w:rFonts w:cs="Calibri"/>
        </w:rPr>
        <w:t xml:space="preserve"> </w:t>
      </w:r>
      <w:r w:rsidRPr="00AF0C81">
        <w:rPr>
          <w:rFonts w:cs="Calibri"/>
        </w:rPr>
        <w:t>Department stakeholders to maximize mission success.</w:t>
      </w:r>
    </w:p>
    <w:p w:rsidR="005C0D32" w:rsidRPr="00AF0C81" w:rsidRDefault="004026D7" w:rsidP="005C0D32">
      <w:pPr>
        <w:autoSpaceDE w:val="0"/>
        <w:autoSpaceDN w:val="0"/>
        <w:adjustRightInd w:val="0"/>
        <w:spacing w:after="120"/>
        <w:rPr>
          <w:rFonts w:cs="Calibri"/>
        </w:rPr>
      </w:pPr>
      <w:r w:rsidRPr="00AF0C81">
        <w:t xml:space="preserve">In February 2012 </w:t>
      </w:r>
      <w:r w:rsidR="007A6FC3" w:rsidRPr="00AF0C81">
        <w:rPr>
          <w:rFonts w:cs="Calibri"/>
        </w:rPr>
        <w:t>in accordance with the GPRA-M</w:t>
      </w:r>
      <w:r w:rsidR="00311B41" w:rsidRPr="00AF0C81">
        <w:rPr>
          <w:rFonts w:cs="Calibri"/>
        </w:rPr>
        <w:t>odernization Act of 2010</w:t>
      </w:r>
      <w:r w:rsidR="007A6FC3" w:rsidRPr="00AF0C81">
        <w:rPr>
          <w:rFonts w:cs="Calibri"/>
        </w:rPr>
        <w:t xml:space="preserve">, the Department released an addendum to its Strategic Plan that recognizes the new </w:t>
      </w:r>
      <w:r w:rsidR="00311B41" w:rsidRPr="00AF0C81">
        <w:rPr>
          <w:rFonts w:cs="Calibri"/>
        </w:rPr>
        <w:t>a</w:t>
      </w:r>
      <w:r w:rsidR="007A6FC3" w:rsidRPr="00AF0C81">
        <w:rPr>
          <w:rFonts w:cs="Calibri"/>
        </w:rPr>
        <w:t xml:space="preserve">gency </w:t>
      </w:r>
      <w:r w:rsidR="00311B41" w:rsidRPr="00AF0C81">
        <w:rPr>
          <w:rFonts w:cs="Calibri"/>
        </w:rPr>
        <w:t>p</w:t>
      </w:r>
      <w:r w:rsidR="007A6FC3" w:rsidRPr="00AF0C81">
        <w:rPr>
          <w:rFonts w:cs="Calibri"/>
        </w:rPr>
        <w:t xml:space="preserve">riority </w:t>
      </w:r>
      <w:r w:rsidR="00311B41" w:rsidRPr="00AF0C81">
        <w:rPr>
          <w:rFonts w:cs="Calibri"/>
        </w:rPr>
        <w:t>g</w:t>
      </w:r>
      <w:r w:rsidR="007A6FC3" w:rsidRPr="00AF0C81">
        <w:rPr>
          <w:rFonts w:cs="Calibri"/>
        </w:rPr>
        <w:t>oals and updates the status on several targeted outcomes within the plan. Th</w:t>
      </w:r>
      <w:r w:rsidR="00F07139" w:rsidRPr="00AF0C81">
        <w:rPr>
          <w:rFonts w:cs="Calibri"/>
        </w:rPr>
        <w:t>is a</w:t>
      </w:r>
      <w:r w:rsidR="007A6FC3" w:rsidRPr="00AF0C81">
        <w:rPr>
          <w:rFonts w:cs="Calibri"/>
        </w:rPr>
        <w:t xml:space="preserve">ddendum </w:t>
      </w:r>
      <w:r w:rsidR="001D4341" w:rsidRPr="00AF0C81">
        <w:rPr>
          <w:rFonts w:cs="Calibri"/>
        </w:rPr>
        <w:t xml:space="preserve">is </w:t>
      </w:r>
      <w:r w:rsidR="00F07139" w:rsidRPr="00AF0C81">
        <w:rPr>
          <w:rFonts w:cs="Calibri"/>
        </w:rPr>
        <w:t xml:space="preserve">available </w:t>
      </w:r>
      <w:r w:rsidR="001D4341" w:rsidRPr="00AF0C81">
        <w:rPr>
          <w:rFonts w:cs="Calibri"/>
        </w:rPr>
        <w:t>at</w:t>
      </w:r>
      <w:r w:rsidR="007A6FC3" w:rsidRPr="00AF0C81">
        <w:rPr>
          <w:rFonts w:cs="Calibri"/>
        </w:rPr>
        <w:t>:</w:t>
      </w:r>
      <w:r w:rsidR="005C0D32" w:rsidRPr="00AF0C81">
        <w:rPr>
          <w:rFonts w:cs="Calibri"/>
        </w:rPr>
        <w:t xml:space="preserve"> </w:t>
      </w:r>
    </w:p>
    <w:p w:rsidR="007A6CE5" w:rsidRPr="00AF0C81" w:rsidRDefault="00440795" w:rsidP="00BC0EA3">
      <w:pPr>
        <w:autoSpaceDE w:val="0"/>
        <w:autoSpaceDN w:val="0"/>
        <w:adjustRightInd w:val="0"/>
        <w:spacing w:after="0"/>
        <w:rPr>
          <w:rFonts w:cs="Calibri"/>
        </w:rPr>
      </w:pPr>
      <w:hyperlink r:id="rId14" w:history="1">
        <w:r w:rsidR="007A6CE5" w:rsidRPr="00AF0C81">
          <w:rPr>
            <w:rStyle w:val="Hyperlink"/>
          </w:rPr>
          <w:t>http://energy.gov/sites/prod/files/DOE%20Strategic%20Plan_2012%20GPRA%20Addendum.PDF</w:t>
        </w:r>
      </w:hyperlink>
    </w:p>
    <w:p w:rsidR="005161D1" w:rsidRPr="00AF0C81" w:rsidRDefault="005161D1" w:rsidP="003A0EF4">
      <w:pPr>
        <w:pStyle w:val="Heading1"/>
        <w:spacing w:before="0"/>
        <w:rPr>
          <w:rFonts w:asciiTheme="minorHAnsi" w:hAnsiTheme="minorHAnsi"/>
          <w:sz w:val="22"/>
          <w:szCs w:val="22"/>
        </w:rPr>
      </w:pPr>
    </w:p>
    <w:p w:rsidR="00DB27F9" w:rsidRPr="00AF0C81" w:rsidRDefault="00E86714" w:rsidP="003A0EF4">
      <w:pPr>
        <w:pStyle w:val="Heading1"/>
        <w:spacing w:before="0"/>
        <w:rPr>
          <w:rFonts w:asciiTheme="minorHAnsi" w:hAnsiTheme="minorHAnsi"/>
          <w:sz w:val="22"/>
          <w:szCs w:val="22"/>
        </w:rPr>
      </w:pPr>
      <w:bookmarkStart w:id="10" w:name="_Toc352758962"/>
      <w:bookmarkStart w:id="11" w:name="_Toc357755915"/>
      <w:bookmarkStart w:id="12" w:name="_Toc357763445"/>
      <w:r w:rsidRPr="00AF0C81">
        <w:rPr>
          <w:rFonts w:asciiTheme="minorHAnsi" w:hAnsiTheme="minorHAnsi"/>
          <w:sz w:val="22"/>
          <w:szCs w:val="22"/>
        </w:rPr>
        <w:t>P</w:t>
      </w:r>
      <w:r w:rsidR="0001376E" w:rsidRPr="00AF0C81">
        <w:rPr>
          <w:rFonts w:asciiTheme="minorHAnsi" w:hAnsiTheme="minorHAnsi"/>
          <w:sz w:val="22"/>
          <w:szCs w:val="22"/>
        </w:rPr>
        <w:t>rogram Inventory</w:t>
      </w:r>
      <w:bookmarkEnd w:id="10"/>
      <w:bookmarkEnd w:id="11"/>
      <w:bookmarkEnd w:id="12"/>
    </w:p>
    <w:p w:rsidR="00B501A0" w:rsidRDefault="00DB27F9" w:rsidP="00774B8A">
      <w:pPr>
        <w:spacing w:after="0"/>
      </w:pPr>
      <w:r w:rsidRPr="00AF0C81">
        <w:t xml:space="preserve">The following </w:t>
      </w:r>
      <w:r w:rsidR="00125D76" w:rsidRPr="00AF0C81">
        <w:t>sections present</w:t>
      </w:r>
      <w:r w:rsidR="008209EC" w:rsidRPr="00AF0C81">
        <w:t xml:space="preserve"> an inventory of </w:t>
      </w:r>
      <w:r w:rsidR="00D83D6C" w:rsidRPr="00AF0C81">
        <w:t xml:space="preserve">programs </w:t>
      </w:r>
      <w:r w:rsidR="00AE2A0F" w:rsidRPr="00AF0C81">
        <w:t xml:space="preserve">for each DOE Office, </w:t>
      </w:r>
      <w:r w:rsidR="00D83D6C" w:rsidRPr="00AF0C81">
        <w:t>order</w:t>
      </w:r>
      <w:r w:rsidR="00AE2A0F" w:rsidRPr="00AF0C81">
        <w:t>ed</w:t>
      </w:r>
      <w:r w:rsidR="00D83D6C" w:rsidRPr="00AF0C81">
        <w:t xml:space="preserve"> by </w:t>
      </w:r>
      <w:r w:rsidR="00533B58" w:rsidRPr="00AF0C81">
        <w:t>strategic goal.  T</w:t>
      </w:r>
      <w:r w:rsidRPr="00AF0C81">
        <w:t xml:space="preserve">he relationship between </w:t>
      </w:r>
      <w:r w:rsidR="005501EF" w:rsidRPr="00AF0C81">
        <w:t xml:space="preserve">the </w:t>
      </w:r>
      <w:r w:rsidRPr="00AF0C81">
        <w:t>DOE strategic goals</w:t>
      </w:r>
      <w:r w:rsidR="005501EF" w:rsidRPr="00AF0C81">
        <w:t>,</w:t>
      </w:r>
      <w:r w:rsidRPr="00AF0C81">
        <w:t xml:space="preserve"> objectives</w:t>
      </w:r>
      <w:r w:rsidR="005501EF" w:rsidRPr="00AF0C81">
        <w:t xml:space="preserve">, </w:t>
      </w:r>
      <w:r w:rsidR="009A64D6">
        <w:t xml:space="preserve">funding levels, </w:t>
      </w:r>
      <w:r w:rsidR="0021424B" w:rsidRPr="00AF0C81">
        <w:t>and program</w:t>
      </w:r>
      <w:r w:rsidR="005865C7" w:rsidRPr="00AF0C81">
        <w:t xml:space="preserve"> missions </w:t>
      </w:r>
      <w:r w:rsidR="009A64D6">
        <w:t xml:space="preserve">and </w:t>
      </w:r>
      <w:r w:rsidR="005501EF" w:rsidRPr="00AF0C81">
        <w:t>activities</w:t>
      </w:r>
      <w:r w:rsidR="005865C7" w:rsidRPr="00AF0C81">
        <w:t xml:space="preserve"> </w:t>
      </w:r>
      <w:r w:rsidR="00533B58" w:rsidRPr="00AF0C81">
        <w:t>is</w:t>
      </w:r>
      <w:r w:rsidR="005865C7" w:rsidRPr="00AF0C81">
        <w:t xml:space="preserve"> provided</w:t>
      </w:r>
      <w:r w:rsidR="00533B58" w:rsidRPr="00AF0C81">
        <w:t>.</w:t>
      </w:r>
    </w:p>
    <w:p w:rsidR="00017F75" w:rsidRPr="00AF0C81" w:rsidRDefault="00017F75" w:rsidP="00774B8A">
      <w:pPr>
        <w:spacing w:after="0"/>
      </w:pPr>
    </w:p>
    <w:p w:rsidR="005161D1" w:rsidRDefault="005161D1" w:rsidP="0054380B">
      <w:pPr>
        <w:pStyle w:val="Heading1"/>
        <w:spacing w:before="0"/>
        <w:rPr>
          <w:rFonts w:asciiTheme="minorHAnsi" w:hAnsiTheme="minorHAnsi"/>
          <w:sz w:val="22"/>
          <w:szCs w:val="22"/>
        </w:rPr>
      </w:pPr>
    </w:p>
    <w:p w:rsidR="0054380B" w:rsidRPr="00AF0C81" w:rsidRDefault="00EB3BFB" w:rsidP="00881C58">
      <w:pPr>
        <w:pStyle w:val="Heading1"/>
        <w:tabs>
          <w:tab w:val="left" w:pos="1710"/>
        </w:tabs>
        <w:spacing w:before="0"/>
        <w:rPr>
          <w:rStyle w:val="Hyperlink"/>
          <w:color w:val="365F91" w:themeColor="accent1" w:themeShade="BF"/>
          <w:sz w:val="22"/>
          <w:szCs w:val="22"/>
        </w:rPr>
      </w:pPr>
      <w:bookmarkStart w:id="13" w:name="_Toc347929420"/>
      <w:bookmarkStart w:id="14" w:name="_Toc352758963"/>
      <w:bookmarkStart w:id="15" w:name="_Toc357755916"/>
      <w:bookmarkStart w:id="16" w:name="_Toc357763446"/>
      <w:r w:rsidRPr="00AF0C81">
        <w:rPr>
          <w:rFonts w:asciiTheme="minorHAnsi" w:hAnsiTheme="minorHAnsi"/>
          <w:sz w:val="22"/>
          <w:szCs w:val="22"/>
        </w:rPr>
        <w:t>Energy Efficiency and Renewable Energy</w:t>
      </w:r>
      <w:r w:rsidRPr="00AF0C81">
        <w:rPr>
          <w:rStyle w:val="Hyperlink"/>
          <w:color w:val="365F91" w:themeColor="accent1" w:themeShade="BF"/>
          <w:sz w:val="22"/>
          <w:szCs w:val="22"/>
        </w:rPr>
        <w:t xml:space="preserve"> </w:t>
      </w:r>
      <w:r w:rsidR="00881C58" w:rsidRPr="00AF0C81">
        <w:rPr>
          <w:rStyle w:val="Hyperlink"/>
          <w:color w:val="365F91" w:themeColor="accent1" w:themeShade="BF"/>
          <w:sz w:val="22"/>
          <w:szCs w:val="22"/>
        </w:rPr>
        <w:t>(EERE)</w:t>
      </w:r>
      <w:bookmarkEnd w:id="13"/>
      <w:bookmarkEnd w:id="14"/>
      <w:bookmarkEnd w:id="15"/>
      <w:bookmarkEnd w:id="16"/>
    </w:p>
    <w:p w:rsidR="003560BA" w:rsidRPr="00AF0C81" w:rsidRDefault="003560BA" w:rsidP="003560BA">
      <w:pPr>
        <w:spacing w:after="0" w:line="240" w:lineRule="auto"/>
      </w:pPr>
    </w:p>
    <w:tbl>
      <w:tblPr>
        <w:tblStyle w:val="LightShading1"/>
        <w:tblW w:w="0" w:type="auto"/>
        <w:tblInd w:w="468" w:type="dxa"/>
        <w:tblLook w:val="04A0"/>
      </w:tblPr>
      <w:tblGrid>
        <w:gridCol w:w="2724"/>
        <w:gridCol w:w="3192"/>
        <w:gridCol w:w="2724"/>
      </w:tblGrid>
      <w:tr w:rsidR="003560BA" w:rsidRPr="00AF0C81" w:rsidTr="003560BA">
        <w:trPr>
          <w:cnfStyle w:val="100000000000"/>
        </w:trPr>
        <w:tc>
          <w:tcPr>
            <w:cnfStyle w:val="001000000000"/>
            <w:tcW w:w="8640" w:type="dxa"/>
            <w:gridSpan w:val="3"/>
          </w:tcPr>
          <w:p w:rsidR="003560BA" w:rsidRPr="00AF0C81" w:rsidRDefault="003560BA" w:rsidP="003560BA">
            <w:pPr>
              <w:jc w:val="center"/>
            </w:pPr>
            <w:r w:rsidRPr="00AF0C81">
              <w:t>Total Budget Authority (in millions of dollars)</w:t>
            </w:r>
          </w:p>
        </w:tc>
      </w:tr>
      <w:tr w:rsidR="003560BA" w:rsidRPr="00AF0C81" w:rsidTr="003560BA">
        <w:trPr>
          <w:cnfStyle w:val="000000100000"/>
        </w:trPr>
        <w:tc>
          <w:tcPr>
            <w:cnfStyle w:val="001000000000"/>
            <w:tcW w:w="2724" w:type="dxa"/>
          </w:tcPr>
          <w:p w:rsidR="003560BA" w:rsidRPr="00AF0C81" w:rsidRDefault="003560BA" w:rsidP="003560BA">
            <w:pPr>
              <w:jc w:val="center"/>
            </w:pPr>
            <w:r w:rsidRPr="00AF0C81">
              <w:t>FY 2012 actual</w:t>
            </w:r>
          </w:p>
        </w:tc>
        <w:tc>
          <w:tcPr>
            <w:tcW w:w="3192" w:type="dxa"/>
          </w:tcPr>
          <w:p w:rsidR="003560BA" w:rsidRPr="00AF0C81" w:rsidRDefault="003560BA" w:rsidP="006A4307">
            <w:pPr>
              <w:jc w:val="center"/>
              <w:cnfStyle w:val="000000100000"/>
              <w:rPr>
                <w:b/>
              </w:rPr>
            </w:pPr>
            <w:r w:rsidRPr="00AF0C81">
              <w:rPr>
                <w:b/>
              </w:rPr>
              <w:t xml:space="preserve">FY 2013 </w:t>
            </w:r>
            <w:r w:rsidR="006A4307">
              <w:rPr>
                <w:b/>
              </w:rPr>
              <w:t>CR</w:t>
            </w:r>
          </w:p>
        </w:tc>
        <w:tc>
          <w:tcPr>
            <w:tcW w:w="2724" w:type="dxa"/>
          </w:tcPr>
          <w:p w:rsidR="003560BA" w:rsidRPr="00AF0C81" w:rsidRDefault="003560BA" w:rsidP="003560BA">
            <w:pPr>
              <w:jc w:val="center"/>
              <w:cnfStyle w:val="000000100000"/>
              <w:rPr>
                <w:b/>
              </w:rPr>
            </w:pPr>
            <w:r w:rsidRPr="00AF0C81">
              <w:rPr>
                <w:b/>
              </w:rPr>
              <w:t>FY 2014 est.</w:t>
            </w:r>
          </w:p>
        </w:tc>
      </w:tr>
      <w:tr w:rsidR="003560BA" w:rsidRPr="00AF0C81" w:rsidTr="003560BA">
        <w:tc>
          <w:tcPr>
            <w:cnfStyle w:val="001000000000"/>
            <w:tcW w:w="2724" w:type="dxa"/>
          </w:tcPr>
          <w:p w:rsidR="003560BA" w:rsidRPr="00AF0C81" w:rsidRDefault="00784760" w:rsidP="003560BA">
            <w:pPr>
              <w:jc w:val="center"/>
            </w:pPr>
            <w:r>
              <w:rPr>
                <w:b w:val="0"/>
              </w:rPr>
              <w:t>1,780.5</w:t>
            </w:r>
          </w:p>
        </w:tc>
        <w:tc>
          <w:tcPr>
            <w:tcW w:w="3192" w:type="dxa"/>
          </w:tcPr>
          <w:p w:rsidR="003560BA" w:rsidRPr="00AF0C81" w:rsidRDefault="00784760" w:rsidP="00784760">
            <w:pPr>
              <w:jc w:val="center"/>
              <w:cnfStyle w:val="000000000000"/>
            </w:pPr>
            <w:r>
              <w:t>1,820.7</w:t>
            </w:r>
          </w:p>
        </w:tc>
        <w:tc>
          <w:tcPr>
            <w:tcW w:w="2724" w:type="dxa"/>
          </w:tcPr>
          <w:p w:rsidR="003560BA" w:rsidRPr="00AF0C81" w:rsidRDefault="00784760" w:rsidP="003560BA">
            <w:pPr>
              <w:jc w:val="center"/>
              <w:cnfStyle w:val="000000000000"/>
            </w:pPr>
            <w:r>
              <w:t>2,775.7</w:t>
            </w:r>
          </w:p>
        </w:tc>
      </w:tr>
    </w:tbl>
    <w:p w:rsidR="00763992" w:rsidRPr="00AF0C81" w:rsidRDefault="00763992" w:rsidP="0054380B">
      <w:pPr>
        <w:spacing w:after="0" w:line="312" w:lineRule="atLeast"/>
      </w:pPr>
    </w:p>
    <w:p w:rsidR="0054380B" w:rsidRPr="00AF0C81" w:rsidRDefault="0054380B" w:rsidP="0054380B">
      <w:pPr>
        <w:spacing w:after="0" w:line="312" w:lineRule="atLeast"/>
      </w:pPr>
      <w:r w:rsidRPr="00AF0C81">
        <w:t>The mission of EERE is to invest in clean energy technologies that strengthen the economy, protect the environment, and reduce dependence on oil.  This</w:t>
      </w:r>
      <w:r w:rsidR="00E31DF0" w:rsidRPr="00AF0C81">
        <w:t xml:space="preserve"> office</w:t>
      </w:r>
      <w:r w:rsidRPr="00AF0C81">
        <w:t xml:space="preserve"> is comprised of the following </w:t>
      </w:r>
      <w:r w:rsidR="00E31DF0" w:rsidRPr="00AF0C81">
        <w:t>programs</w:t>
      </w:r>
      <w:r w:rsidRPr="00AF0C81">
        <w:t xml:space="preserve">:  Advanced Manufacturing, Building Technologies, Federal Energy Management Program, </w:t>
      </w:r>
      <w:r w:rsidR="00E31DF0" w:rsidRPr="00AF0C81">
        <w:t xml:space="preserve">Vehicle Technologies, </w:t>
      </w:r>
      <w:r w:rsidRPr="00AF0C81">
        <w:t xml:space="preserve">Weatherization and Intergovernmental Programs, </w:t>
      </w:r>
      <w:r w:rsidR="002D2349">
        <w:t>Bioenergy Technologies</w:t>
      </w:r>
      <w:r w:rsidR="00E31DF0" w:rsidRPr="00AF0C81">
        <w:t xml:space="preserve">, </w:t>
      </w:r>
      <w:r w:rsidRPr="00AF0C81">
        <w:t xml:space="preserve">Geothermal Technology, Hydrogen and Fuel Cell Technologies, Solar Energy, Water Power, and Wind Energy.  (EERE website:  </w:t>
      </w:r>
      <w:hyperlink r:id="rId15" w:history="1">
        <w:r w:rsidRPr="00AF0C81">
          <w:rPr>
            <w:rStyle w:val="Hyperlink"/>
          </w:rPr>
          <w:t>http://www.eere.energy.gov/</w:t>
        </w:r>
      </w:hyperlink>
      <w:r w:rsidRPr="00AF0C81">
        <w:t>)</w:t>
      </w:r>
      <w:bookmarkStart w:id="17" w:name="_Advanced_Manufacturing_Office"/>
      <w:bookmarkEnd w:id="17"/>
    </w:p>
    <w:p w:rsidR="00266DBF" w:rsidRPr="00AF0C81" w:rsidRDefault="00266DBF" w:rsidP="00E31DF0">
      <w:pPr>
        <w:pStyle w:val="Heading2"/>
        <w:ind w:firstLine="720"/>
        <w:rPr>
          <w:rFonts w:asciiTheme="minorHAnsi" w:hAnsiTheme="minorHAnsi"/>
          <w:color w:val="365F91" w:themeColor="accent1" w:themeShade="BF"/>
          <w:sz w:val="22"/>
          <w:szCs w:val="22"/>
        </w:rPr>
      </w:pPr>
      <w:bookmarkStart w:id="18" w:name="_Toc352758964"/>
      <w:bookmarkStart w:id="19" w:name="_Toc357755917"/>
      <w:bookmarkStart w:id="20" w:name="_Toc357763447"/>
      <w:r w:rsidRPr="00AF0C81">
        <w:rPr>
          <w:rFonts w:asciiTheme="minorHAnsi" w:hAnsiTheme="minorHAnsi"/>
          <w:color w:val="365F91" w:themeColor="accent1" w:themeShade="BF"/>
          <w:sz w:val="22"/>
          <w:szCs w:val="22"/>
        </w:rPr>
        <w:t>Advanced Manufacturing Office</w:t>
      </w:r>
      <w:bookmarkEnd w:id="18"/>
      <w:r w:rsidR="00142A5F">
        <w:rPr>
          <w:rFonts w:asciiTheme="minorHAnsi" w:hAnsiTheme="minorHAnsi"/>
          <w:color w:val="365F91" w:themeColor="accent1" w:themeShade="BF"/>
          <w:sz w:val="22"/>
          <w:szCs w:val="22"/>
        </w:rPr>
        <w:t xml:space="preserve"> (formerly Industrial Technologies)</w:t>
      </w:r>
      <w:bookmarkEnd w:id="19"/>
      <w:bookmarkEnd w:id="20"/>
    </w:p>
    <w:p w:rsidR="00266DBF" w:rsidRPr="00AF0C81" w:rsidRDefault="00E31DF0" w:rsidP="000F6113">
      <w:pPr>
        <w:spacing w:after="0" w:line="312" w:lineRule="atLeast"/>
      </w:pPr>
      <w:r w:rsidRPr="00AF0C81">
        <w:t>The mission of AMO is to r</w:t>
      </w:r>
      <w:r w:rsidR="00266DBF" w:rsidRPr="00AF0C81">
        <w:t>educe the energy intensity and life-cycle energy consumption of manufactured products by researching, developing, and demonstrating energy-efficient manufacturing processes and materials</w:t>
      </w:r>
      <w:r w:rsidR="000F6113">
        <w:t xml:space="preserve"> and to</w:t>
      </w:r>
      <w:r w:rsidR="00266DBF" w:rsidRPr="00AF0C81">
        <w:t xml:space="preserve"> </w:t>
      </w:r>
      <w:r w:rsidR="000F6113">
        <w:t>p</w:t>
      </w:r>
      <w:r w:rsidR="00266DBF" w:rsidRPr="00AF0C81">
        <w:t xml:space="preserve">romote continuous improvement in energy efficiency among existing facilities and manufacturers.  </w:t>
      </w:r>
      <w:r w:rsidR="00437CE0">
        <w:t xml:space="preserve">Its </w:t>
      </w:r>
      <w:r w:rsidR="00437CE0" w:rsidRPr="00AF0C81">
        <w:t>goal</w:t>
      </w:r>
      <w:r w:rsidR="00266DBF" w:rsidRPr="00AF0C81">
        <w:t xml:space="preserve"> is to reduce energy consumption of manufactured goods across </w:t>
      </w:r>
      <w:r w:rsidR="000F6113">
        <w:t xml:space="preserve">targeted </w:t>
      </w:r>
      <w:r w:rsidR="00266DBF" w:rsidRPr="00AF0C81">
        <w:t>product life-cycles by 50 percent over 10 years.</w:t>
      </w:r>
    </w:p>
    <w:p w:rsidR="00266DBF" w:rsidRPr="00AF0C81" w:rsidRDefault="00266DBF" w:rsidP="00E31DF0">
      <w:pPr>
        <w:pStyle w:val="Heading2"/>
        <w:ind w:firstLine="720"/>
        <w:rPr>
          <w:rFonts w:asciiTheme="minorHAnsi" w:hAnsiTheme="minorHAnsi"/>
          <w:color w:val="365F91" w:themeColor="accent1" w:themeShade="BF"/>
          <w:sz w:val="22"/>
          <w:szCs w:val="22"/>
        </w:rPr>
      </w:pPr>
      <w:bookmarkStart w:id="21" w:name="_Toc352758965"/>
      <w:bookmarkStart w:id="22" w:name="_Toc357755918"/>
      <w:bookmarkStart w:id="23" w:name="_Toc357763448"/>
      <w:r w:rsidRPr="00AF0C81">
        <w:rPr>
          <w:rFonts w:asciiTheme="minorHAnsi" w:hAnsiTheme="minorHAnsi"/>
          <w:color w:val="365F91" w:themeColor="accent1" w:themeShade="BF"/>
          <w:sz w:val="22"/>
          <w:szCs w:val="22"/>
        </w:rPr>
        <w:t>Building Technologies</w:t>
      </w:r>
      <w:bookmarkEnd w:id="21"/>
      <w:bookmarkEnd w:id="22"/>
      <w:bookmarkEnd w:id="23"/>
    </w:p>
    <w:p w:rsidR="00266DBF" w:rsidRPr="00AF0C81" w:rsidRDefault="00266DBF" w:rsidP="00266DBF">
      <w:pPr>
        <w:spacing w:after="0" w:line="312" w:lineRule="atLeast"/>
      </w:pPr>
      <w:r w:rsidRPr="00AF0C81">
        <w:t>The mission of BTP is to develop and promote efficient, environmentally friendly, and affordable technologies, systems, and practices for our Nation’s residential and commercial buildings that will lower greenhouse gas (GHG) emissions, foster economic prosperity and increase National energy security while providing the energy-related services and performance expected from our buildings.</w:t>
      </w:r>
    </w:p>
    <w:p w:rsidR="00E31DF0" w:rsidRPr="00AF0C81" w:rsidRDefault="00E31DF0" w:rsidP="00E31DF0">
      <w:pPr>
        <w:pStyle w:val="Heading2"/>
        <w:ind w:firstLine="720"/>
        <w:rPr>
          <w:rFonts w:asciiTheme="minorHAnsi" w:hAnsiTheme="minorHAnsi"/>
          <w:color w:val="365F91" w:themeColor="accent1" w:themeShade="BF"/>
          <w:sz w:val="22"/>
          <w:szCs w:val="22"/>
        </w:rPr>
      </w:pPr>
      <w:bookmarkStart w:id="24" w:name="_Toc352758966"/>
      <w:bookmarkStart w:id="25" w:name="_Toc357755919"/>
      <w:bookmarkStart w:id="26" w:name="_Toc357763449"/>
      <w:r w:rsidRPr="00AF0C81">
        <w:rPr>
          <w:rFonts w:asciiTheme="minorHAnsi" w:hAnsiTheme="minorHAnsi"/>
          <w:color w:val="365F91" w:themeColor="accent1" w:themeShade="BF"/>
          <w:sz w:val="22"/>
          <w:szCs w:val="22"/>
        </w:rPr>
        <w:t>Vehicle Technologies</w:t>
      </w:r>
      <w:bookmarkEnd w:id="24"/>
      <w:bookmarkEnd w:id="25"/>
      <w:bookmarkEnd w:id="26"/>
    </w:p>
    <w:p w:rsidR="00E31DF0" w:rsidRPr="00AF0C81" w:rsidRDefault="00E31DF0" w:rsidP="00E31DF0">
      <w:pPr>
        <w:spacing w:after="0" w:line="312" w:lineRule="atLeast"/>
      </w:pPr>
      <w:r w:rsidRPr="00AF0C81">
        <w:t>The mission of the Vehicle Technologies Program (VTP) is to develop and promote energy-efficient and environmentally friendly transportation technologies that will enable America to use significantly less petroleum and reduce greenhouse gas (GHG) emissions while meeting or exceeding drivers' performance expectations and environmental requirements.</w:t>
      </w:r>
    </w:p>
    <w:p w:rsidR="00266DBF" w:rsidRPr="00AF0C81" w:rsidRDefault="00266DBF" w:rsidP="00266DBF">
      <w:pPr>
        <w:pStyle w:val="Heading2"/>
        <w:ind w:firstLine="720"/>
        <w:rPr>
          <w:rStyle w:val="Hyperlink"/>
          <w:color w:val="365F91" w:themeColor="accent1" w:themeShade="BF"/>
          <w:sz w:val="22"/>
          <w:szCs w:val="22"/>
        </w:rPr>
      </w:pPr>
      <w:bookmarkStart w:id="27" w:name="_Toc352758967"/>
      <w:bookmarkStart w:id="28" w:name="_Toc357755920"/>
      <w:bookmarkStart w:id="29" w:name="_Toc357763450"/>
      <w:r w:rsidRPr="00AF0C81">
        <w:rPr>
          <w:rStyle w:val="Hyperlink"/>
          <w:color w:val="365F91" w:themeColor="accent1" w:themeShade="BF"/>
          <w:sz w:val="22"/>
          <w:szCs w:val="22"/>
        </w:rPr>
        <w:t>Weatherization and Intergovernmental Programs</w:t>
      </w:r>
      <w:bookmarkEnd w:id="27"/>
      <w:bookmarkEnd w:id="28"/>
      <w:bookmarkEnd w:id="29"/>
    </w:p>
    <w:p w:rsidR="00266DBF" w:rsidRPr="00437CE0" w:rsidRDefault="00266DBF" w:rsidP="00266DBF">
      <w:pPr>
        <w:spacing w:after="0" w:line="312" w:lineRule="atLeast"/>
        <w:rPr>
          <w:color w:val="000000" w:themeColor="text1"/>
        </w:rPr>
      </w:pPr>
      <w:r w:rsidRPr="00437CE0">
        <w:rPr>
          <w:color w:val="000000" w:themeColor="text1"/>
        </w:rPr>
        <w:t>The mission of the Weatherization and Intergovernmental Activities Program (WIP) is to significantly accelerate, in partnership with State and local organizations, the deployment of energy efficiency and renewable energy technologies and practices by a wide range of government, community, and business stakeholders.</w:t>
      </w:r>
    </w:p>
    <w:p w:rsidR="002D2349" w:rsidRPr="00AF0C81" w:rsidRDefault="002D2349" w:rsidP="002D2349">
      <w:pPr>
        <w:pStyle w:val="Heading2"/>
        <w:ind w:firstLine="720"/>
        <w:rPr>
          <w:rFonts w:asciiTheme="minorHAnsi" w:hAnsiTheme="minorHAnsi"/>
          <w:color w:val="365F91" w:themeColor="accent1" w:themeShade="BF"/>
          <w:sz w:val="22"/>
          <w:szCs w:val="22"/>
        </w:rPr>
      </w:pPr>
      <w:bookmarkStart w:id="30" w:name="_Toc352758968"/>
      <w:bookmarkStart w:id="31" w:name="_Toc357763451"/>
      <w:r w:rsidRPr="002D2349">
        <w:rPr>
          <w:rFonts w:asciiTheme="minorHAnsi" w:hAnsiTheme="minorHAnsi"/>
          <w:color w:val="365F91" w:themeColor="accent1" w:themeShade="BF"/>
          <w:sz w:val="22"/>
          <w:szCs w:val="22"/>
        </w:rPr>
        <w:t>Bioenergy Technologies (formerly Biomass and Biorefinery R&amp;D)</w:t>
      </w:r>
      <w:bookmarkEnd w:id="31"/>
    </w:p>
    <w:bookmarkEnd w:id="30"/>
    <w:p w:rsidR="00F800E8" w:rsidRPr="00437CE0" w:rsidRDefault="00EB3BFB" w:rsidP="00EB3BFB">
      <w:pPr>
        <w:spacing w:after="0" w:line="312" w:lineRule="atLeast"/>
        <w:rPr>
          <w:color w:val="000000" w:themeColor="text1"/>
        </w:rPr>
      </w:pPr>
      <w:r w:rsidRPr="00437CE0">
        <w:rPr>
          <w:color w:val="000000" w:themeColor="text1"/>
        </w:rPr>
        <w:t xml:space="preserve">The overall mission of </w:t>
      </w:r>
      <w:r w:rsidR="00F32956" w:rsidRPr="00437CE0">
        <w:rPr>
          <w:color w:val="000000" w:themeColor="text1"/>
        </w:rPr>
        <w:t xml:space="preserve">the </w:t>
      </w:r>
      <w:r w:rsidR="007A6FEE" w:rsidRPr="00437CE0">
        <w:rPr>
          <w:rStyle w:val="Hyperlink"/>
          <w:color w:val="000000" w:themeColor="text1"/>
        </w:rPr>
        <w:t xml:space="preserve">Bioenergy Technologies </w:t>
      </w:r>
      <w:r w:rsidRPr="00437CE0">
        <w:rPr>
          <w:rStyle w:val="Hyperlink"/>
          <w:color w:val="000000" w:themeColor="text1"/>
        </w:rPr>
        <w:t>Program</w:t>
      </w:r>
      <w:r w:rsidRPr="00437CE0">
        <w:rPr>
          <w:color w:val="000000" w:themeColor="text1"/>
        </w:rPr>
        <w:t xml:space="preserve"> is to facilitate the intersection of science and technology with demonstration and commercialization, bringing new innovations to a technical readiness that will encourage creation of a new industry, grounded in sustainable, domestic biomass resources used to produce clean, secure, renewable biofuels, bioproducts, and biopower that will reduce dependence on oil, reduce greenhouse gas (GHG) emissions, and create jobs.</w:t>
      </w:r>
    </w:p>
    <w:p w:rsidR="00266DBF" w:rsidRPr="00AF0C81" w:rsidRDefault="00266DBF" w:rsidP="00E31DF0">
      <w:pPr>
        <w:pStyle w:val="Heading2"/>
        <w:ind w:firstLine="720"/>
        <w:rPr>
          <w:rFonts w:asciiTheme="minorHAnsi" w:hAnsiTheme="minorHAnsi"/>
          <w:color w:val="365F91" w:themeColor="accent1" w:themeShade="BF"/>
          <w:sz w:val="22"/>
          <w:szCs w:val="22"/>
        </w:rPr>
      </w:pPr>
      <w:bookmarkStart w:id="32" w:name="_Toc352758969"/>
      <w:bookmarkStart w:id="33" w:name="_Toc357755921"/>
      <w:bookmarkStart w:id="34" w:name="_Toc357763452"/>
      <w:r w:rsidRPr="00AF0C81">
        <w:rPr>
          <w:rFonts w:asciiTheme="minorHAnsi" w:hAnsiTheme="minorHAnsi"/>
          <w:color w:val="365F91" w:themeColor="accent1" w:themeShade="BF"/>
          <w:sz w:val="22"/>
          <w:szCs w:val="22"/>
        </w:rPr>
        <w:t>Geothermal Technology</w:t>
      </w:r>
      <w:bookmarkEnd w:id="32"/>
      <w:bookmarkEnd w:id="33"/>
      <w:bookmarkEnd w:id="34"/>
    </w:p>
    <w:p w:rsidR="00266DBF" w:rsidRPr="00AF0C81" w:rsidRDefault="00266DBF" w:rsidP="00266DBF">
      <w:pPr>
        <w:spacing w:after="0" w:line="312" w:lineRule="atLeast"/>
      </w:pPr>
      <w:r w:rsidRPr="00AF0C81">
        <w:t xml:space="preserve">The mission of the Geothermal Technologies Program is to accelerate the development and deployment of clean, domestic </w:t>
      </w:r>
      <w:r w:rsidR="00EB657B">
        <w:t xml:space="preserve">energy from </w:t>
      </w:r>
      <w:r w:rsidRPr="00AF0C81">
        <w:t>geothermal resources that will promote a stronger, more productive economy</w:t>
      </w:r>
      <w:r w:rsidR="00EB657B">
        <w:t xml:space="preserve"> and</w:t>
      </w:r>
      <w:r w:rsidRPr="00AF0C81">
        <w:t xml:space="preserve"> support a cleaner environment.</w:t>
      </w:r>
    </w:p>
    <w:p w:rsidR="00266DBF" w:rsidRPr="00AF0C81" w:rsidRDefault="00266DBF" w:rsidP="00E31DF0">
      <w:pPr>
        <w:pStyle w:val="Heading2"/>
        <w:ind w:firstLine="720"/>
        <w:rPr>
          <w:rFonts w:asciiTheme="minorHAnsi" w:hAnsiTheme="minorHAnsi"/>
          <w:color w:val="365F91" w:themeColor="accent1" w:themeShade="BF"/>
          <w:sz w:val="22"/>
          <w:szCs w:val="22"/>
        </w:rPr>
      </w:pPr>
      <w:bookmarkStart w:id="35" w:name="_Toc352758970"/>
      <w:bookmarkStart w:id="36" w:name="_Toc357755922"/>
      <w:bookmarkStart w:id="37" w:name="_Toc357763453"/>
      <w:r w:rsidRPr="00AF0C81">
        <w:rPr>
          <w:rFonts w:asciiTheme="minorHAnsi" w:hAnsiTheme="minorHAnsi"/>
          <w:color w:val="365F91" w:themeColor="accent1" w:themeShade="BF"/>
          <w:sz w:val="22"/>
          <w:szCs w:val="22"/>
        </w:rPr>
        <w:t>Hydrogen and Fuel Cell Technologies</w:t>
      </w:r>
      <w:bookmarkEnd w:id="35"/>
      <w:bookmarkEnd w:id="36"/>
      <w:bookmarkEnd w:id="37"/>
    </w:p>
    <w:p w:rsidR="00266DBF" w:rsidRPr="00AF0C81" w:rsidRDefault="00266DBF" w:rsidP="00266DBF">
      <w:pPr>
        <w:spacing w:after="0" w:line="312" w:lineRule="atLeast"/>
      </w:pPr>
      <w:r w:rsidRPr="00AF0C81">
        <w:t xml:space="preserve">The mission of the Hydrogen and Fuel Cell Technologies Program is to enable the widespread commercialization of hydrogen and fuel cell technologies, which would reduce petroleum use, greenhouse gas (GHG) emissions, and criteria air pollutants and contribute to a more diverse energy supply and more efficient use of energy.  </w:t>
      </w:r>
    </w:p>
    <w:p w:rsidR="00266DBF" w:rsidRPr="00AF0C81" w:rsidRDefault="00266DBF" w:rsidP="00E31DF0">
      <w:pPr>
        <w:pStyle w:val="Heading2"/>
        <w:ind w:firstLine="720"/>
        <w:rPr>
          <w:rFonts w:asciiTheme="minorHAnsi" w:hAnsiTheme="minorHAnsi"/>
          <w:color w:val="365F91" w:themeColor="accent1" w:themeShade="BF"/>
          <w:sz w:val="22"/>
          <w:szCs w:val="22"/>
        </w:rPr>
      </w:pPr>
      <w:bookmarkStart w:id="38" w:name="_Toc352758971"/>
      <w:bookmarkStart w:id="39" w:name="_Toc357755923"/>
      <w:bookmarkStart w:id="40" w:name="_Toc357763454"/>
      <w:r w:rsidRPr="00AF0C81">
        <w:rPr>
          <w:rFonts w:asciiTheme="minorHAnsi" w:hAnsiTheme="minorHAnsi"/>
          <w:color w:val="365F91" w:themeColor="accent1" w:themeShade="BF"/>
          <w:sz w:val="22"/>
          <w:szCs w:val="22"/>
        </w:rPr>
        <w:t>Solar Energy</w:t>
      </w:r>
      <w:bookmarkEnd w:id="38"/>
      <w:bookmarkEnd w:id="39"/>
      <w:bookmarkEnd w:id="40"/>
    </w:p>
    <w:p w:rsidR="00266DBF" w:rsidRPr="00AF0C81" w:rsidRDefault="00266DBF" w:rsidP="00266DBF">
      <w:pPr>
        <w:spacing w:after="0" w:line="312" w:lineRule="atLeast"/>
      </w:pPr>
      <w:r w:rsidRPr="00AF0C81">
        <w:t>The Solar Energy Technologies Program supports the SunShot Initiative’s mission to develop solar energy technologies through a collaborative national push to make solar photovoltaic (PV) and concentrated solar power (CSP) energy technologies cost-competitive with fossil fuel based energy by reducing the cost of solar energy systems by 75 percent before 2020</w:t>
      </w:r>
      <w:r w:rsidR="00EB657B">
        <w:t>, from 2010 levels</w:t>
      </w:r>
      <w:r w:rsidRPr="00AF0C81">
        <w:t>.</w:t>
      </w:r>
    </w:p>
    <w:p w:rsidR="00266DBF" w:rsidRPr="00AF0C81" w:rsidRDefault="00266DBF" w:rsidP="00E31DF0">
      <w:pPr>
        <w:pStyle w:val="Heading2"/>
        <w:ind w:firstLine="720"/>
        <w:rPr>
          <w:rFonts w:asciiTheme="minorHAnsi" w:hAnsiTheme="minorHAnsi"/>
          <w:color w:val="365F91" w:themeColor="accent1" w:themeShade="BF"/>
          <w:sz w:val="22"/>
          <w:szCs w:val="22"/>
        </w:rPr>
      </w:pPr>
      <w:bookmarkStart w:id="41" w:name="_Toc352758972"/>
      <w:bookmarkStart w:id="42" w:name="_Toc357755924"/>
      <w:bookmarkStart w:id="43" w:name="_Toc357763455"/>
      <w:r w:rsidRPr="00AF0C81">
        <w:rPr>
          <w:rFonts w:asciiTheme="minorHAnsi" w:hAnsiTheme="minorHAnsi"/>
          <w:color w:val="365F91" w:themeColor="accent1" w:themeShade="BF"/>
          <w:sz w:val="22"/>
          <w:szCs w:val="22"/>
        </w:rPr>
        <w:t>Water Power</w:t>
      </w:r>
      <w:bookmarkEnd w:id="41"/>
      <w:bookmarkEnd w:id="42"/>
      <w:bookmarkEnd w:id="43"/>
    </w:p>
    <w:p w:rsidR="00266DBF" w:rsidRPr="00AF0C81" w:rsidRDefault="00266DBF" w:rsidP="00266DBF">
      <w:pPr>
        <w:spacing w:after="0" w:line="312" w:lineRule="atLeast"/>
      </w:pPr>
      <w:r w:rsidRPr="00AF0C81">
        <w:t xml:space="preserve">The mission of the Water Power Program is to research, develop, test, demonstrate, and </w:t>
      </w:r>
      <w:r w:rsidR="00EB657B">
        <w:t xml:space="preserve">facilitate the </w:t>
      </w:r>
      <w:r w:rsidRPr="00AF0C81">
        <w:t>deploy</w:t>
      </w:r>
      <w:r w:rsidR="00EB657B">
        <w:t>ment of</w:t>
      </w:r>
      <w:r w:rsidRPr="00AF0C81">
        <w:t xml:space="preserve"> innovative technologies capable of generating renewable, environmentally responsible, and cost-effective electricity from U.S. water resources at an accelerated pace.</w:t>
      </w:r>
    </w:p>
    <w:p w:rsidR="00266DBF" w:rsidRPr="00AF0C81" w:rsidRDefault="00266DBF" w:rsidP="00E31DF0">
      <w:pPr>
        <w:pStyle w:val="Heading2"/>
        <w:ind w:firstLine="720"/>
        <w:rPr>
          <w:rFonts w:asciiTheme="minorHAnsi" w:hAnsiTheme="minorHAnsi"/>
          <w:color w:val="365F91" w:themeColor="accent1" w:themeShade="BF"/>
          <w:sz w:val="22"/>
          <w:szCs w:val="22"/>
        </w:rPr>
      </w:pPr>
      <w:bookmarkStart w:id="44" w:name="_Toc352758973"/>
      <w:bookmarkStart w:id="45" w:name="_Toc357755925"/>
      <w:bookmarkStart w:id="46" w:name="_Toc357763456"/>
      <w:r w:rsidRPr="00AF0C81">
        <w:rPr>
          <w:rFonts w:asciiTheme="minorHAnsi" w:hAnsiTheme="minorHAnsi"/>
          <w:color w:val="365F91" w:themeColor="accent1" w:themeShade="BF"/>
          <w:sz w:val="22"/>
          <w:szCs w:val="22"/>
        </w:rPr>
        <w:t>Wind Energy</w:t>
      </w:r>
      <w:bookmarkEnd w:id="44"/>
      <w:bookmarkEnd w:id="45"/>
      <w:bookmarkEnd w:id="46"/>
    </w:p>
    <w:p w:rsidR="00266DBF" w:rsidRPr="00AF0C81" w:rsidRDefault="00266DBF" w:rsidP="00266DBF">
      <w:pPr>
        <w:spacing w:after="0" w:line="312" w:lineRule="atLeast"/>
      </w:pPr>
      <w:r w:rsidRPr="00AF0C81">
        <w:t>The mission of the Wind Energy Program is to accelerate widespread United States deployment of clean, affordable, reliable, and domestic wind power to promote economic growth and environmental quality.</w:t>
      </w:r>
    </w:p>
    <w:p w:rsidR="00E31DF0" w:rsidRPr="00AF0C81" w:rsidRDefault="00E31DF0" w:rsidP="00E31DF0">
      <w:pPr>
        <w:pStyle w:val="Heading2"/>
        <w:ind w:firstLine="720"/>
        <w:rPr>
          <w:rFonts w:asciiTheme="minorHAnsi" w:hAnsiTheme="minorHAnsi"/>
          <w:color w:val="365F91" w:themeColor="accent1" w:themeShade="BF"/>
          <w:sz w:val="22"/>
          <w:szCs w:val="22"/>
        </w:rPr>
      </w:pPr>
      <w:bookmarkStart w:id="47" w:name="_Toc352758974"/>
      <w:bookmarkStart w:id="48" w:name="_Toc357755926"/>
      <w:bookmarkStart w:id="49" w:name="_Toc357763457"/>
      <w:r w:rsidRPr="00AF0C81">
        <w:rPr>
          <w:rFonts w:asciiTheme="minorHAnsi" w:hAnsiTheme="minorHAnsi"/>
          <w:color w:val="365F91" w:themeColor="accent1" w:themeShade="BF"/>
          <w:sz w:val="22"/>
          <w:szCs w:val="22"/>
        </w:rPr>
        <w:t>Federal Energy Management Program</w:t>
      </w:r>
      <w:bookmarkEnd w:id="47"/>
      <w:bookmarkEnd w:id="48"/>
      <w:bookmarkEnd w:id="49"/>
    </w:p>
    <w:p w:rsidR="00E31DF0" w:rsidRPr="00AF0C81" w:rsidRDefault="00E31DF0" w:rsidP="00E31DF0">
      <w:pPr>
        <w:spacing w:after="0" w:line="312" w:lineRule="atLeast"/>
      </w:pPr>
      <w:r w:rsidRPr="00AF0C81">
        <w:t xml:space="preserve">Federal Energy Management Program’s (FEMP) mission is to provide the services, tools, and expertise to Federal agencies to help them achieve their </w:t>
      </w:r>
      <w:r w:rsidR="0093017A" w:rsidRPr="00AF0C81">
        <w:t xml:space="preserve">energy </w:t>
      </w:r>
      <w:r w:rsidR="0093017A">
        <w:t>and</w:t>
      </w:r>
      <w:r w:rsidR="00786B07">
        <w:t xml:space="preserve"> sustainability </w:t>
      </w:r>
      <w:r w:rsidRPr="00AF0C81">
        <w:t>goals established by law and executive order.  These are delivered through</w:t>
      </w:r>
      <w:r w:rsidR="00786B07" w:rsidRPr="00786B07">
        <w:t xml:space="preserve"> </w:t>
      </w:r>
      <w:r w:rsidR="00786B07">
        <w:t>a</w:t>
      </w:r>
      <w:r w:rsidR="00786B07" w:rsidRPr="00786B07">
        <w:t>gency investment and performance contracting support</w:t>
      </w:r>
      <w:r w:rsidRPr="00AF0C81">
        <w:t xml:space="preserve">, technical assistance, and communications and training.  By increasing its use of energy efficiency and renewable energy, the Federal sector leads by example, </w:t>
      </w:r>
      <w:r w:rsidR="00EB657B">
        <w:t xml:space="preserve">saves money, </w:t>
      </w:r>
      <w:r w:rsidRPr="00AF0C81">
        <w:t>meets more of its energy requirements from clean technologies and secure sources, and spurs innovation and commercialization of clean energy technologies.</w:t>
      </w:r>
    </w:p>
    <w:p w:rsidR="00E31DF0" w:rsidRPr="00910340" w:rsidRDefault="00E31DF0" w:rsidP="00266DBF">
      <w:pPr>
        <w:spacing w:after="0" w:line="312" w:lineRule="atLeast"/>
        <w:rPr>
          <w:color w:val="365F91" w:themeColor="accent1" w:themeShade="BF"/>
        </w:rPr>
      </w:pPr>
    </w:p>
    <w:p w:rsidR="0054380B" w:rsidRPr="00910340" w:rsidRDefault="00E31DF0" w:rsidP="00910340">
      <w:pPr>
        <w:ind w:firstLine="720"/>
        <w:rPr>
          <w:b/>
          <w:color w:val="365F91" w:themeColor="accent1" w:themeShade="BF"/>
        </w:rPr>
      </w:pPr>
      <w:r w:rsidRPr="00910340">
        <w:rPr>
          <w:b/>
          <w:color w:val="365F91" w:themeColor="accent1" w:themeShade="BF"/>
        </w:rPr>
        <w:t xml:space="preserve">EERE </w:t>
      </w:r>
      <w:r w:rsidR="00F800E8" w:rsidRPr="00910340">
        <w:rPr>
          <w:b/>
          <w:color w:val="365F91" w:themeColor="accent1" w:themeShade="BF"/>
        </w:rPr>
        <w:t xml:space="preserve">Supported Strategic Goal and </w:t>
      </w:r>
      <w:r w:rsidR="00F800E8" w:rsidRPr="00910340">
        <w:rPr>
          <w:b/>
          <w:color w:val="365F91"/>
        </w:rPr>
        <w:t>Objectives</w:t>
      </w:r>
    </w:p>
    <w:tbl>
      <w:tblPr>
        <w:tblW w:w="86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7"/>
        <w:gridCol w:w="2520"/>
        <w:gridCol w:w="3453"/>
      </w:tblGrid>
      <w:tr w:rsidR="0054380B" w:rsidRPr="00AF0C81" w:rsidTr="00577A74">
        <w:trPr>
          <w:trHeight w:val="300"/>
        </w:trPr>
        <w:tc>
          <w:tcPr>
            <w:tcW w:w="2667" w:type="dxa"/>
            <w:shd w:val="clear" w:color="DBE5F1" w:fill="DBE5F1"/>
            <w:vAlign w:val="bottom"/>
            <w:hideMark/>
          </w:tcPr>
          <w:p w:rsidR="0054380B" w:rsidRPr="00AF0C81" w:rsidRDefault="0054380B" w:rsidP="0054380B">
            <w:pPr>
              <w:spacing w:after="0" w:line="240" w:lineRule="auto"/>
              <w:rPr>
                <w:rFonts w:eastAsia="Times New Roman" w:cs="Times New Roman"/>
                <w:b/>
                <w:bCs/>
                <w:color w:val="000000"/>
              </w:rPr>
            </w:pPr>
            <w:r w:rsidRPr="00AF0C81">
              <w:rPr>
                <w:rFonts w:eastAsia="Times New Roman" w:cs="Times New Roman"/>
                <w:b/>
                <w:bCs/>
                <w:color w:val="000000"/>
              </w:rPr>
              <w:t>Goal</w:t>
            </w:r>
          </w:p>
        </w:tc>
        <w:tc>
          <w:tcPr>
            <w:tcW w:w="2520" w:type="dxa"/>
            <w:shd w:val="clear" w:color="DBE5F1" w:fill="DBE5F1"/>
            <w:vAlign w:val="bottom"/>
            <w:hideMark/>
          </w:tcPr>
          <w:p w:rsidR="0054380B" w:rsidRPr="00AF0C81" w:rsidRDefault="0054380B" w:rsidP="0054380B">
            <w:pPr>
              <w:spacing w:after="0" w:line="240" w:lineRule="auto"/>
              <w:rPr>
                <w:rFonts w:eastAsia="Times New Roman" w:cs="Times New Roman"/>
                <w:b/>
                <w:bCs/>
                <w:color w:val="000000"/>
              </w:rPr>
            </w:pPr>
            <w:r w:rsidRPr="00AF0C81">
              <w:rPr>
                <w:rFonts w:eastAsia="Times New Roman" w:cs="Times New Roman"/>
                <w:b/>
                <w:bCs/>
                <w:color w:val="000000"/>
              </w:rPr>
              <w:t>Objective</w:t>
            </w:r>
          </w:p>
        </w:tc>
        <w:tc>
          <w:tcPr>
            <w:tcW w:w="3453" w:type="dxa"/>
            <w:shd w:val="clear" w:color="DBE5F1" w:fill="DBE5F1"/>
            <w:vAlign w:val="bottom"/>
            <w:hideMark/>
          </w:tcPr>
          <w:p w:rsidR="0054380B" w:rsidRPr="00AF0C81" w:rsidRDefault="0054380B" w:rsidP="000F3039">
            <w:pPr>
              <w:spacing w:after="0" w:line="240" w:lineRule="auto"/>
              <w:rPr>
                <w:rFonts w:eastAsia="Times New Roman" w:cs="Times New Roman"/>
                <w:b/>
                <w:bCs/>
                <w:color w:val="000000"/>
              </w:rPr>
            </w:pPr>
            <w:r w:rsidRPr="00AF0C81">
              <w:rPr>
                <w:rFonts w:eastAsia="Times New Roman" w:cs="Times New Roman"/>
                <w:b/>
                <w:bCs/>
                <w:color w:val="000000"/>
              </w:rPr>
              <w:t>Program</w:t>
            </w:r>
            <w:r w:rsidR="000F3039" w:rsidRPr="00AF0C81">
              <w:rPr>
                <w:rFonts w:eastAsia="Times New Roman" w:cs="Times New Roman"/>
                <w:b/>
                <w:bCs/>
                <w:color w:val="000000"/>
              </w:rPr>
              <w:t>s</w:t>
            </w:r>
          </w:p>
        </w:tc>
      </w:tr>
      <w:tr w:rsidR="0054380B" w:rsidRPr="00AF0C81" w:rsidTr="00577A74">
        <w:trPr>
          <w:trHeight w:val="300"/>
        </w:trPr>
        <w:tc>
          <w:tcPr>
            <w:tcW w:w="2667" w:type="dxa"/>
            <w:vMerge w:val="restart"/>
            <w:shd w:val="clear" w:color="auto" w:fill="auto"/>
            <w:hideMark/>
          </w:tcPr>
          <w:p w:rsidR="0054380B" w:rsidRPr="00AF0C81" w:rsidRDefault="0054380B" w:rsidP="0054380B">
            <w:pPr>
              <w:spacing w:after="0" w:line="240" w:lineRule="auto"/>
              <w:rPr>
                <w:rFonts w:eastAsia="Times New Roman" w:cs="Times New Roman"/>
                <w:b/>
                <w:bCs/>
                <w:color w:val="000000"/>
              </w:rPr>
            </w:pPr>
            <w:r w:rsidRPr="00AF0C81">
              <w:rPr>
                <w:rFonts w:eastAsia="Times New Roman" w:cs="Times New Roman"/>
                <w:b/>
                <w:bCs/>
                <w:color w:val="000000"/>
              </w:rPr>
              <w:t xml:space="preserve">1. Transform Our Energy Systems:  </w:t>
            </w:r>
            <w:r w:rsidRPr="00AF0C81">
              <w:rPr>
                <w:rFonts w:eastAsia="Times New Roman" w:cs="Times New Roman"/>
                <w:color w:val="000000"/>
              </w:rPr>
              <w:t>Catalyze the timely, material, and efficient transformation of the Nation’s energy system and secure U.S. leadership in clean energy technologies</w:t>
            </w:r>
          </w:p>
        </w:tc>
        <w:tc>
          <w:tcPr>
            <w:tcW w:w="2520" w:type="dxa"/>
            <w:vMerge w:val="restart"/>
            <w:shd w:val="clear" w:color="auto" w:fill="auto"/>
            <w:hideMark/>
          </w:tcPr>
          <w:p w:rsidR="0054380B" w:rsidRPr="00AF0C81" w:rsidRDefault="0054380B" w:rsidP="0054380B">
            <w:pPr>
              <w:spacing w:after="0" w:line="240" w:lineRule="auto"/>
              <w:rPr>
                <w:rFonts w:eastAsia="Times New Roman" w:cs="Times New Roman"/>
                <w:b/>
                <w:bCs/>
                <w:color w:val="000000"/>
              </w:rPr>
            </w:pPr>
            <w:r w:rsidRPr="00AF0C81">
              <w:rPr>
                <w:rFonts w:eastAsia="Times New Roman" w:cs="Times New Roman"/>
                <w:b/>
                <w:bCs/>
                <w:color w:val="000000"/>
              </w:rPr>
              <w:t>1A. Deploy the Technologies We Have</w:t>
            </w:r>
          </w:p>
        </w:tc>
        <w:tc>
          <w:tcPr>
            <w:tcW w:w="3453" w:type="dxa"/>
            <w:shd w:val="clear" w:color="auto" w:fill="auto"/>
            <w:vAlign w:val="bottom"/>
            <w:hideMark/>
          </w:tcPr>
          <w:p w:rsidR="0054380B" w:rsidRPr="00AF0C81" w:rsidRDefault="0054380B" w:rsidP="00EC33A8">
            <w:pPr>
              <w:spacing w:after="0" w:line="240" w:lineRule="auto"/>
              <w:rPr>
                <w:rFonts w:eastAsia="Times New Roman" w:cs="Times New Roman"/>
                <w:color w:val="000000"/>
              </w:rPr>
            </w:pPr>
            <w:r w:rsidRPr="00AF0C81">
              <w:rPr>
                <w:rFonts w:eastAsia="Times New Roman" w:cs="Times New Roman"/>
                <w:color w:val="000000"/>
              </w:rPr>
              <w:t>Advanced Manufacturing</w:t>
            </w:r>
          </w:p>
        </w:tc>
      </w:tr>
      <w:tr w:rsidR="0054380B" w:rsidRPr="00AF0C81" w:rsidTr="00577A74">
        <w:trPr>
          <w:trHeight w:val="300"/>
        </w:trPr>
        <w:tc>
          <w:tcPr>
            <w:tcW w:w="2667" w:type="dxa"/>
            <w:vMerge/>
            <w:vAlign w:val="center"/>
            <w:hideMark/>
          </w:tcPr>
          <w:p w:rsidR="0054380B" w:rsidRPr="00AF0C81" w:rsidRDefault="0054380B" w:rsidP="0054380B">
            <w:pPr>
              <w:spacing w:after="0" w:line="240" w:lineRule="auto"/>
              <w:rPr>
                <w:rFonts w:eastAsia="Times New Roman" w:cs="Times New Roman"/>
                <w:b/>
                <w:bCs/>
                <w:color w:val="000000"/>
              </w:rPr>
            </w:pPr>
          </w:p>
        </w:tc>
        <w:tc>
          <w:tcPr>
            <w:tcW w:w="2520" w:type="dxa"/>
            <w:vMerge/>
            <w:vAlign w:val="center"/>
            <w:hideMark/>
          </w:tcPr>
          <w:p w:rsidR="0054380B" w:rsidRPr="00AF0C81" w:rsidRDefault="0054380B" w:rsidP="0054380B">
            <w:pPr>
              <w:spacing w:after="0" w:line="240" w:lineRule="auto"/>
              <w:rPr>
                <w:rFonts w:eastAsia="Times New Roman" w:cs="Times New Roman"/>
                <w:b/>
                <w:bCs/>
                <w:color w:val="000000"/>
              </w:rPr>
            </w:pPr>
          </w:p>
        </w:tc>
        <w:tc>
          <w:tcPr>
            <w:tcW w:w="3453" w:type="dxa"/>
            <w:shd w:val="clear" w:color="auto" w:fill="auto"/>
            <w:vAlign w:val="bottom"/>
            <w:hideMark/>
          </w:tcPr>
          <w:p w:rsidR="0054380B" w:rsidRPr="00AF0C81" w:rsidRDefault="0054380B" w:rsidP="0054380B">
            <w:pPr>
              <w:spacing w:after="0" w:line="240" w:lineRule="auto"/>
              <w:rPr>
                <w:rFonts w:eastAsia="Times New Roman" w:cs="Times New Roman"/>
                <w:color w:val="000000"/>
              </w:rPr>
            </w:pPr>
            <w:r w:rsidRPr="00AF0C81">
              <w:rPr>
                <w:rFonts w:eastAsia="Times New Roman" w:cs="Times New Roman"/>
                <w:color w:val="000000"/>
              </w:rPr>
              <w:t>Building Technologies</w:t>
            </w:r>
          </w:p>
        </w:tc>
      </w:tr>
      <w:tr w:rsidR="0054380B" w:rsidRPr="00AF0C81" w:rsidTr="00577A74">
        <w:trPr>
          <w:trHeight w:val="300"/>
        </w:trPr>
        <w:tc>
          <w:tcPr>
            <w:tcW w:w="2667" w:type="dxa"/>
            <w:vMerge/>
            <w:vAlign w:val="center"/>
            <w:hideMark/>
          </w:tcPr>
          <w:p w:rsidR="0054380B" w:rsidRPr="00AF0C81" w:rsidRDefault="0054380B" w:rsidP="0054380B">
            <w:pPr>
              <w:spacing w:after="0" w:line="240" w:lineRule="auto"/>
              <w:rPr>
                <w:rFonts w:eastAsia="Times New Roman" w:cs="Times New Roman"/>
                <w:b/>
                <w:bCs/>
                <w:color w:val="000000"/>
              </w:rPr>
            </w:pPr>
          </w:p>
        </w:tc>
        <w:tc>
          <w:tcPr>
            <w:tcW w:w="2520" w:type="dxa"/>
            <w:vMerge/>
            <w:vAlign w:val="center"/>
            <w:hideMark/>
          </w:tcPr>
          <w:p w:rsidR="0054380B" w:rsidRPr="00AF0C81" w:rsidRDefault="0054380B" w:rsidP="0054380B">
            <w:pPr>
              <w:spacing w:after="0" w:line="240" w:lineRule="auto"/>
              <w:rPr>
                <w:rFonts w:eastAsia="Times New Roman" w:cs="Times New Roman"/>
                <w:b/>
                <w:bCs/>
                <w:color w:val="000000"/>
              </w:rPr>
            </w:pPr>
          </w:p>
        </w:tc>
        <w:tc>
          <w:tcPr>
            <w:tcW w:w="3453" w:type="dxa"/>
            <w:shd w:val="clear" w:color="auto" w:fill="auto"/>
            <w:vAlign w:val="bottom"/>
            <w:hideMark/>
          </w:tcPr>
          <w:p w:rsidR="0054380B" w:rsidRPr="00AF0C81" w:rsidRDefault="0054380B" w:rsidP="00881C58">
            <w:pPr>
              <w:spacing w:after="0" w:line="240" w:lineRule="auto"/>
              <w:rPr>
                <w:rFonts w:eastAsia="Times New Roman" w:cs="Times New Roman"/>
                <w:color w:val="000000"/>
              </w:rPr>
            </w:pPr>
            <w:r w:rsidRPr="00AF0C81">
              <w:rPr>
                <w:rFonts w:eastAsia="Times New Roman" w:cs="Times New Roman"/>
                <w:color w:val="000000"/>
              </w:rPr>
              <w:t>Vehicle Technologies</w:t>
            </w:r>
          </w:p>
        </w:tc>
      </w:tr>
      <w:tr w:rsidR="0054380B" w:rsidRPr="00AF0C81" w:rsidTr="00577A74">
        <w:trPr>
          <w:trHeight w:val="300"/>
        </w:trPr>
        <w:tc>
          <w:tcPr>
            <w:tcW w:w="2667" w:type="dxa"/>
            <w:vMerge/>
            <w:vAlign w:val="center"/>
            <w:hideMark/>
          </w:tcPr>
          <w:p w:rsidR="0054380B" w:rsidRPr="00AF0C81" w:rsidRDefault="0054380B" w:rsidP="0054380B">
            <w:pPr>
              <w:spacing w:after="0" w:line="240" w:lineRule="auto"/>
              <w:rPr>
                <w:rFonts w:eastAsia="Times New Roman" w:cs="Times New Roman"/>
                <w:b/>
                <w:bCs/>
                <w:color w:val="000000"/>
              </w:rPr>
            </w:pPr>
          </w:p>
        </w:tc>
        <w:tc>
          <w:tcPr>
            <w:tcW w:w="2520" w:type="dxa"/>
            <w:vMerge/>
            <w:vAlign w:val="center"/>
            <w:hideMark/>
          </w:tcPr>
          <w:p w:rsidR="0054380B" w:rsidRPr="00AF0C81" w:rsidRDefault="0054380B" w:rsidP="0054380B">
            <w:pPr>
              <w:spacing w:after="0" w:line="240" w:lineRule="auto"/>
              <w:rPr>
                <w:rFonts w:eastAsia="Times New Roman" w:cs="Times New Roman"/>
                <w:b/>
                <w:bCs/>
                <w:color w:val="000000"/>
              </w:rPr>
            </w:pPr>
          </w:p>
        </w:tc>
        <w:tc>
          <w:tcPr>
            <w:tcW w:w="3453" w:type="dxa"/>
            <w:shd w:val="clear" w:color="auto" w:fill="auto"/>
            <w:vAlign w:val="bottom"/>
            <w:hideMark/>
          </w:tcPr>
          <w:p w:rsidR="0054380B" w:rsidRPr="00B16953" w:rsidRDefault="0054380B" w:rsidP="0054380B">
            <w:pPr>
              <w:spacing w:after="0" w:line="240" w:lineRule="auto"/>
              <w:rPr>
                <w:color w:val="000000" w:themeColor="text1"/>
              </w:rPr>
            </w:pPr>
            <w:r w:rsidRPr="00B16953">
              <w:rPr>
                <w:color w:val="000000" w:themeColor="text1"/>
              </w:rPr>
              <w:t>Weatherization and Intergovernmental Activities</w:t>
            </w:r>
          </w:p>
        </w:tc>
      </w:tr>
      <w:tr w:rsidR="0054380B" w:rsidRPr="00AF0C81" w:rsidTr="00577A74">
        <w:trPr>
          <w:trHeight w:val="300"/>
        </w:trPr>
        <w:tc>
          <w:tcPr>
            <w:tcW w:w="2667" w:type="dxa"/>
            <w:vMerge/>
            <w:vAlign w:val="center"/>
            <w:hideMark/>
          </w:tcPr>
          <w:p w:rsidR="0054380B" w:rsidRPr="00AF0C81" w:rsidRDefault="0054380B" w:rsidP="0054380B">
            <w:pPr>
              <w:spacing w:after="0" w:line="240" w:lineRule="auto"/>
              <w:rPr>
                <w:rFonts w:eastAsia="Times New Roman" w:cs="Times New Roman"/>
                <w:b/>
                <w:bCs/>
                <w:color w:val="000000"/>
              </w:rPr>
            </w:pPr>
          </w:p>
        </w:tc>
        <w:tc>
          <w:tcPr>
            <w:tcW w:w="2520" w:type="dxa"/>
            <w:vMerge w:val="restart"/>
            <w:shd w:val="clear" w:color="auto" w:fill="auto"/>
            <w:hideMark/>
          </w:tcPr>
          <w:p w:rsidR="0054380B" w:rsidRPr="00AF0C81" w:rsidRDefault="0054380B" w:rsidP="0054380B">
            <w:pPr>
              <w:spacing w:after="0" w:line="240" w:lineRule="auto"/>
              <w:rPr>
                <w:rFonts w:eastAsia="Times New Roman" w:cs="Times New Roman"/>
                <w:b/>
                <w:bCs/>
                <w:color w:val="000000"/>
              </w:rPr>
            </w:pPr>
            <w:r w:rsidRPr="00AF0C81">
              <w:rPr>
                <w:rFonts w:eastAsia="Times New Roman" w:cs="Times New Roman"/>
                <w:b/>
                <w:bCs/>
                <w:color w:val="000000"/>
              </w:rPr>
              <w:t>1B. Discover the New Solutions We Need</w:t>
            </w:r>
          </w:p>
        </w:tc>
        <w:tc>
          <w:tcPr>
            <w:tcW w:w="3453" w:type="dxa"/>
            <w:shd w:val="clear" w:color="auto" w:fill="auto"/>
            <w:vAlign w:val="bottom"/>
            <w:hideMark/>
          </w:tcPr>
          <w:p w:rsidR="0054380B" w:rsidRPr="00B16953" w:rsidRDefault="00142A5F" w:rsidP="002D2349">
            <w:pPr>
              <w:spacing w:after="0" w:line="240" w:lineRule="auto"/>
              <w:rPr>
                <w:color w:val="000000" w:themeColor="text1"/>
              </w:rPr>
            </w:pPr>
            <w:r w:rsidRPr="00B16953">
              <w:rPr>
                <w:rStyle w:val="Hyperlink"/>
                <w:color w:val="000000" w:themeColor="text1"/>
              </w:rPr>
              <w:t xml:space="preserve">Bioenergy Technologies </w:t>
            </w:r>
          </w:p>
        </w:tc>
      </w:tr>
      <w:tr w:rsidR="0054380B" w:rsidRPr="00AF0C81" w:rsidTr="00577A74">
        <w:trPr>
          <w:trHeight w:val="300"/>
        </w:trPr>
        <w:tc>
          <w:tcPr>
            <w:tcW w:w="2667" w:type="dxa"/>
            <w:vMerge/>
            <w:vAlign w:val="center"/>
            <w:hideMark/>
          </w:tcPr>
          <w:p w:rsidR="0054380B" w:rsidRPr="00AF0C81" w:rsidRDefault="0054380B" w:rsidP="0054380B">
            <w:pPr>
              <w:spacing w:after="0" w:line="240" w:lineRule="auto"/>
              <w:rPr>
                <w:rFonts w:eastAsia="Times New Roman" w:cs="Times New Roman"/>
                <w:b/>
                <w:bCs/>
                <w:color w:val="000000"/>
              </w:rPr>
            </w:pPr>
          </w:p>
        </w:tc>
        <w:tc>
          <w:tcPr>
            <w:tcW w:w="2520" w:type="dxa"/>
            <w:vMerge/>
            <w:vAlign w:val="center"/>
            <w:hideMark/>
          </w:tcPr>
          <w:p w:rsidR="0054380B" w:rsidRPr="00AF0C81" w:rsidRDefault="0054380B" w:rsidP="0054380B">
            <w:pPr>
              <w:spacing w:after="0" w:line="240" w:lineRule="auto"/>
              <w:rPr>
                <w:rFonts w:eastAsia="Times New Roman" w:cs="Times New Roman"/>
                <w:b/>
                <w:bCs/>
                <w:color w:val="000000"/>
              </w:rPr>
            </w:pPr>
          </w:p>
        </w:tc>
        <w:tc>
          <w:tcPr>
            <w:tcW w:w="3453" w:type="dxa"/>
            <w:shd w:val="clear" w:color="auto" w:fill="auto"/>
            <w:vAlign w:val="bottom"/>
            <w:hideMark/>
          </w:tcPr>
          <w:p w:rsidR="0054380B" w:rsidRPr="00AF0C81" w:rsidRDefault="0054380B" w:rsidP="0054380B">
            <w:pPr>
              <w:spacing w:after="0" w:line="240" w:lineRule="auto"/>
              <w:rPr>
                <w:rFonts w:eastAsia="Times New Roman" w:cs="Times New Roman"/>
                <w:color w:val="000000"/>
              </w:rPr>
            </w:pPr>
            <w:r w:rsidRPr="00AF0C81">
              <w:rPr>
                <w:rFonts w:eastAsia="Times New Roman" w:cs="Times New Roman"/>
                <w:color w:val="000000"/>
              </w:rPr>
              <w:t>Geothermal Technology</w:t>
            </w:r>
          </w:p>
        </w:tc>
      </w:tr>
      <w:tr w:rsidR="0054380B" w:rsidRPr="00AF0C81" w:rsidTr="00577A74">
        <w:trPr>
          <w:trHeight w:val="300"/>
        </w:trPr>
        <w:tc>
          <w:tcPr>
            <w:tcW w:w="2667" w:type="dxa"/>
            <w:vMerge/>
            <w:vAlign w:val="center"/>
            <w:hideMark/>
          </w:tcPr>
          <w:p w:rsidR="0054380B" w:rsidRPr="00AF0C81" w:rsidRDefault="0054380B" w:rsidP="0054380B">
            <w:pPr>
              <w:spacing w:after="0" w:line="240" w:lineRule="auto"/>
              <w:rPr>
                <w:rFonts w:eastAsia="Times New Roman" w:cs="Times New Roman"/>
                <w:b/>
                <w:bCs/>
                <w:color w:val="000000"/>
              </w:rPr>
            </w:pPr>
          </w:p>
        </w:tc>
        <w:tc>
          <w:tcPr>
            <w:tcW w:w="2520" w:type="dxa"/>
            <w:vMerge/>
            <w:vAlign w:val="center"/>
            <w:hideMark/>
          </w:tcPr>
          <w:p w:rsidR="0054380B" w:rsidRPr="00AF0C81" w:rsidRDefault="0054380B" w:rsidP="0054380B">
            <w:pPr>
              <w:spacing w:after="0" w:line="240" w:lineRule="auto"/>
              <w:rPr>
                <w:rFonts w:eastAsia="Times New Roman" w:cs="Times New Roman"/>
                <w:b/>
                <w:bCs/>
                <w:color w:val="000000"/>
              </w:rPr>
            </w:pPr>
          </w:p>
        </w:tc>
        <w:tc>
          <w:tcPr>
            <w:tcW w:w="3453" w:type="dxa"/>
            <w:shd w:val="clear" w:color="auto" w:fill="auto"/>
            <w:vAlign w:val="bottom"/>
            <w:hideMark/>
          </w:tcPr>
          <w:p w:rsidR="0054380B" w:rsidRPr="00AF0C81" w:rsidRDefault="0054380B" w:rsidP="0054380B">
            <w:pPr>
              <w:spacing w:after="0" w:line="240" w:lineRule="auto"/>
              <w:rPr>
                <w:rFonts w:eastAsia="Times New Roman" w:cs="Times New Roman"/>
                <w:color w:val="000000"/>
              </w:rPr>
            </w:pPr>
            <w:r w:rsidRPr="00AF0C81">
              <w:rPr>
                <w:rFonts w:eastAsia="Times New Roman" w:cs="Times New Roman"/>
                <w:color w:val="000000"/>
              </w:rPr>
              <w:t>Hydrogen and Fuel Cell Technologies</w:t>
            </w:r>
          </w:p>
        </w:tc>
      </w:tr>
      <w:tr w:rsidR="0054380B" w:rsidRPr="00AF0C81" w:rsidTr="00577A74">
        <w:trPr>
          <w:trHeight w:val="300"/>
        </w:trPr>
        <w:tc>
          <w:tcPr>
            <w:tcW w:w="2667" w:type="dxa"/>
            <w:vMerge/>
            <w:vAlign w:val="center"/>
            <w:hideMark/>
          </w:tcPr>
          <w:p w:rsidR="0054380B" w:rsidRPr="00AF0C81" w:rsidRDefault="0054380B" w:rsidP="0054380B">
            <w:pPr>
              <w:spacing w:after="0" w:line="240" w:lineRule="auto"/>
              <w:rPr>
                <w:rFonts w:eastAsia="Times New Roman" w:cs="Times New Roman"/>
                <w:b/>
                <w:bCs/>
                <w:color w:val="000000"/>
              </w:rPr>
            </w:pPr>
          </w:p>
        </w:tc>
        <w:tc>
          <w:tcPr>
            <w:tcW w:w="2520" w:type="dxa"/>
            <w:vMerge/>
            <w:vAlign w:val="center"/>
            <w:hideMark/>
          </w:tcPr>
          <w:p w:rsidR="0054380B" w:rsidRPr="00AF0C81" w:rsidRDefault="0054380B" w:rsidP="0054380B">
            <w:pPr>
              <w:spacing w:after="0" w:line="240" w:lineRule="auto"/>
              <w:rPr>
                <w:rFonts w:eastAsia="Times New Roman" w:cs="Times New Roman"/>
                <w:b/>
                <w:bCs/>
                <w:color w:val="000000"/>
              </w:rPr>
            </w:pPr>
          </w:p>
        </w:tc>
        <w:tc>
          <w:tcPr>
            <w:tcW w:w="3453" w:type="dxa"/>
            <w:shd w:val="clear" w:color="auto" w:fill="auto"/>
            <w:vAlign w:val="bottom"/>
            <w:hideMark/>
          </w:tcPr>
          <w:p w:rsidR="0054380B" w:rsidRPr="00AF0C81" w:rsidRDefault="0054380B" w:rsidP="0054380B">
            <w:pPr>
              <w:spacing w:after="0" w:line="240" w:lineRule="auto"/>
              <w:rPr>
                <w:rFonts w:eastAsia="Times New Roman" w:cs="Times New Roman"/>
                <w:color w:val="000000"/>
              </w:rPr>
            </w:pPr>
            <w:r w:rsidRPr="00AF0C81">
              <w:rPr>
                <w:rFonts w:eastAsia="Times New Roman" w:cs="Times New Roman"/>
                <w:color w:val="000000"/>
              </w:rPr>
              <w:t>Solar Energy</w:t>
            </w:r>
          </w:p>
        </w:tc>
      </w:tr>
      <w:tr w:rsidR="0054380B" w:rsidRPr="00AF0C81" w:rsidTr="00577A74">
        <w:trPr>
          <w:trHeight w:val="300"/>
        </w:trPr>
        <w:tc>
          <w:tcPr>
            <w:tcW w:w="2667" w:type="dxa"/>
            <w:vMerge/>
            <w:vAlign w:val="center"/>
            <w:hideMark/>
          </w:tcPr>
          <w:p w:rsidR="0054380B" w:rsidRPr="00AF0C81" w:rsidRDefault="0054380B" w:rsidP="0054380B">
            <w:pPr>
              <w:spacing w:after="0" w:line="240" w:lineRule="auto"/>
              <w:rPr>
                <w:rFonts w:eastAsia="Times New Roman" w:cs="Times New Roman"/>
                <w:b/>
                <w:bCs/>
                <w:color w:val="000000"/>
              </w:rPr>
            </w:pPr>
          </w:p>
        </w:tc>
        <w:tc>
          <w:tcPr>
            <w:tcW w:w="2520" w:type="dxa"/>
            <w:vMerge/>
            <w:vAlign w:val="center"/>
            <w:hideMark/>
          </w:tcPr>
          <w:p w:rsidR="0054380B" w:rsidRPr="00AF0C81" w:rsidRDefault="0054380B" w:rsidP="0054380B">
            <w:pPr>
              <w:spacing w:after="0" w:line="240" w:lineRule="auto"/>
              <w:rPr>
                <w:rFonts w:eastAsia="Times New Roman" w:cs="Times New Roman"/>
                <w:b/>
                <w:bCs/>
                <w:color w:val="000000"/>
              </w:rPr>
            </w:pPr>
          </w:p>
        </w:tc>
        <w:tc>
          <w:tcPr>
            <w:tcW w:w="3453" w:type="dxa"/>
            <w:shd w:val="clear" w:color="auto" w:fill="auto"/>
            <w:vAlign w:val="bottom"/>
            <w:hideMark/>
          </w:tcPr>
          <w:p w:rsidR="0054380B" w:rsidRPr="00AF0C81" w:rsidRDefault="0054380B" w:rsidP="0054380B">
            <w:pPr>
              <w:spacing w:after="0" w:line="240" w:lineRule="auto"/>
              <w:rPr>
                <w:rFonts w:eastAsia="Times New Roman" w:cs="Times New Roman"/>
                <w:color w:val="000000"/>
              </w:rPr>
            </w:pPr>
            <w:r w:rsidRPr="00AF0C81">
              <w:rPr>
                <w:rFonts w:eastAsia="Times New Roman" w:cs="Times New Roman"/>
                <w:color w:val="000000"/>
              </w:rPr>
              <w:t>Water Power</w:t>
            </w:r>
          </w:p>
        </w:tc>
      </w:tr>
      <w:tr w:rsidR="0054380B" w:rsidRPr="00AF0C81" w:rsidTr="00577A74">
        <w:trPr>
          <w:trHeight w:val="300"/>
        </w:trPr>
        <w:tc>
          <w:tcPr>
            <w:tcW w:w="2667" w:type="dxa"/>
            <w:vMerge/>
            <w:vAlign w:val="center"/>
            <w:hideMark/>
          </w:tcPr>
          <w:p w:rsidR="0054380B" w:rsidRPr="00AF0C81" w:rsidRDefault="0054380B" w:rsidP="0054380B">
            <w:pPr>
              <w:spacing w:after="0" w:line="240" w:lineRule="auto"/>
              <w:rPr>
                <w:rFonts w:eastAsia="Times New Roman" w:cs="Times New Roman"/>
                <w:b/>
                <w:bCs/>
                <w:color w:val="000000"/>
              </w:rPr>
            </w:pPr>
          </w:p>
        </w:tc>
        <w:tc>
          <w:tcPr>
            <w:tcW w:w="2520" w:type="dxa"/>
            <w:vMerge/>
            <w:vAlign w:val="center"/>
            <w:hideMark/>
          </w:tcPr>
          <w:p w:rsidR="0054380B" w:rsidRPr="00AF0C81" w:rsidRDefault="0054380B" w:rsidP="0054380B">
            <w:pPr>
              <w:spacing w:after="0" w:line="240" w:lineRule="auto"/>
              <w:rPr>
                <w:rFonts w:eastAsia="Times New Roman" w:cs="Times New Roman"/>
                <w:b/>
                <w:bCs/>
                <w:color w:val="000000"/>
              </w:rPr>
            </w:pPr>
          </w:p>
        </w:tc>
        <w:tc>
          <w:tcPr>
            <w:tcW w:w="3453" w:type="dxa"/>
            <w:shd w:val="clear" w:color="auto" w:fill="auto"/>
            <w:vAlign w:val="bottom"/>
            <w:hideMark/>
          </w:tcPr>
          <w:p w:rsidR="0054380B" w:rsidRPr="00AF0C81" w:rsidRDefault="0054380B" w:rsidP="0054380B">
            <w:pPr>
              <w:spacing w:after="0" w:line="240" w:lineRule="auto"/>
              <w:rPr>
                <w:rFonts w:eastAsia="Times New Roman" w:cs="Times New Roman"/>
                <w:color w:val="000000"/>
              </w:rPr>
            </w:pPr>
            <w:r w:rsidRPr="00AF0C81">
              <w:rPr>
                <w:rFonts w:eastAsia="Times New Roman" w:cs="Times New Roman"/>
                <w:color w:val="000000"/>
              </w:rPr>
              <w:t>Wind Energy</w:t>
            </w:r>
          </w:p>
        </w:tc>
      </w:tr>
      <w:tr w:rsidR="0054380B" w:rsidRPr="00AF0C81" w:rsidTr="00577A74">
        <w:trPr>
          <w:trHeight w:val="300"/>
        </w:trPr>
        <w:tc>
          <w:tcPr>
            <w:tcW w:w="2667" w:type="dxa"/>
            <w:vMerge/>
            <w:vAlign w:val="center"/>
            <w:hideMark/>
          </w:tcPr>
          <w:p w:rsidR="0054380B" w:rsidRPr="00AF0C81" w:rsidRDefault="0054380B" w:rsidP="0054380B">
            <w:pPr>
              <w:spacing w:after="0" w:line="240" w:lineRule="auto"/>
              <w:rPr>
                <w:rFonts w:eastAsia="Times New Roman" w:cs="Times New Roman"/>
                <w:b/>
                <w:bCs/>
                <w:color w:val="000000"/>
              </w:rPr>
            </w:pPr>
          </w:p>
        </w:tc>
        <w:tc>
          <w:tcPr>
            <w:tcW w:w="2520" w:type="dxa"/>
            <w:shd w:val="clear" w:color="auto" w:fill="auto"/>
            <w:hideMark/>
          </w:tcPr>
          <w:p w:rsidR="0054380B" w:rsidRPr="00AF0C81" w:rsidRDefault="0054380B" w:rsidP="0054380B">
            <w:pPr>
              <w:spacing w:after="0" w:line="240" w:lineRule="auto"/>
              <w:rPr>
                <w:rFonts w:eastAsia="Times New Roman" w:cs="Times New Roman"/>
                <w:b/>
                <w:bCs/>
                <w:color w:val="000000"/>
              </w:rPr>
            </w:pPr>
            <w:r w:rsidRPr="00AF0C81">
              <w:rPr>
                <w:rFonts w:eastAsia="Times New Roman" w:cs="Times New Roman"/>
                <w:b/>
                <w:bCs/>
                <w:color w:val="000000"/>
              </w:rPr>
              <w:t>1C. Lead the National Conversation on Energy</w:t>
            </w:r>
          </w:p>
        </w:tc>
        <w:tc>
          <w:tcPr>
            <w:tcW w:w="3453" w:type="dxa"/>
            <w:shd w:val="clear" w:color="auto" w:fill="auto"/>
            <w:hideMark/>
          </w:tcPr>
          <w:p w:rsidR="0054380B" w:rsidRPr="00AF0C81" w:rsidRDefault="0054380B" w:rsidP="00EC33A8">
            <w:pPr>
              <w:spacing w:after="0" w:line="240" w:lineRule="auto"/>
              <w:rPr>
                <w:rFonts w:eastAsia="Times New Roman" w:cs="Times New Roman"/>
                <w:color w:val="000000"/>
              </w:rPr>
            </w:pPr>
            <w:r w:rsidRPr="00AF0C81">
              <w:rPr>
                <w:rFonts w:eastAsia="Times New Roman" w:cs="Times New Roman"/>
                <w:color w:val="000000"/>
              </w:rPr>
              <w:t>Federal Energy Management Program</w:t>
            </w:r>
          </w:p>
        </w:tc>
      </w:tr>
    </w:tbl>
    <w:p w:rsidR="00266DBF" w:rsidRPr="00AF0C81" w:rsidRDefault="00266DBF" w:rsidP="0054380B">
      <w:pPr>
        <w:spacing w:after="0" w:line="312" w:lineRule="atLeast"/>
      </w:pPr>
    </w:p>
    <w:p w:rsidR="00A00929" w:rsidRPr="00AF0C81" w:rsidRDefault="00A00929" w:rsidP="0054380B">
      <w:pPr>
        <w:pStyle w:val="Heading1"/>
        <w:spacing w:before="0"/>
        <w:rPr>
          <w:rStyle w:val="Hyperlink"/>
          <w:sz w:val="22"/>
          <w:szCs w:val="22"/>
        </w:rPr>
      </w:pPr>
      <w:bookmarkStart w:id="50" w:name="_Toc347929421"/>
    </w:p>
    <w:p w:rsidR="0054380B" w:rsidRPr="00125D76" w:rsidRDefault="001F732F" w:rsidP="0054380B">
      <w:pPr>
        <w:pStyle w:val="Heading1"/>
        <w:spacing w:before="0"/>
        <w:rPr>
          <w:rStyle w:val="Hyperlink"/>
          <w:color w:val="17365D" w:themeColor="text2" w:themeShade="BF"/>
          <w:sz w:val="22"/>
          <w:szCs w:val="22"/>
        </w:rPr>
      </w:pPr>
      <w:bookmarkStart w:id="51" w:name="_Toc352758975"/>
      <w:bookmarkStart w:id="52" w:name="_Toc357755927"/>
      <w:bookmarkStart w:id="53" w:name="_Toc357763458"/>
      <w:r>
        <w:rPr>
          <w:rStyle w:val="Hyperlink"/>
          <w:color w:val="17365D" w:themeColor="text2" w:themeShade="BF"/>
          <w:sz w:val="22"/>
          <w:szCs w:val="22"/>
        </w:rPr>
        <w:t>Fossil Energy</w:t>
      </w:r>
      <w:bookmarkEnd w:id="50"/>
      <w:bookmarkEnd w:id="51"/>
      <w:r>
        <w:rPr>
          <w:rStyle w:val="Hyperlink"/>
          <w:color w:val="17365D" w:themeColor="text2" w:themeShade="BF"/>
          <w:sz w:val="22"/>
          <w:szCs w:val="22"/>
        </w:rPr>
        <w:t xml:space="preserve"> (FE)</w:t>
      </w:r>
      <w:bookmarkEnd w:id="52"/>
      <w:bookmarkEnd w:id="53"/>
    </w:p>
    <w:p w:rsidR="003560BA" w:rsidRPr="00AF0C81" w:rsidRDefault="003560BA" w:rsidP="003560BA">
      <w:pPr>
        <w:spacing w:after="0" w:line="240" w:lineRule="auto"/>
      </w:pPr>
    </w:p>
    <w:tbl>
      <w:tblPr>
        <w:tblStyle w:val="LightShading1"/>
        <w:tblW w:w="0" w:type="auto"/>
        <w:tblInd w:w="468" w:type="dxa"/>
        <w:tblLook w:val="04A0"/>
      </w:tblPr>
      <w:tblGrid>
        <w:gridCol w:w="2724"/>
        <w:gridCol w:w="3192"/>
        <w:gridCol w:w="2724"/>
      </w:tblGrid>
      <w:tr w:rsidR="003560BA" w:rsidRPr="00AF0C81" w:rsidTr="003560BA">
        <w:trPr>
          <w:cnfStyle w:val="100000000000"/>
        </w:trPr>
        <w:tc>
          <w:tcPr>
            <w:cnfStyle w:val="001000000000"/>
            <w:tcW w:w="8640" w:type="dxa"/>
            <w:gridSpan w:val="3"/>
          </w:tcPr>
          <w:p w:rsidR="003560BA" w:rsidRPr="00AF0C81" w:rsidRDefault="003560BA" w:rsidP="003560BA">
            <w:pPr>
              <w:jc w:val="center"/>
            </w:pPr>
            <w:r w:rsidRPr="00AF0C81">
              <w:t>Total Budget Authority (in millions of dollars)</w:t>
            </w:r>
          </w:p>
        </w:tc>
      </w:tr>
      <w:tr w:rsidR="003560BA" w:rsidRPr="00AF0C81" w:rsidTr="003560BA">
        <w:trPr>
          <w:cnfStyle w:val="000000100000"/>
        </w:trPr>
        <w:tc>
          <w:tcPr>
            <w:cnfStyle w:val="001000000000"/>
            <w:tcW w:w="2724" w:type="dxa"/>
          </w:tcPr>
          <w:p w:rsidR="003560BA" w:rsidRPr="00AF0C81" w:rsidRDefault="003560BA" w:rsidP="003560BA">
            <w:pPr>
              <w:jc w:val="center"/>
            </w:pPr>
            <w:r w:rsidRPr="00AF0C81">
              <w:t>FY 2012 actual</w:t>
            </w:r>
          </w:p>
        </w:tc>
        <w:tc>
          <w:tcPr>
            <w:tcW w:w="3192" w:type="dxa"/>
          </w:tcPr>
          <w:p w:rsidR="003560BA" w:rsidRPr="00AF0C81" w:rsidRDefault="003560BA" w:rsidP="00E03254">
            <w:pPr>
              <w:jc w:val="center"/>
              <w:cnfStyle w:val="000000100000"/>
              <w:rPr>
                <w:b/>
              </w:rPr>
            </w:pPr>
            <w:r w:rsidRPr="00AF0C81">
              <w:rPr>
                <w:b/>
              </w:rPr>
              <w:t xml:space="preserve">FY 2013 </w:t>
            </w:r>
            <w:r w:rsidR="00E03254">
              <w:rPr>
                <w:b/>
              </w:rPr>
              <w:t>CR</w:t>
            </w:r>
          </w:p>
        </w:tc>
        <w:tc>
          <w:tcPr>
            <w:tcW w:w="2724" w:type="dxa"/>
          </w:tcPr>
          <w:p w:rsidR="003560BA" w:rsidRPr="00AF0C81" w:rsidRDefault="003560BA" w:rsidP="003560BA">
            <w:pPr>
              <w:jc w:val="center"/>
              <w:cnfStyle w:val="000000100000"/>
              <w:rPr>
                <w:b/>
              </w:rPr>
            </w:pPr>
            <w:r w:rsidRPr="00AF0C81">
              <w:rPr>
                <w:b/>
              </w:rPr>
              <w:t>FY 2014 est.</w:t>
            </w:r>
          </w:p>
        </w:tc>
      </w:tr>
      <w:tr w:rsidR="003560BA" w:rsidRPr="00AF0C81" w:rsidTr="003560BA">
        <w:tc>
          <w:tcPr>
            <w:cnfStyle w:val="001000000000"/>
            <w:tcW w:w="2724" w:type="dxa"/>
          </w:tcPr>
          <w:p w:rsidR="003560BA" w:rsidRPr="00AF0C81" w:rsidRDefault="00A87FB6" w:rsidP="003560BA">
            <w:pPr>
              <w:jc w:val="center"/>
            </w:pPr>
            <w:r>
              <w:rPr>
                <w:b w:val="0"/>
              </w:rPr>
              <w:t>554.8</w:t>
            </w:r>
          </w:p>
        </w:tc>
        <w:tc>
          <w:tcPr>
            <w:tcW w:w="3192" w:type="dxa"/>
          </w:tcPr>
          <w:p w:rsidR="003560BA" w:rsidRPr="00AF0C81" w:rsidRDefault="00A87FB6" w:rsidP="00A87FB6">
            <w:pPr>
              <w:jc w:val="center"/>
              <w:cnfStyle w:val="000000000000"/>
            </w:pPr>
            <w:r>
              <w:t>714.0</w:t>
            </w:r>
          </w:p>
        </w:tc>
        <w:tc>
          <w:tcPr>
            <w:tcW w:w="2724" w:type="dxa"/>
          </w:tcPr>
          <w:p w:rsidR="003560BA" w:rsidRPr="00AF0C81" w:rsidRDefault="00A87FB6" w:rsidP="00A87FB6">
            <w:pPr>
              <w:jc w:val="center"/>
              <w:cnfStyle w:val="000000000000"/>
            </w:pPr>
            <w:r>
              <w:t>638.0</w:t>
            </w:r>
          </w:p>
        </w:tc>
      </w:tr>
    </w:tbl>
    <w:p w:rsidR="00763992" w:rsidRPr="00AF0C81" w:rsidRDefault="00763992" w:rsidP="0054380B">
      <w:pPr>
        <w:spacing w:after="0"/>
        <w:rPr>
          <w:rFonts w:eastAsia="Times New Roman" w:cs="Times New Roman"/>
          <w:color w:val="2B2B2B"/>
        </w:rPr>
      </w:pPr>
    </w:p>
    <w:p w:rsidR="0054380B" w:rsidRPr="00AF0C81" w:rsidRDefault="0054380B" w:rsidP="0054380B">
      <w:pPr>
        <w:spacing w:after="0"/>
      </w:pPr>
      <w:r w:rsidRPr="00AF0C81">
        <w:rPr>
          <w:rFonts w:eastAsia="Times New Roman" w:cs="Times New Roman"/>
          <w:color w:val="2B2B2B"/>
        </w:rPr>
        <w:t xml:space="preserve">The mission of the </w:t>
      </w:r>
      <w:r w:rsidR="001F732F" w:rsidRPr="00A12CF2">
        <w:rPr>
          <w:rFonts w:cs="Arial"/>
          <w:color w:val="000000"/>
        </w:rPr>
        <w:t xml:space="preserve">Office of Fossil Energy (FE) </w:t>
      </w:r>
      <w:r w:rsidR="001F732F">
        <w:rPr>
          <w:rFonts w:cs="Arial"/>
          <w:color w:val="000000"/>
        </w:rPr>
        <w:t>is to advance</w:t>
      </w:r>
      <w:r w:rsidR="001F732F" w:rsidRPr="00E954CC">
        <w:rPr>
          <w:rFonts w:cs="Arial"/>
          <w:color w:val="000000"/>
        </w:rPr>
        <w:t xml:space="preserve"> technologies related to the reliable, efficient, affordable, and environmentally sound use of fossil fuels </w:t>
      </w:r>
      <w:r w:rsidR="001F732F">
        <w:rPr>
          <w:rFonts w:cs="Arial"/>
          <w:color w:val="000000"/>
        </w:rPr>
        <w:t>as well as manage the Petroleum Reserves to provide</w:t>
      </w:r>
      <w:r w:rsidR="001F732F" w:rsidRPr="00E954CC">
        <w:rPr>
          <w:rFonts w:cs="Arial"/>
          <w:color w:val="000000"/>
        </w:rPr>
        <w:t xml:space="preserve"> strategic and economic security against disruptions in U.S. oil supplies.</w:t>
      </w:r>
      <w:r w:rsidRPr="00AF0C81">
        <w:rPr>
          <w:rFonts w:eastAsia="Times New Roman" w:cs="Times New Roman"/>
          <w:color w:val="2B2B2B"/>
        </w:rPr>
        <w:t xml:space="preserve"> (FE website:  </w:t>
      </w:r>
      <w:hyperlink r:id="rId16" w:history="1">
        <w:r w:rsidRPr="00AF0C81">
          <w:rPr>
            <w:rStyle w:val="Hyperlink"/>
            <w:rFonts w:eastAsia="Times New Roman" w:cs="Times New Roman"/>
          </w:rPr>
          <w:t>http://www.fossil.energy.gov/</w:t>
        </w:r>
      </w:hyperlink>
      <w:r w:rsidRPr="00AF0C81">
        <w:t>)</w:t>
      </w:r>
      <w:bookmarkStart w:id="54" w:name="_Clean_Coal"/>
      <w:bookmarkStart w:id="55" w:name="_Strategic_Petroleum_Reserve"/>
      <w:bookmarkEnd w:id="54"/>
      <w:bookmarkEnd w:id="55"/>
    </w:p>
    <w:p w:rsidR="00A00929" w:rsidRPr="00AF0C81" w:rsidRDefault="00A00929" w:rsidP="00A00929">
      <w:pPr>
        <w:pStyle w:val="Heading2"/>
        <w:ind w:firstLine="720"/>
        <w:rPr>
          <w:rFonts w:asciiTheme="minorHAnsi" w:hAnsiTheme="minorHAnsi"/>
          <w:color w:val="17365D" w:themeColor="text2" w:themeShade="BF"/>
          <w:sz w:val="22"/>
          <w:szCs w:val="22"/>
        </w:rPr>
      </w:pPr>
      <w:bookmarkStart w:id="56" w:name="_Toc352758976"/>
      <w:bookmarkStart w:id="57" w:name="_Toc357755928"/>
      <w:bookmarkStart w:id="58" w:name="_Toc357763459"/>
      <w:r w:rsidRPr="00AF0C81">
        <w:rPr>
          <w:rFonts w:asciiTheme="minorHAnsi" w:hAnsiTheme="minorHAnsi"/>
          <w:color w:val="17365D" w:themeColor="text2" w:themeShade="BF"/>
          <w:sz w:val="22"/>
          <w:szCs w:val="22"/>
        </w:rPr>
        <w:t>Petroleum Reserves</w:t>
      </w:r>
      <w:bookmarkEnd w:id="56"/>
      <w:bookmarkEnd w:id="57"/>
      <w:bookmarkEnd w:id="58"/>
    </w:p>
    <w:p w:rsidR="00A00929" w:rsidRPr="00AF0C81" w:rsidRDefault="00A00929" w:rsidP="00A00929">
      <w:pPr>
        <w:spacing w:after="0"/>
      </w:pPr>
      <w:r w:rsidRPr="00AF0C81">
        <w:t>The Strategic Petroleum Reserve (SPR) protects the U.S. from future disruptions in critical petroleum supplies and meets the U.S. obligations under the International Energy Program (Energy Policy and Conservation Act, P.L. 94-163, as amended, Section 151). SPR also includes Defense Department crude oil, stored for national defense purposes.</w:t>
      </w:r>
    </w:p>
    <w:p w:rsidR="00A00929" w:rsidRPr="00AF0C81" w:rsidRDefault="001F732F" w:rsidP="00A00929">
      <w:pPr>
        <w:pStyle w:val="Heading2"/>
        <w:ind w:firstLine="720"/>
        <w:rPr>
          <w:rFonts w:asciiTheme="minorHAnsi" w:hAnsiTheme="minorHAnsi"/>
          <w:color w:val="17365D" w:themeColor="text2" w:themeShade="BF"/>
          <w:sz w:val="22"/>
          <w:szCs w:val="22"/>
        </w:rPr>
      </w:pPr>
      <w:bookmarkStart w:id="59" w:name="_Toc357755929"/>
      <w:bookmarkStart w:id="60" w:name="_Toc357763460"/>
      <w:r>
        <w:rPr>
          <w:rFonts w:asciiTheme="minorHAnsi" w:hAnsiTheme="minorHAnsi"/>
          <w:color w:val="17365D" w:themeColor="text2" w:themeShade="BF"/>
          <w:sz w:val="22"/>
          <w:szCs w:val="22"/>
        </w:rPr>
        <w:t>Fossil Energy R&amp;D</w:t>
      </w:r>
      <w:bookmarkEnd w:id="59"/>
      <w:bookmarkEnd w:id="60"/>
    </w:p>
    <w:p w:rsidR="00A00929" w:rsidRPr="00AF0C81" w:rsidRDefault="00A00929" w:rsidP="00A00929">
      <w:pPr>
        <w:spacing w:after="0"/>
      </w:pPr>
      <w:r w:rsidRPr="00AF0C81">
        <w:t xml:space="preserve">The </w:t>
      </w:r>
      <w:r w:rsidR="001F732F">
        <w:t>Fossil Energy R&amp;D</w:t>
      </w:r>
      <w:r w:rsidR="001F732F" w:rsidRPr="00AF0C81">
        <w:t xml:space="preserve"> </w:t>
      </w:r>
      <w:r w:rsidRPr="00AF0C81">
        <w:t>Program will ensure the availability of near-zero atmospheric emissions, abundant, affordable, domestic energy to fuel economic prosperity, strengthen energy security, and enhance environmental quality.</w:t>
      </w:r>
    </w:p>
    <w:p w:rsidR="00A00929" w:rsidRPr="00AF0C81" w:rsidRDefault="00A00929" w:rsidP="0054380B">
      <w:pPr>
        <w:spacing w:after="0"/>
        <w:rPr>
          <w:rFonts w:eastAsia="Times New Roman" w:cs="Times New Roman"/>
          <w:color w:val="2B2B2B"/>
        </w:rPr>
      </w:pPr>
    </w:p>
    <w:tbl>
      <w:tblPr>
        <w:tblW w:w="86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7"/>
        <w:gridCol w:w="2520"/>
        <w:gridCol w:w="3453"/>
      </w:tblGrid>
      <w:tr w:rsidR="00321EAB" w:rsidRPr="00AF0C81" w:rsidTr="00577A74">
        <w:trPr>
          <w:trHeight w:val="300"/>
        </w:trPr>
        <w:tc>
          <w:tcPr>
            <w:tcW w:w="2667" w:type="dxa"/>
            <w:shd w:val="clear" w:color="DBE5F1" w:fill="DBE5F1"/>
            <w:vAlign w:val="bottom"/>
            <w:hideMark/>
          </w:tcPr>
          <w:p w:rsidR="00321EAB" w:rsidRPr="00AF0C81" w:rsidRDefault="00321EAB" w:rsidP="00321EAB">
            <w:pPr>
              <w:spacing w:after="0" w:line="240" w:lineRule="auto"/>
              <w:rPr>
                <w:rFonts w:eastAsia="Times New Roman" w:cs="Times New Roman"/>
                <w:b/>
                <w:bCs/>
                <w:color w:val="000000"/>
              </w:rPr>
            </w:pPr>
            <w:r w:rsidRPr="00AF0C81">
              <w:rPr>
                <w:rFonts w:eastAsia="Times New Roman" w:cs="Times New Roman"/>
                <w:b/>
                <w:bCs/>
                <w:color w:val="000000"/>
              </w:rPr>
              <w:t>Strategic Goal</w:t>
            </w:r>
          </w:p>
        </w:tc>
        <w:tc>
          <w:tcPr>
            <w:tcW w:w="2520" w:type="dxa"/>
            <w:shd w:val="clear" w:color="DBE5F1" w:fill="DBE5F1"/>
            <w:vAlign w:val="bottom"/>
            <w:hideMark/>
          </w:tcPr>
          <w:p w:rsidR="00321EAB" w:rsidRPr="00AF0C81" w:rsidRDefault="00321EAB" w:rsidP="00321EAB">
            <w:pPr>
              <w:spacing w:after="0" w:line="240" w:lineRule="auto"/>
              <w:rPr>
                <w:rFonts w:eastAsia="Times New Roman" w:cs="Times New Roman"/>
                <w:b/>
                <w:bCs/>
                <w:color w:val="000000"/>
              </w:rPr>
            </w:pPr>
            <w:r w:rsidRPr="00AF0C81">
              <w:rPr>
                <w:rFonts w:eastAsia="Times New Roman" w:cs="Times New Roman"/>
                <w:b/>
                <w:bCs/>
                <w:color w:val="000000"/>
              </w:rPr>
              <w:t>Strategic Objective</w:t>
            </w:r>
          </w:p>
        </w:tc>
        <w:tc>
          <w:tcPr>
            <w:tcW w:w="3453" w:type="dxa"/>
            <w:shd w:val="clear" w:color="DBE5F1" w:fill="DBE5F1"/>
            <w:vAlign w:val="bottom"/>
            <w:hideMark/>
          </w:tcPr>
          <w:p w:rsidR="00321EAB" w:rsidRPr="00AF0C81" w:rsidRDefault="00D60611" w:rsidP="00321EAB">
            <w:pPr>
              <w:spacing w:after="0" w:line="240" w:lineRule="auto"/>
              <w:rPr>
                <w:rFonts w:eastAsia="Times New Roman" w:cs="Times New Roman"/>
                <w:b/>
                <w:bCs/>
                <w:color w:val="000000"/>
              </w:rPr>
            </w:pPr>
            <w:r w:rsidRPr="00AF0C81">
              <w:rPr>
                <w:rFonts w:eastAsia="Times New Roman" w:cs="Times New Roman"/>
                <w:b/>
                <w:bCs/>
                <w:color w:val="000000"/>
              </w:rPr>
              <w:t>Programs</w:t>
            </w:r>
          </w:p>
        </w:tc>
      </w:tr>
      <w:tr w:rsidR="00321EAB" w:rsidRPr="00AF0C81" w:rsidTr="00577A74">
        <w:trPr>
          <w:trHeight w:val="300"/>
        </w:trPr>
        <w:tc>
          <w:tcPr>
            <w:tcW w:w="2667" w:type="dxa"/>
            <w:vMerge w:val="restart"/>
            <w:shd w:val="clear" w:color="auto" w:fill="auto"/>
            <w:hideMark/>
          </w:tcPr>
          <w:p w:rsidR="00321EAB" w:rsidRPr="00AF0C81" w:rsidRDefault="00321EAB" w:rsidP="00321EAB">
            <w:pPr>
              <w:spacing w:after="0" w:line="240" w:lineRule="auto"/>
              <w:rPr>
                <w:rFonts w:eastAsia="Times New Roman" w:cs="Times New Roman"/>
                <w:b/>
                <w:bCs/>
                <w:color w:val="000000"/>
              </w:rPr>
            </w:pPr>
            <w:r w:rsidRPr="00AF0C81">
              <w:rPr>
                <w:rFonts w:eastAsia="Times New Roman" w:cs="Times New Roman"/>
                <w:b/>
                <w:bCs/>
                <w:color w:val="000000"/>
              </w:rPr>
              <w:t xml:space="preserve">1. Transform Our Energy Systems:  </w:t>
            </w:r>
            <w:r w:rsidRPr="00AF0C81">
              <w:rPr>
                <w:rFonts w:eastAsia="Times New Roman" w:cs="Times New Roman"/>
                <w:color w:val="000000"/>
              </w:rPr>
              <w:t>Catalyze the timely, material, and efficient transformation of the Nation’s energy system and secure U.S. leadership in clean energy technologies</w:t>
            </w:r>
          </w:p>
        </w:tc>
        <w:tc>
          <w:tcPr>
            <w:tcW w:w="2520" w:type="dxa"/>
            <w:shd w:val="clear" w:color="auto" w:fill="auto"/>
          </w:tcPr>
          <w:p w:rsidR="00321EAB" w:rsidRPr="00E03254" w:rsidRDefault="00321EAB" w:rsidP="00321EAB">
            <w:pPr>
              <w:spacing w:after="0" w:line="240" w:lineRule="auto"/>
              <w:rPr>
                <w:rFonts w:eastAsia="Times New Roman" w:cs="Times New Roman"/>
                <w:b/>
                <w:bCs/>
                <w:color w:val="000000"/>
              </w:rPr>
            </w:pPr>
            <w:r w:rsidRPr="00E03254">
              <w:rPr>
                <w:rFonts w:eastAsia="Times New Roman" w:cs="Times New Roman"/>
                <w:b/>
                <w:bCs/>
                <w:color w:val="000000"/>
              </w:rPr>
              <w:t>1A. Deploy the Technologies We Have</w:t>
            </w:r>
          </w:p>
        </w:tc>
        <w:tc>
          <w:tcPr>
            <w:tcW w:w="3453" w:type="dxa"/>
            <w:shd w:val="clear" w:color="auto" w:fill="auto"/>
          </w:tcPr>
          <w:p w:rsidR="00321EAB" w:rsidRPr="00E03254" w:rsidRDefault="00321EAB" w:rsidP="00EC33A8">
            <w:pPr>
              <w:spacing w:after="0" w:line="240" w:lineRule="auto"/>
              <w:rPr>
                <w:rFonts w:eastAsia="Times New Roman" w:cs="Times New Roman"/>
                <w:color w:val="000000"/>
              </w:rPr>
            </w:pPr>
            <w:r w:rsidRPr="00E03254">
              <w:rPr>
                <w:rFonts w:eastAsia="Times New Roman" w:cs="Times New Roman"/>
                <w:color w:val="000000"/>
              </w:rPr>
              <w:t>Petroleum Reserves</w:t>
            </w:r>
          </w:p>
        </w:tc>
      </w:tr>
      <w:tr w:rsidR="00321EAB" w:rsidRPr="00AF0C81" w:rsidTr="00577A74">
        <w:trPr>
          <w:trHeight w:val="300"/>
        </w:trPr>
        <w:tc>
          <w:tcPr>
            <w:tcW w:w="2667" w:type="dxa"/>
            <w:vMerge/>
            <w:vAlign w:val="center"/>
            <w:hideMark/>
          </w:tcPr>
          <w:p w:rsidR="00321EAB" w:rsidRPr="00AF0C81" w:rsidRDefault="00321EAB" w:rsidP="00321EAB">
            <w:pPr>
              <w:spacing w:after="0" w:line="240" w:lineRule="auto"/>
              <w:rPr>
                <w:rFonts w:eastAsia="Times New Roman" w:cs="Times New Roman"/>
                <w:b/>
                <w:bCs/>
                <w:color w:val="000000"/>
              </w:rPr>
            </w:pPr>
          </w:p>
        </w:tc>
        <w:tc>
          <w:tcPr>
            <w:tcW w:w="2520" w:type="dxa"/>
            <w:shd w:val="clear" w:color="auto" w:fill="auto"/>
            <w:hideMark/>
          </w:tcPr>
          <w:p w:rsidR="00321EAB" w:rsidRPr="00AF0C81" w:rsidRDefault="00321EAB" w:rsidP="00321EAB">
            <w:pPr>
              <w:spacing w:after="0" w:line="240" w:lineRule="auto"/>
              <w:rPr>
                <w:rFonts w:eastAsia="Times New Roman" w:cs="Times New Roman"/>
                <w:b/>
                <w:bCs/>
                <w:color w:val="000000"/>
              </w:rPr>
            </w:pPr>
            <w:r w:rsidRPr="00AF0C81">
              <w:rPr>
                <w:rFonts w:eastAsia="Times New Roman" w:cs="Times New Roman"/>
                <w:b/>
                <w:bCs/>
                <w:color w:val="000000"/>
              </w:rPr>
              <w:t>1B. Discover the New Solutions We Need</w:t>
            </w:r>
          </w:p>
        </w:tc>
        <w:tc>
          <w:tcPr>
            <w:tcW w:w="3453" w:type="dxa"/>
            <w:shd w:val="clear" w:color="auto" w:fill="auto"/>
            <w:hideMark/>
          </w:tcPr>
          <w:p w:rsidR="00321EAB" w:rsidRPr="00AF0C81" w:rsidRDefault="001F732F" w:rsidP="00413EB0">
            <w:pPr>
              <w:spacing w:after="0" w:line="240" w:lineRule="auto"/>
              <w:rPr>
                <w:rFonts w:eastAsia="Times New Roman" w:cs="Times New Roman"/>
                <w:color w:val="000000"/>
              </w:rPr>
            </w:pPr>
            <w:r>
              <w:rPr>
                <w:rFonts w:eastAsia="Times New Roman" w:cs="Times New Roman"/>
                <w:color w:val="000000"/>
              </w:rPr>
              <w:t>Fossil Energy R&amp;D</w:t>
            </w:r>
          </w:p>
        </w:tc>
      </w:tr>
    </w:tbl>
    <w:p w:rsidR="00266DBF" w:rsidRPr="00AF0C81" w:rsidRDefault="00266DBF" w:rsidP="0054380B">
      <w:pPr>
        <w:spacing w:after="0"/>
        <w:rPr>
          <w:rFonts w:eastAsia="Times New Roman" w:cs="Times New Roman"/>
          <w:color w:val="2B2B2B"/>
        </w:rPr>
      </w:pPr>
    </w:p>
    <w:p w:rsidR="00A00929" w:rsidRPr="00AF0C81" w:rsidRDefault="00A00929" w:rsidP="0054380B">
      <w:pPr>
        <w:pStyle w:val="Heading1"/>
        <w:spacing w:before="0"/>
        <w:rPr>
          <w:rStyle w:val="Hyperlink"/>
          <w:sz w:val="22"/>
          <w:szCs w:val="22"/>
        </w:rPr>
      </w:pPr>
      <w:bookmarkStart w:id="61" w:name="_Toc347929422"/>
    </w:p>
    <w:p w:rsidR="0054380B" w:rsidRPr="00AF0C81" w:rsidRDefault="0054380B" w:rsidP="0054380B">
      <w:pPr>
        <w:pStyle w:val="Heading1"/>
        <w:spacing w:before="0"/>
        <w:rPr>
          <w:rStyle w:val="Hyperlink"/>
          <w:color w:val="17365D" w:themeColor="text2" w:themeShade="BF"/>
          <w:sz w:val="22"/>
          <w:szCs w:val="22"/>
        </w:rPr>
      </w:pPr>
      <w:bookmarkStart w:id="62" w:name="_Toc352758978"/>
      <w:bookmarkStart w:id="63" w:name="_Toc357755930"/>
      <w:bookmarkStart w:id="64" w:name="_Toc357763461"/>
      <w:r w:rsidRPr="00AF0C81">
        <w:rPr>
          <w:rStyle w:val="Hyperlink"/>
          <w:color w:val="17365D" w:themeColor="text2" w:themeShade="BF"/>
          <w:sz w:val="22"/>
          <w:szCs w:val="22"/>
        </w:rPr>
        <w:t>Nuclear Energy (NE)</w:t>
      </w:r>
      <w:bookmarkEnd w:id="61"/>
      <w:bookmarkEnd w:id="62"/>
      <w:bookmarkEnd w:id="63"/>
      <w:bookmarkEnd w:id="64"/>
    </w:p>
    <w:p w:rsidR="003560BA" w:rsidRPr="00AF0C81" w:rsidRDefault="003560BA" w:rsidP="003560BA">
      <w:pPr>
        <w:spacing w:after="0" w:line="240" w:lineRule="auto"/>
      </w:pPr>
    </w:p>
    <w:tbl>
      <w:tblPr>
        <w:tblStyle w:val="LightShading1"/>
        <w:tblW w:w="0" w:type="auto"/>
        <w:tblInd w:w="468" w:type="dxa"/>
        <w:tblLook w:val="04A0"/>
      </w:tblPr>
      <w:tblGrid>
        <w:gridCol w:w="2724"/>
        <w:gridCol w:w="3192"/>
        <w:gridCol w:w="2724"/>
      </w:tblGrid>
      <w:tr w:rsidR="003560BA" w:rsidRPr="00AF0C81" w:rsidTr="003560BA">
        <w:trPr>
          <w:cnfStyle w:val="100000000000"/>
        </w:trPr>
        <w:tc>
          <w:tcPr>
            <w:cnfStyle w:val="001000000000"/>
            <w:tcW w:w="8640" w:type="dxa"/>
            <w:gridSpan w:val="3"/>
          </w:tcPr>
          <w:p w:rsidR="003560BA" w:rsidRPr="00AF0C81" w:rsidRDefault="003560BA" w:rsidP="003560BA">
            <w:pPr>
              <w:jc w:val="center"/>
            </w:pPr>
            <w:r w:rsidRPr="00AF0C81">
              <w:t>Total Budget Authority (in millions of dollars)</w:t>
            </w:r>
            <w:r w:rsidR="00EA3E44">
              <w:t>*</w:t>
            </w:r>
          </w:p>
        </w:tc>
      </w:tr>
      <w:tr w:rsidR="003560BA" w:rsidRPr="00AF0C81" w:rsidTr="003560BA">
        <w:trPr>
          <w:cnfStyle w:val="000000100000"/>
        </w:trPr>
        <w:tc>
          <w:tcPr>
            <w:cnfStyle w:val="001000000000"/>
            <w:tcW w:w="2724" w:type="dxa"/>
          </w:tcPr>
          <w:p w:rsidR="003560BA" w:rsidRPr="00AF0C81" w:rsidRDefault="003560BA" w:rsidP="003560BA">
            <w:pPr>
              <w:jc w:val="center"/>
            </w:pPr>
            <w:r w:rsidRPr="00AF0C81">
              <w:t>FY 2012 actual</w:t>
            </w:r>
          </w:p>
        </w:tc>
        <w:tc>
          <w:tcPr>
            <w:tcW w:w="3192" w:type="dxa"/>
          </w:tcPr>
          <w:p w:rsidR="003560BA" w:rsidRPr="00AF0C81" w:rsidRDefault="003560BA" w:rsidP="00E03254">
            <w:pPr>
              <w:jc w:val="center"/>
              <w:cnfStyle w:val="000000100000"/>
              <w:rPr>
                <w:b/>
              </w:rPr>
            </w:pPr>
            <w:r w:rsidRPr="00AF0C81">
              <w:rPr>
                <w:b/>
              </w:rPr>
              <w:t xml:space="preserve">FY 2013 </w:t>
            </w:r>
            <w:r w:rsidR="00E03254">
              <w:rPr>
                <w:b/>
              </w:rPr>
              <w:t>CR</w:t>
            </w:r>
          </w:p>
        </w:tc>
        <w:tc>
          <w:tcPr>
            <w:tcW w:w="2724" w:type="dxa"/>
          </w:tcPr>
          <w:p w:rsidR="003560BA" w:rsidRPr="00AF0C81" w:rsidRDefault="003560BA" w:rsidP="003560BA">
            <w:pPr>
              <w:jc w:val="center"/>
              <w:cnfStyle w:val="000000100000"/>
              <w:rPr>
                <w:b/>
              </w:rPr>
            </w:pPr>
            <w:r w:rsidRPr="00AF0C81">
              <w:rPr>
                <w:b/>
              </w:rPr>
              <w:t>FY 2014 est.</w:t>
            </w:r>
          </w:p>
        </w:tc>
      </w:tr>
      <w:tr w:rsidR="003560BA" w:rsidRPr="00AF0C81" w:rsidTr="003560BA">
        <w:tc>
          <w:tcPr>
            <w:cnfStyle w:val="001000000000"/>
            <w:tcW w:w="2724" w:type="dxa"/>
          </w:tcPr>
          <w:p w:rsidR="003560BA" w:rsidRPr="00AF0C81" w:rsidRDefault="00D247D6" w:rsidP="003560BA">
            <w:pPr>
              <w:jc w:val="center"/>
            </w:pPr>
            <w:r>
              <w:rPr>
                <w:b w:val="0"/>
              </w:rPr>
              <w:t>760.5</w:t>
            </w:r>
          </w:p>
        </w:tc>
        <w:tc>
          <w:tcPr>
            <w:tcW w:w="3192" w:type="dxa"/>
          </w:tcPr>
          <w:p w:rsidR="003560BA" w:rsidRPr="00AF0C81" w:rsidRDefault="00D247D6" w:rsidP="003560BA">
            <w:pPr>
              <w:jc w:val="center"/>
              <w:cnfStyle w:val="000000000000"/>
            </w:pPr>
            <w:r>
              <w:t>770.1</w:t>
            </w:r>
          </w:p>
        </w:tc>
        <w:tc>
          <w:tcPr>
            <w:tcW w:w="2724" w:type="dxa"/>
          </w:tcPr>
          <w:p w:rsidR="003560BA" w:rsidRPr="00AF0C81" w:rsidRDefault="00D247D6" w:rsidP="00EC33A8">
            <w:pPr>
              <w:jc w:val="center"/>
              <w:cnfStyle w:val="000000000000"/>
            </w:pPr>
            <w:r>
              <w:t>735.5</w:t>
            </w:r>
          </w:p>
        </w:tc>
      </w:tr>
    </w:tbl>
    <w:p w:rsidR="00763992" w:rsidRPr="00EA3E44" w:rsidRDefault="00EA3E44" w:rsidP="00EA3E44">
      <w:pPr>
        <w:pStyle w:val="NormalWeb"/>
        <w:spacing w:before="0" w:beforeAutospacing="0" w:after="0" w:afterAutospacing="0" w:line="276" w:lineRule="auto"/>
        <w:rPr>
          <w:rFonts w:asciiTheme="minorHAnsi" w:eastAsia="Calibri" w:hAnsiTheme="minorHAnsi"/>
          <w:sz w:val="18"/>
          <w:szCs w:val="18"/>
        </w:rPr>
      </w:pPr>
      <w:r>
        <w:rPr>
          <w:rFonts w:asciiTheme="minorHAnsi" w:eastAsia="Calibri" w:hAnsiTheme="minorHAnsi"/>
          <w:sz w:val="18"/>
          <w:szCs w:val="18"/>
        </w:rPr>
        <w:t xml:space="preserve">         </w:t>
      </w:r>
      <w:r w:rsidRPr="00EA3E44">
        <w:rPr>
          <w:rFonts w:asciiTheme="minorHAnsi" w:eastAsia="Calibri" w:hAnsiTheme="minorHAnsi"/>
          <w:sz w:val="18"/>
          <w:szCs w:val="18"/>
        </w:rPr>
        <w:t>*These funding levels are not fully comparable year-to-year due to budget structure changes.</w:t>
      </w:r>
    </w:p>
    <w:p w:rsidR="00EA3E44" w:rsidRDefault="00EA3E44" w:rsidP="0054380B">
      <w:pPr>
        <w:pStyle w:val="NormalWeb"/>
        <w:spacing w:before="0" w:beforeAutospacing="0" w:after="0" w:afterAutospacing="0" w:line="276" w:lineRule="auto"/>
        <w:rPr>
          <w:rFonts w:asciiTheme="minorHAnsi" w:eastAsia="Calibri" w:hAnsiTheme="minorHAnsi"/>
          <w:sz w:val="22"/>
          <w:szCs w:val="22"/>
        </w:rPr>
      </w:pPr>
    </w:p>
    <w:p w:rsidR="0054380B" w:rsidRPr="00FA7A56" w:rsidRDefault="00125D76" w:rsidP="0054380B">
      <w:pPr>
        <w:pStyle w:val="NormalWeb"/>
        <w:spacing w:before="0" w:beforeAutospacing="0" w:after="0" w:afterAutospacing="0" w:line="276" w:lineRule="auto"/>
        <w:rPr>
          <w:rFonts w:asciiTheme="minorHAnsi" w:hAnsiTheme="minorHAnsi"/>
          <w:sz w:val="22"/>
          <w:szCs w:val="22"/>
        </w:rPr>
      </w:pPr>
      <w:r w:rsidRPr="00FA7A56">
        <w:rPr>
          <w:rFonts w:asciiTheme="minorHAnsi" w:eastAsia="Calibri" w:hAnsiTheme="minorHAnsi"/>
          <w:sz w:val="22"/>
          <w:szCs w:val="22"/>
        </w:rPr>
        <w:t>NE</w:t>
      </w:r>
      <w:r w:rsidR="0054380B" w:rsidRPr="00FA7A56">
        <w:rPr>
          <w:rFonts w:asciiTheme="minorHAnsi" w:eastAsia="Calibri" w:hAnsiTheme="minorHAnsi"/>
          <w:sz w:val="22"/>
          <w:szCs w:val="22"/>
        </w:rPr>
        <w:t xml:space="preserve"> </w:t>
      </w:r>
      <w:r w:rsidR="004455EC" w:rsidRPr="00FA7A56">
        <w:rPr>
          <w:rFonts w:asciiTheme="minorHAnsi" w:eastAsia="Calibri" w:hAnsiTheme="minorHAnsi"/>
          <w:sz w:val="22"/>
          <w:szCs w:val="22"/>
        </w:rPr>
        <w:t xml:space="preserve">advances </w:t>
      </w:r>
      <w:r w:rsidR="0054380B" w:rsidRPr="00FA7A56">
        <w:rPr>
          <w:rFonts w:asciiTheme="minorHAnsi" w:eastAsia="Calibri" w:hAnsiTheme="minorHAnsi"/>
          <w:sz w:val="22"/>
          <w:szCs w:val="22"/>
        </w:rPr>
        <w:t>nuclear power as a resource capable of meeting the nation's energy, environmental and national security needs by resolving technical barriers through research, development, and demonstration</w:t>
      </w:r>
      <w:r w:rsidR="004455EC" w:rsidRPr="00FA7A56">
        <w:rPr>
          <w:rFonts w:asciiTheme="minorHAnsi" w:eastAsia="Calibri" w:hAnsiTheme="minorHAnsi"/>
          <w:sz w:val="22"/>
          <w:szCs w:val="22"/>
        </w:rPr>
        <w:t xml:space="preserve"> (if deemed appropriate)</w:t>
      </w:r>
      <w:r w:rsidR="0054380B" w:rsidRPr="00FA7A56">
        <w:rPr>
          <w:rFonts w:asciiTheme="minorHAnsi" w:eastAsia="Calibri" w:hAnsiTheme="minorHAnsi"/>
          <w:sz w:val="22"/>
          <w:szCs w:val="22"/>
        </w:rPr>
        <w:t>. The following statement applies to the validation and verification of all NE milestone-based measures:  annual measures and quarterly milestones are compiled by NE program</w:t>
      </w:r>
      <w:r w:rsidRPr="00FA7A56">
        <w:rPr>
          <w:rFonts w:asciiTheme="minorHAnsi" w:eastAsia="Calibri" w:hAnsiTheme="minorHAnsi"/>
          <w:sz w:val="22"/>
          <w:szCs w:val="22"/>
        </w:rPr>
        <w:t>s</w:t>
      </w:r>
      <w:r w:rsidR="0054380B" w:rsidRPr="00FA7A56">
        <w:rPr>
          <w:rFonts w:asciiTheme="minorHAnsi" w:eastAsia="Calibri" w:hAnsiTheme="minorHAnsi"/>
          <w:sz w:val="22"/>
          <w:szCs w:val="22"/>
        </w:rPr>
        <w:t>, approved by Office Directors, and then approved by Deputy Assistant Secretaries; this occurs every October for the new fiscal year’s set of measures.  (NE website:</w:t>
      </w:r>
      <w:r w:rsidR="0054380B" w:rsidRPr="00FA7A56">
        <w:rPr>
          <w:rFonts w:asciiTheme="minorHAnsi" w:hAnsiTheme="minorHAnsi"/>
          <w:sz w:val="22"/>
          <w:szCs w:val="22"/>
        </w:rPr>
        <w:t xml:space="preserve"> </w:t>
      </w:r>
      <w:hyperlink r:id="rId17" w:history="1">
        <w:r w:rsidR="0054380B" w:rsidRPr="00FA7A56">
          <w:rPr>
            <w:rStyle w:val="Hyperlink"/>
            <w:rFonts w:eastAsia="Calibri"/>
            <w:sz w:val="22"/>
            <w:szCs w:val="22"/>
          </w:rPr>
          <w:t>http://www.ne.doe.gov/</w:t>
        </w:r>
      </w:hyperlink>
      <w:r w:rsidR="0054380B" w:rsidRPr="00FA7A56">
        <w:rPr>
          <w:rFonts w:asciiTheme="minorHAnsi" w:hAnsiTheme="minorHAnsi"/>
          <w:sz w:val="22"/>
          <w:szCs w:val="22"/>
        </w:rPr>
        <w:t>)</w:t>
      </w:r>
    </w:p>
    <w:p w:rsidR="00F31657" w:rsidRPr="00FA7A56" w:rsidRDefault="00F31657" w:rsidP="00F31657">
      <w:pPr>
        <w:pStyle w:val="NormalWeb"/>
        <w:spacing w:before="0" w:beforeAutospacing="0" w:after="0" w:afterAutospacing="0" w:line="276" w:lineRule="auto"/>
        <w:rPr>
          <w:rFonts w:asciiTheme="minorHAnsi" w:hAnsiTheme="minorHAnsi"/>
          <w:sz w:val="22"/>
          <w:szCs w:val="22"/>
        </w:rPr>
      </w:pPr>
    </w:p>
    <w:tbl>
      <w:tblPr>
        <w:tblW w:w="86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7"/>
        <w:gridCol w:w="2520"/>
        <w:gridCol w:w="3453"/>
      </w:tblGrid>
      <w:tr w:rsidR="005161D1" w:rsidRPr="00FA7A56" w:rsidTr="00577A74">
        <w:trPr>
          <w:trHeight w:val="300"/>
        </w:trPr>
        <w:tc>
          <w:tcPr>
            <w:tcW w:w="2667" w:type="dxa"/>
            <w:shd w:val="clear" w:color="DBE5F1" w:fill="DBE5F1"/>
            <w:vAlign w:val="bottom"/>
            <w:hideMark/>
          </w:tcPr>
          <w:p w:rsidR="005161D1" w:rsidRPr="00FA7A56" w:rsidRDefault="005161D1" w:rsidP="005161D1">
            <w:pPr>
              <w:spacing w:after="0" w:line="240" w:lineRule="auto"/>
              <w:rPr>
                <w:rFonts w:eastAsia="Times New Roman" w:cs="Times New Roman"/>
                <w:b/>
                <w:bCs/>
                <w:color w:val="000000"/>
              </w:rPr>
            </w:pPr>
            <w:r w:rsidRPr="00FA7A56">
              <w:rPr>
                <w:rFonts w:eastAsia="Times New Roman" w:cs="Times New Roman"/>
                <w:b/>
                <w:bCs/>
                <w:color w:val="000000"/>
              </w:rPr>
              <w:t>Strategic Goal</w:t>
            </w:r>
          </w:p>
        </w:tc>
        <w:tc>
          <w:tcPr>
            <w:tcW w:w="2520" w:type="dxa"/>
            <w:shd w:val="clear" w:color="DBE5F1" w:fill="DBE5F1"/>
            <w:vAlign w:val="bottom"/>
            <w:hideMark/>
          </w:tcPr>
          <w:p w:rsidR="005161D1" w:rsidRPr="00FA7A56" w:rsidRDefault="005161D1" w:rsidP="005161D1">
            <w:pPr>
              <w:spacing w:after="0" w:line="240" w:lineRule="auto"/>
              <w:rPr>
                <w:rFonts w:eastAsia="Times New Roman" w:cs="Times New Roman"/>
                <w:b/>
                <w:bCs/>
                <w:color w:val="000000"/>
              </w:rPr>
            </w:pPr>
            <w:r w:rsidRPr="00FA7A56">
              <w:rPr>
                <w:rFonts w:eastAsia="Times New Roman" w:cs="Times New Roman"/>
                <w:b/>
                <w:bCs/>
                <w:color w:val="000000"/>
              </w:rPr>
              <w:t>Strategic Objective</w:t>
            </w:r>
          </w:p>
        </w:tc>
        <w:tc>
          <w:tcPr>
            <w:tcW w:w="3453" w:type="dxa"/>
            <w:shd w:val="clear" w:color="DBE5F1" w:fill="DBE5F1"/>
            <w:vAlign w:val="bottom"/>
            <w:hideMark/>
          </w:tcPr>
          <w:p w:rsidR="005161D1" w:rsidRPr="00FA7A56" w:rsidRDefault="00D60611" w:rsidP="005161D1">
            <w:pPr>
              <w:spacing w:after="0" w:line="240" w:lineRule="auto"/>
              <w:rPr>
                <w:rFonts w:eastAsia="Times New Roman" w:cs="Times New Roman"/>
                <w:b/>
                <w:bCs/>
                <w:color w:val="000000"/>
              </w:rPr>
            </w:pPr>
            <w:r w:rsidRPr="00FA7A56">
              <w:rPr>
                <w:rFonts w:eastAsia="Times New Roman" w:cs="Times New Roman"/>
                <w:b/>
                <w:bCs/>
                <w:color w:val="000000"/>
              </w:rPr>
              <w:t>Programs</w:t>
            </w:r>
          </w:p>
        </w:tc>
      </w:tr>
      <w:tr w:rsidR="00C30AFC" w:rsidRPr="00FA7A56" w:rsidTr="00577A74">
        <w:trPr>
          <w:trHeight w:val="1880"/>
        </w:trPr>
        <w:tc>
          <w:tcPr>
            <w:tcW w:w="2667" w:type="dxa"/>
            <w:shd w:val="clear" w:color="auto" w:fill="auto"/>
            <w:hideMark/>
          </w:tcPr>
          <w:p w:rsidR="00C30AFC" w:rsidRPr="00FA7A56" w:rsidRDefault="00C30AFC" w:rsidP="005161D1">
            <w:pPr>
              <w:spacing w:after="0" w:line="240" w:lineRule="auto"/>
              <w:rPr>
                <w:rFonts w:eastAsia="Times New Roman" w:cs="Times New Roman"/>
                <w:b/>
                <w:bCs/>
                <w:color w:val="000000"/>
              </w:rPr>
            </w:pPr>
            <w:r w:rsidRPr="00FA7A56">
              <w:rPr>
                <w:rFonts w:eastAsia="Times New Roman" w:cs="Times New Roman"/>
                <w:b/>
                <w:bCs/>
                <w:color w:val="000000"/>
              </w:rPr>
              <w:t xml:space="preserve">1. Transform Our Energy Systems:  </w:t>
            </w:r>
            <w:r w:rsidRPr="00FA7A56">
              <w:rPr>
                <w:rFonts w:eastAsia="Times New Roman" w:cs="Times New Roman"/>
                <w:color w:val="000000"/>
              </w:rPr>
              <w:t>Catalyze the timely, material, and efficient transformation of the Nation’s energy system and secure U.S. leadership in clean energy technologies</w:t>
            </w:r>
          </w:p>
        </w:tc>
        <w:tc>
          <w:tcPr>
            <w:tcW w:w="2520" w:type="dxa"/>
            <w:shd w:val="clear" w:color="auto" w:fill="auto"/>
            <w:hideMark/>
          </w:tcPr>
          <w:p w:rsidR="00C30AFC" w:rsidRPr="00FA7A56" w:rsidRDefault="00C30AFC" w:rsidP="005161D1">
            <w:pPr>
              <w:spacing w:after="0" w:line="240" w:lineRule="auto"/>
              <w:rPr>
                <w:rFonts w:eastAsia="Times New Roman" w:cs="Times New Roman"/>
                <w:b/>
                <w:bCs/>
                <w:color w:val="000000"/>
              </w:rPr>
            </w:pPr>
            <w:r w:rsidRPr="00FA7A56">
              <w:rPr>
                <w:rFonts w:eastAsia="Times New Roman" w:cs="Times New Roman"/>
                <w:b/>
                <w:bCs/>
                <w:color w:val="000000"/>
              </w:rPr>
              <w:t>1B. Discover the New Solutions We Need</w:t>
            </w:r>
          </w:p>
        </w:tc>
        <w:tc>
          <w:tcPr>
            <w:tcW w:w="3453" w:type="dxa"/>
            <w:shd w:val="clear" w:color="auto" w:fill="auto"/>
            <w:hideMark/>
          </w:tcPr>
          <w:p w:rsidR="00C30AFC" w:rsidRPr="00FA7A56" w:rsidRDefault="00C30AFC" w:rsidP="00C30AFC">
            <w:pPr>
              <w:spacing w:after="0" w:line="240" w:lineRule="auto"/>
              <w:rPr>
                <w:rFonts w:eastAsia="Times New Roman" w:cs="Times New Roman"/>
                <w:color w:val="000000"/>
              </w:rPr>
            </w:pPr>
            <w:r w:rsidRPr="00FA7A56">
              <w:rPr>
                <w:rFonts w:eastAsia="Times New Roman" w:cs="Times New Roman"/>
                <w:color w:val="000000"/>
              </w:rPr>
              <w:t xml:space="preserve">Nuclear Energy </w:t>
            </w:r>
          </w:p>
        </w:tc>
      </w:tr>
    </w:tbl>
    <w:p w:rsidR="00266DBF" w:rsidRPr="00AF0C81" w:rsidRDefault="00266DBF" w:rsidP="0054380B">
      <w:pPr>
        <w:pStyle w:val="NormalWeb"/>
        <w:spacing w:before="0" w:beforeAutospacing="0" w:after="0" w:afterAutospacing="0" w:line="276" w:lineRule="auto"/>
        <w:rPr>
          <w:rFonts w:asciiTheme="minorHAnsi" w:hAnsiTheme="minorHAnsi"/>
          <w:sz w:val="22"/>
          <w:szCs w:val="22"/>
        </w:rPr>
      </w:pPr>
    </w:p>
    <w:p w:rsidR="000870A6" w:rsidRPr="00AF0C81" w:rsidRDefault="000870A6">
      <w:pPr>
        <w:rPr>
          <w:rFonts w:eastAsia="Times New Roman" w:cs="Times New Roman"/>
        </w:rPr>
      </w:pPr>
    </w:p>
    <w:p w:rsidR="0054380B" w:rsidRPr="000870A6" w:rsidRDefault="0054380B" w:rsidP="0054380B">
      <w:pPr>
        <w:pStyle w:val="Heading1"/>
        <w:spacing w:before="0"/>
        <w:rPr>
          <w:rStyle w:val="Hyperlink"/>
          <w:color w:val="17365D" w:themeColor="text2" w:themeShade="BF"/>
          <w:sz w:val="22"/>
          <w:szCs w:val="22"/>
        </w:rPr>
      </w:pPr>
      <w:bookmarkStart w:id="65" w:name="_New_Nuclear_Generation"/>
      <w:bookmarkStart w:id="66" w:name="_Electricity_Delivery_and"/>
      <w:bookmarkStart w:id="67" w:name="_Toc347929423"/>
      <w:bookmarkStart w:id="68" w:name="_Toc352758981"/>
      <w:bookmarkStart w:id="69" w:name="_Toc357755931"/>
      <w:bookmarkStart w:id="70" w:name="_Toc357763462"/>
      <w:bookmarkEnd w:id="65"/>
      <w:bookmarkEnd w:id="66"/>
      <w:r w:rsidRPr="000870A6">
        <w:rPr>
          <w:rStyle w:val="Hyperlink"/>
          <w:color w:val="17365D" w:themeColor="text2" w:themeShade="BF"/>
          <w:sz w:val="22"/>
          <w:szCs w:val="22"/>
        </w:rPr>
        <w:t>Electricity Delivery and Energy Reliability (OE)</w:t>
      </w:r>
      <w:bookmarkEnd w:id="67"/>
      <w:bookmarkEnd w:id="68"/>
      <w:bookmarkEnd w:id="69"/>
      <w:bookmarkEnd w:id="70"/>
    </w:p>
    <w:tbl>
      <w:tblPr>
        <w:tblStyle w:val="LightShading1"/>
        <w:tblW w:w="0" w:type="auto"/>
        <w:tblInd w:w="468" w:type="dxa"/>
        <w:tblLook w:val="04A0"/>
      </w:tblPr>
      <w:tblGrid>
        <w:gridCol w:w="2724"/>
        <w:gridCol w:w="3192"/>
        <w:gridCol w:w="2724"/>
      </w:tblGrid>
      <w:tr w:rsidR="003560BA" w:rsidRPr="00AF0C81" w:rsidTr="003560BA">
        <w:trPr>
          <w:cnfStyle w:val="100000000000"/>
        </w:trPr>
        <w:tc>
          <w:tcPr>
            <w:cnfStyle w:val="001000000000"/>
            <w:tcW w:w="8640" w:type="dxa"/>
            <w:gridSpan w:val="3"/>
          </w:tcPr>
          <w:p w:rsidR="003560BA" w:rsidRPr="00AF0C81" w:rsidRDefault="003560BA" w:rsidP="003560BA">
            <w:pPr>
              <w:jc w:val="center"/>
            </w:pPr>
            <w:r w:rsidRPr="00AF0C81">
              <w:t>Total Budget Authority (in millions of dollars)</w:t>
            </w:r>
          </w:p>
        </w:tc>
      </w:tr>
      <w:tr w:rsidR="003560BA" w:rsidRPr="00AF0C81" w:rsidTr="003560BA">
        <w:trPr>
          <w:cnfStyle w:val="000000100000"/>
        </w:trPr>
        <w:tc>
          <w:tcPr>
            <w:cnfStyle w:val="001000000000"/>
            <w:tcW w:w="2724" w:type="dxa"/>
          </w:tcPr>
          <w:p w:rsidR="003560BA" w:rsidRPr="00AF0C81" w:rsidRDefault="003560BA" w:rsidP="003560BA">
            <w:pPr>
              <w:jc w:val="center"/>
            </w:pPr>
            <w:r w:rsidRPr="00AF0C81">
              <w:t>FY 2012 actual</w:t>
            </w:r>
          </w:p>
        </w:tc>
        <w:tc>
          <w:tcPr>
            <w:tcW w:w="3192" w:type="dxa"/>
          </w:tcPr>
          <w:p w:rsidR="003560BA" w:rsidRPr="00AF0C81" w:rsidRDefault="003560BA" w:rsidP="00E03254">
            <w:pPr>
              <w:jc w:val="center"/>
              <w:cnfStyle w:val="000000100000"/>
              <w:rPr>
                <w:b/>
              </w:rPr>
            </w:pPr>
            <w:r w:rsidRPr="00AF0C81">
              <w:rPr>
                <w:b/>
              </w:rPr>
              <w:t xml:space="preserve">FY 2013 </w:t>
            </w:r>
            <w:r w:rsidR="00E03254">
              <w:rPr>
                <w:b/>
              </w:rPr>
              <w:t>CR</w:t>
            </w:r>
          </w:p>
        </w:tc>
        <w:tc>
          <w:tcPr>
            <w:tcW w:w="2724" w:type="dxa"/>
          </w:tcPr>
          <w:p w:rsidR="003560BA" w:rsidRPr="00AF0C81" w:rsidRDefault="003560BA" w:rsidP="003560BA">
            <w:pPr>
              <w:jc w:val="center"/>
              <w:cnfStyle w:val="000000100000"/>
              <w:rPr>
                <w:b/>
              </w:rPr>
            </w:pPr>
            <w:r w:rsidRPr="00AF0C81">
              <w:rPr>
                <w:b/>
              </w:rPr>
              <w:t>FY 2014 est.</w:t>
            </w:r>
          </w:p>
        </w:tc>
      </w:tr>
      <w:tr w:rsidR="003560BA" w:rsidRPr="00AF0C81" w:rsidTr="003560BA">
        <w:tc>
          <w:tcPr>
            <w:cnfStyle w:val="001000000000"/>
            <w:tcW w:w="2724" w:type="dxa"/>
          </w:tcPr>
          <w:p w:rsidR="003560BA" w:rsidRPr="00AF0C81" w:rsidRDefault="00BD392C" w:rsidP="003560BA">
            <w:pPr>
              <w:jc w:val="center"/>
            </w:pPr>
            <w:r>
              <w:rPr>
                <w:b w:val="0"/>
              </w:rPr>
              <w:t>136.2</w:t>
            </w:r>
          </w:p>
        </w:tc>
        <w:tc>
          <w:tcPr>
            <w:tcW w:w="3192" w:type="dxa"/>
          </w:tcPr>
          <w:p w:rsidR="003560BA" w:rsidRPr="00AF0C81" w:rsidRDefault="00BD392C" w:rsidP="003560BA">
            <w:pPr>
              <w:jc w:val="center"/>
              <w:cnfStyle w:val="000000000000"/>
            </w:pPr>
            <w:r>
              <w:t>140.0</w:t>
            </w:r>
          </w:p>
        </w:tc>
        <w:tc>
          <w:tcPr>
            <w:tcW w:w="2724" w:type="dxa"/>
          </w:tcPr>
          <w:p w:rsidR="003560BA" w:rsidRPr="00AF0C81" w:rsidRDefault="00BD392C" w:rsidP="003560BA">
            <w:pPr>
              <w:jc w:val="center"/>
              <w:cnfStyle w:val="000000000000"/>
            </w:pPr>
            <w:r>
              <w:t>169.0</w:t>
            </w:r>
          </w:p>
        </w:tc>
      </w:tr>
    </w:tbl>
    <w:p w:rsidR="000870A6" w:rsidRDefault="000870A6" w:rsidP="0054380B">
      <w:pPr>
        <w:spacing w:after="0"/>
      </w:pPr>
    </w:p>
    <w:p w:rsidR="0054380B" w:rsidRPr="00AF0C81" w:rsidRDefault="0054380B" w:rsidP="0054380B">
      <w:pPr>
        <w:spacing w:after="0"/>
      </w:pPr>
      <w:r w:rsidRPr="00AF0C81">
        <w:t xml:space="preserve">The mission of the OE is to lead national efforts to modernize the electric grid, enhance security and reliability of energy infrastructure, and facilitate recovery from disruptions to the energy supply.  (OE website:  </w:t>
      </w:r>
      <w:hyperlink r:id="rId18" w:history="1">
        <w:r w:rsidRPr="00AF0C81">
          <w:rPr>
            <w:rStyle w:val="Hyperlink"/>
          </w:rPr>
          <w:t>http://energy.gov/oe/office-electricity-delivery-and-energy-reliability</w:t>
        </w:r>
      </w:hyperlink>
      <w:r w:rsidRPr="00AF0C81">
        <w:t>)</w:t>
      </w:r>
    </w:p>
    <w:tbl>
      <w:tblPr>
        <w:tblW w:w="86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7"/>
        <w:gridCol w:w="2520"/>
        <w:gridCol w:w="3453"/>
      </w:tblGrid>
      <w:tr w:rsidR="00321EAB" w:rsidRPr="00AF0C81" w:rsidTr="00577A74">
        <w:trPr>
          <w:trHeight w:val="300"/>
        </w:trPr>
        <w:tc>
          <w:tcPr>
            <w:tcW w:w="2667" w:type="dxa"/>
            <w:shd w:val="clear" w:color="DBE5F1" w:fill="DBE5F1"/>
            <w:vAlign w:val="bottom"/>
            <w:hideMark/>
          </w:tcPr>
          <w:p w:rsidR="00321EAB" w:rsidRPr="00AF0C81" w:rsidRDefault="00321EAB" w:rsidP="00321EAB">
            <w:pPr>
              <w:spacing w:after="0" w:line="240" w:lineRule="auto"/>
              <w:rPr>
                <w:rFonts w:eastAsia="Times New Roman" w:cs="Times New Roman"/>
                <w:b/>
                <w:bCs/>
                <w:color w:val="000000"/>
              </w:rPr>
            </w:pPr>
            <w:r w:rsidRPr="00AF0C81">
              <w:rPr>
                <w:rFonts w:eastAsia="Times New Roman" w:cs="Times New Roman"/>
                <w:b/>
                <w:bCs/>
                <w:color w:val="000000"/>
              </w:rPr>
              <w:t>Strategic Goal</w:t>
            </w:r>
          </w:p>
        </w:tc>
        <w:tc>
          <w:tcPr>
            <w:tcW w:w="2520" w:type="dxa"/>
            <w:shd w:val="clear" w:color="DBE5F1" w:fill="DBE5F1"/>
            <w:vAlign w:val="bottom"/>
            <w:hideMark/>
          </w:tcPr>
          <w:p w:rsidR="00321EAB" w:rsidRPr="00AF0C81" w:rsidRDefault="00321EAB" w:rsidP="00321EAB">
            <w:pPr>
              <w:spacing w:after="0" w:line="240" w:lineRule="auto"/>
              <w:rPr>
                <w:rFonts w:eastAsia="Times New Roman" w:cs="Times New Roman"/>
                <w:b/>
                <w:bCs/>
                <w:color w:val="000000"/>
              </w:rPr>
            </w:pPr>
            <w:r w:rsidRPr="00AF0C81">
              <w:rPr>
                <w:rFonts w:eastAsia="Times New Roman" w:cs="Times New Roman"/>
                <w:b/>
                <w:bCs/>
                <w:color w:val="000000"/>
              </w:rPr>
              <w:t>Strategic Objective</w:t>
            </w:r>
          </w:p>
        </w:tc>
        <w:tc>
          <w:tcPr>
            <w:tcW w:w="3453" w:type="dxa"/>
            <w:shd w:val="clear" w:color="DBE5F1" w:fill="DBE5F1"/>
            <w:vAlign w:val="bottom"/>
            <w:hideMark/>
          </w:tcPr>
          <w:p w:rsidR="00321EAB" w:rsidRPr="00AF0C81" w:rsidRDefault="00D60611" w:rsidP="00321EAB">
            <w:pPr>
              <w:spacing w:after="0" w:line="240" w:lineRule="auto"/>
              <w:rPr>
                <w:rFonts w:eastAsia="Times New Roman" w:cs="Times New Roman"/>
                <w:b/>
                <w:bCs/>
                <w:color w:val="000000"/>
              </w:rPr>
            </w:pPr>
            <w:r w:rsidRPr="00AF0C81">
              <w:rPr>
                <w:rFonts w:eastAsia="Times New Roman" w:cs="Times New Roman"/>
                <w:b/>
                <w:bCs/>
                <w:color w:val="000000"/>
              </w:rPr>
              <w:t>Programs</w:t>
            </w:r>
          </w:p>
        </w:tc>
      </w:tr>
      <w:tr w:rsidR="00321EAB" w:rsidRPr="00AF0C81" w:rsidTr="00577A74">
        <w:trPr>
          <w:trHeight w:val="300"/>
        </w:trPr>
        <w:tc>
          <w:tcPr>
            <w:tcW w:w="2667" w:type="dxa"/>
            <w:shd w:val="clear" w:color="auto" w:fill="auto"/>
            <w:hideMark/>
          </w:tcPr>
          <w:p w:rsidR="00321EAB" w:rsidRPr="00AF0C81" w:rsidRDefault="00321EAB" w:rsidP="00321EAB">
            <w:pPr>
              <w:spacing w:after="0" w:line="240" w:lineRule="auto"/>
              <w:rPr>
                <w:rFonts w:eastAsia="Times New Roman" w:cs="Times New Roman"/>
                <w:b/>
                <w:bCs/>
                <w:color w:val="000000"/>
              </w:rPr>
            </w:pPr>
            <w:r w:rsidRPr="00AF0C81">
              <w:rPr>
                <w:rFonts w:eastAsia="Times New Roman" w:cs="Times New Roman"/>
                <w:b/>
                <w:bCs/>
                <w:color w:val="000000"/>
              </w:rPr>
              <w:t xml:space="preserve">1. Transform Our Energy Systems:  </w:t>
            </w:r>
            <w:r w:rsidRPr="00AF0C81">
              <w:rPr>
                <w:rFonts w:eastAsia="Times New Roman" w:cs="Times New Roman"/>
                <w:color w:val="000000"/>
              </w:rPr>
              <w:t>Catalyze the timely, material, and efficient transformation of the Nation’s energy system and secure U.S. leadership in clean energy technologies</w:t>
            </w:r>
          </w:p>
        </w:tc>
        <w:tc>
          <w:tcPr>
            <w:tcW w:w="2520" w:type="dxa"/>
            <w:shd w:val="clear" w:color="auto" w:fill="auto"/>
            <w:hideMark/>
          </w:tcPr>
          <w:p w:rsidR="00321EAB" w:rsidRPr="00AF0C81" w:rsidRDefault="00321EAB" w:rsidP="00321EAB">
            <w:pPr>
              <w:spacing w:after="0" w:line="240" w:lineRule="auto"/>
              <w:rPr>
                <w:rFonts w:eastAsia="Times New Roman" w:cs="Times New Roman"/>
                <w:b/>
                <w:bCs/>
                <w:color w:val="000000"/>
              </w:rPr>
            </w:pPr>
            <w:r w:rsidRPr="00AF0C81">
              <w:rPr>
                <w:rFonts w:eastAsia="Times New Roman" w:cs="Times New Roman"/>
                <w:b/>
                <w:bCs/>
                <w:color w:val="000000"/>
              </w:rPr>
              <w:t>1A. Deploy the Technologies We Have</w:t>
            </w:r>
          </w:p>
        </w:tc>
        <w:tc>
          <w:tcPr>
            <w:tcW w:w="3453" w:type="dxa"/>
            <w:shd w:val="clear" w:color="auto" w:fill="auto"/>
            <w:hideMark/>
          </w:tcPr>
          <w:p w:rsidR="00321EAB" w:rsidRPr="00AF0C81" w:rsidRDefault="00321EAB" w:rsidP="00321EAB">
            <w:pPr>
              <w:spacing w:after="0" w:line="240" w:lineRule="auto"/>
              <w:rPr>
                <w:rFonts w:eastAsia="Times New Roman" w:cs="Times New Roman"/>
                <w:color w:val="000000"/>
              </w:rPr>
            </w:pPr>
            <w:r w:rsidRPr="00AF0C81">
              <w:rPr>
                <w:rFonts w:eastAsia="Times New Roman" w:cs="Times New Roman"/>
                <w:color w:val="000000"/>
              </w:rPr>
              <w:t>Electricity Delivery and Energy Reliability</w:t>
            </w:r>
            <w:r w:rsidR="00413EB0" w:rsidRPr="00AF0C81">
              <w:rPr>
                <w:rFonts w:eastAsia="Times New Roman" w:cs="Times New Roman"/>
                <w:color w:val="000000"/>
              </w:rPr>
              <w:t xml:space="preserve"> </w:t>
            </w:r>
          </w:p>
        </w:tc>
      </w:tr>
    </w:tbl>
    <w:p w:rsidR="0054380B" w:rsidRDefault="0054380B" w:rsidP="0054380B">
      <w:pPr>
        <w:spacing w:after="0"/>
      </w:pPr>
    </w:p>
    <w:p w:rsidR="000870A6" w:rsidRPr="00AF0C81" w:rsidRDefault="000870A6" w:rsidP="0054380B">
      <w:pPr>
        <w:spacing w:after="0"/>
      </w:pPr>
    </w:p>
    <w:p w:rsidR="0054380B" w:rsidRPr="00AF0C81" w:rsidRDefault="0054380B" w:rsidP="0054380B">
      <w:pPr>
        <w:pStyle w:val="Heading1"/>
        <w:spacing w:before="0"/>
        <w:rPr>
          <w:rStyle w:val="Hyperlink"/>
          <w:color w:val="17365D" w:themeColor="text2" w:themeShade="BF"/>
          <w:sz w:val="22"/>
          <w:szCs w:val="22"/>
        </w:rPr>
      </w:pPr>
      <w:bookmarkStart w:id="71" w:name="_Bonneville_Power_Administration"/>
      <w:bookmarkStart w:id="72" w:name="_Toc347929424"/>
      <w:bookmarkStart w:id="73" w:name="_Toc352758982"/>
      <w:bookmarkStart w:id="74" w:name="_Toc357755932"/>
      <w:bookmarkStart w:id="75" w:name="_Toc357763463"/>
      <w:bookmarkEnd w:id="71"/>
      <w:r w:rsidRPr="00AF0C81">
        <w:rPr>
          <w:rStyle w:val="Hyperlink"/>
          <w:color w:val="17365D" w:themeColor="text2" w:themeShade="BF"/>
          <w:sz w:val="22"/>
          <w:szCs w:val="22"/>
        </w:rPr>
        <w:t>Bonneville Power Administration (BPA)</w:t>
      </w:r>
      <w:bookmarkEnd w:id="72"/>
      <w:bookmarkEnd w:id="73"/>
      <w:bookmarkEnd w:id="74"/>
      <w:bookmarkEnd w:id="75"/>
    </w:p>
    <w:tbl>
      <w:tblPr>
        <w:tblStyle w:val="LightShading1"/>
        <w:tblW w:w="0" w:type="auto"/>
        <w:tblInd w:w="468" w:type="dxa"/>
        <w:tblLook w:val="04A0"/>
      </w:tblPr>
      <w:tblGrid>
        <w:gridCol w:w="2724"/>
        <w:gridCol w:w="3192"/>
        <w:gridCol w:w="2724"/>
      </w:tblGrid>
      <w:tr w:rsidR="003560BA" w:rsidRPr="00AF0C81" w:rsidTr="003560BA">
        <w:trPr>
          <w:cnfStyle w:val="100000000000"/>
        </w:trPr>
        <w:tc>
          <w:tcPr>
            <w:cnfStyle w:val="001000000000"/>
            <w:tcW w:w="8640" w:type="dxa"/>
            <w:gridSpan w:val="3"/>
          </w:tcPr>
          <w:p w:rsidR="003560BA" w:rsidRPr="00AF0C81" w:rsidRDefault="003560BA" w:rsidP="00763992">
            <w:pPr>
              <w:jc w:val="center"/>
            </w:pPr>
            <w:r w:rsidRPr="00AF0C81">
              <w:t>Total Budget Authority (in millions of dollars)</w:t>
            </w:r>
          </w:p>
        </w:tc>
      </w:tr>
      <w:tr w:rsidR="003560BA" w:rsidRPr="00AF0C81" w:rsidTr="003560BA">
        <w:trPr>
          <w:cnfStyle w:val="000000100000"/>
        </w:trPr>
        <w:tc>
          <w:tcPr>
            <w:cnfStyle w:val="001000000000"/>
            <w:tcW w:w="2724" w:type="dxa"/>
          </w:tcPr>
          <w:p w:rsidR="003560BA" w:rsidRPr="00AF0C81" w:rsidRDefault="003560BA" w:rsidP="00763992">
            <w:pPr>
              <w:jc w:val="center"/>
            </w:pPr>
            <w:r w:rsidRPr="00AF0C81">
              <w:t>FY 2012 actual</w:t>
            </w:r>
          </w:p>
        </w:tc>
        <w:tc>
          <w:tcPr>
            <w:tcW w:w="3192" w:type="dxa"/>
          </w:tcPr>
          <w:p w:rsidR="003560BA" w:rsidRPr="00AF0C81" w:rsidRDefault="003560BA" w:rsidP="00E03254">
            <w:pPr>
              <w:jc w:val="center"/>
              <w:cnfStyle w:val="000000100000"/>
              <w:rPr>
                <w:b/>
              </w:rPr>
            </w:pPr>
            <w:r w:rsidRPr="00AF0C81">
              <w:rPr>
                <w:b/>
              </w:rPr>
              <w:t xml:space="preserve">FY 2013 </w:t>
            </w:r>
            <w:r w:rsidR="00E03254">
              <w:rPr>
                <w:b/>
              </w:rPr>
              <w:t>CR</w:t>
            </w:r>
          </w:p>
        </w:tc>
        <w:tc>
          <w:tcPr>
            <w:tcW w:w="2724" w:type="dxa"/>
          </w:tcPr>
          <w:p w:rsidR="003560BA" w:rsidRPr="00AF0C81" w:rsidRDefault="003560BA" w:rsidP="00763992">
            <w:pPr>
              <w:jc w:val="center"/>
              <w:cnfStyle w:val="000000100000"/>
              <w:rPr>
                <w:b/>
              </w:rPr>
            </w:pPr>
            <w:r w:rsidRPr="00AF0C81">
              <w:rPr>
                <w:b/>
              </w:rPr>
              <w:t>FY 2014 est.</w:t>
            </w:r>
          </w:p>
        </w:tc>
      </w:tr>
      <w:tr w:rsidR="003560BA" w:rsidRPr="00AF0C81" w:rsidTr="003560BA">
        <w:tc>
          <w:tcPr>
            <w:cnfStyle w:val="001000000000"/>
            <w:tcW w:w="2724" w:type="dxa"/>
          </w:tcPr>
          <w:p w:rsidR="003560BA" w:rsidRPr="00AF0C81" w:rsidRDefault="00BD392C" w:rsidP="00763992">
            <w:pPr>
              <w:jc w:val="center"/>
            </w:pPr>
            <w:r>
              <w:rPr>
                <w:rFonts w:ascii="Times New Roman" w:hAnsi="Times New Roman" w:cs="Times New Roman"/>
                <w:b w:val="0"/>
              </w:rPr>
              <w:t>─</w:t>
            </w:r>
          </w:p>
        </w:tc>
        <w:tc>
          <w:tcPr>
            <w:tcW w:w="3192" w:type="dxa"/>
          </w:tcPr>
          <w:p w:rsidR="003560BA" w:rsidRPr="00AF0C81" w:rsidRDefault="00BD392C" w:rsidP="00763992">
            <w:pPr>
              <w:jc w:val="center"/>
              <w:cnfStyle w:val="000000000000"/>
            </w:pPr>
            <w:r>
              <w:t>945.0</w:t>
            </w:r>
          </w:p>
        </w:tc>
        <w:tc>
          <w:tcPr>
            <w:tcW w:w="2724" w:type="dxa"/>
          </w:tcPr>
          <w:p w:rsidR="003560BA" w:rsidRPr="00AF0C81" w:rsidRDefault="00BD392C" w:rsidP="00763992">
            <w:pPr>
              <w:jc w:val="center"/>
              <w:cnfStyle w:val="000000000000"/>
            </w:pPr>
            <w:r>
              <w:t>1,027.0</w:t>
            </w:r>
          </w:p>
        </w:tc>
      </w:tr>
    </w:tbl>
    <w:p w:rsidR="00763992" w:rsidRPr="00AF0C81" w:rsidRDefault="00763992" w:rsidP="00763992">
      <w:pPr>
        <w:spacing w:after="0"/>
      </w:pPr>
    </w:p>
    <w:p w:rsidR="0054380B" w:rsidRPr="00AF0C81" w:rsidRDefault="0054380B" w:rsidP="00763992">
      <w:pPr>
        <w:spacing w:after="0"/>
        <w:rPr>
          <w:rStyle w:val="Hyperlink"/>
          <w:color w:val="auto"/>
        </w:rPr>
      </w:pPr>
      <w:r w:rsidRPr="00AF0C81">
        <w:t xml:space="preserve">The mission of BPA is to provide reliable and adequate </w:t>
      </w:r>
      <w:r w:rsidR="00C643A2">
        <w:t xml:space="preserve">cost-based </w:t>
      </w:r>
      <w:r w:rsidRPr="00AF0C81">
        <w:t>power</w:t>
      </w:r>
      <w:r w:rsidR="00C643A2">
        <w:t>,</w:t>
      </w:r>
      <w:r w:rsidRPr="00AF0C81">
        <w:t xml:space="preserve"> transmission </w:t>
      </w:r>
      <w:r w:rsidR="00C643A2">
        <w:t xml:space="preserve">and other related </w:t>
      </w:r>
      <w:r w:rsidRPr="00AF0C81">
        <w:t>service</w:t>
      </w:r>
      <w:r w:rsidR="00C643A2">
        <w:t>s</w:t>
      </w:r>
      <w:r w:rsidRPr="00AF0C81">
        <w:t xml:space="preserve"> </w:t>
      </w:r>
      <w:r w:rsidR="00C643A2">
        <w:t>throughout</w:t>
      </w:r>
      <w:r w:rsidRPr="00AF0C81">
        <w:t xml:space="preserve"> the Pacific Northwest and to mitigate impacts of the </w:t>
      </w:r>
      <w:r w:rsidR="00C643A2" w:rsidRPr="00C643A2">
        <w:t>Federal Columbia River Power System</w:t>
      </w:r>
      <w:r w:rsidRPr="00AF0C81">
        <w:t xml:space="preserve"> on fish and wildlife.  (BPA website:  </w:t>
      </w:r>
      <w:hyperlink r:id="rId19" w:history="1">
        <w:r w:rsidRPr="00AF0C81">
          <w:rPr>
            <w:rStyle w:val="Hyperlink"/>
          </w:rPr>
          <w:t>http://www.bpa.gov/corporate/</w:t>
        </w:r>
      </w:hyperlink>
      <w:r w:rsidRPr="00AF0C81">
        <w:rPr>
          <w:rStyle w:val="Hyperlink"/>
          <w:color w:val="auto"/>
        </w:rPr>
        <w:t>)</w:t>
      </w:r>
    </w:p>
    <w:tbl>
      <w:tblPr>
        <w:tblW w:w="86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7"/>
        <w:gridCol w:w="2520"/>
        <w:gridCol w:w="3453"/>
      </w:tblGrid>
      <w:tr w:rsidR="00321EAB" w:rsidRPr="00AF0C81" w:rsidTr="00577A74">
        <w:trPr>
          <w:trHeight w:val="300"/>
        </w:trPr>
        <w:tc>
          <w:tcPr>
            <w:tcW w:w="2667" w:type="dxa"/>
            <w:shd w:val="clear" w:color="DBE5F1" w:fill="DBE5F1"/>
            <w:vAlign w:val="bottom"/>
            <w:hideMark/>
          </w:tcPr>
          <w:p w:rsidR="00321EAB" w:rsidRPr="00AF0C81" w:rsidRDefault="00321EAB" w:rsidP="00321EAB">
            <w:pPr>
              <w:spacing w:after="0" w:line="240" w:lineRule="auto"/>
              <w:rPr>
                <w:rFonts w:eastAsia="Times New Roman" w:cs="Times New Roman"/>
                <w:b/>
                <w:bCs/>
                <w:color w:val="000000"/>
              </w:rPr>
            </w:pPr>
            <w:r w:rsidRPr="00AF0C81">
              <w:rPr>
                <w:rFonts w:eastAsia="Times New Roman" w:cs="Times New Roman"/>
                <w:b/>
                <w:bCs/>
                <w:color w:val="000000"/>
              </w:rPr>
              <w:t>Strategic Goal</w:t>
            </w:r>
          </w:p>
        </w:tc>
        <w:tc>
          <w:tcPr>
            <w:tcW w:w="2520" w:type="dxa"/>
            <w:shd w:val="clear" w:color="DBE5F1" w:fill="DBE5F1"/>
            <w:vAlign w:val="bottom"/>
            <w:hideMark/>
          </w:tcPr>
          <w:p w:rsidR="00321EAB" w:rsidRPr="00AF0C81" w:rsidRDefault="00321EAB" w:rsidP="00321EAB">
            <w:pPr>
              <w:spacing w:after="0" w:line="240" w:lineRule="auto"/>
              <w:rPr>
                <w:rFonts w:eastAsia="Times New Roman" w:cs="Times New Roman"/>
                <w:b/>
                <w:bCs/>
                <w:color w:val="000000"/>
              </w:rPr>
            </w:pPr>
            <w:r w:rsidRPr="00AF0C81">
              <w:rPr>
                <w:rFonts w:eastAsia="Times New Roman" w:cs="Times New Roman"/>
                <w:b/>
                <w:bCs/>
                <w:color w:val="000000"/>
              </w:rPr>
              <w:t>Strategic Objective</w:t>
            </w:r>
          </w:p>
        </w:tc>
        <w:tc>
          <w:tcPr>
            <w:tcW w:w="3453" w:type="dxa"/>
            <w:shd w:val="clear" w:color="DBE5F1" w:fill="DBE5F1"/>
            <w:vAlign w:val="bottom"/>
            <w:hideMark/>
          </w:tcPr>
          <w:p w:rsidR="00321EAB" w:rsidRPr="00AF0C81" w:rsidRDefault="00D60611" w:rsidP="00321EAB">
            <w:pPr>
              <w:spacing w:after="0" w:line="240" w:lineRule="auto"/>
              <w:rPr>
                <w:rFonts w:eastAsia="Times New Roman" w:cs="Times New Roman"/>
                <w:b/>
                <w:bCs/>
                <w:color w:val="000000"/>
              </w:rPr>
            </w:pPr>
            <w:r w:rsidRPr="00AF0C81">
              <w:rPr>
                <w:rFonts w:eastAsia="Times New Roman" w:cs="Times New Roman"/>
                <w:b/>
                <w:bCs/>
                <w:color w:val="000000"/>
              </w:rPr>
              <w:t>Programs</w:t>
            </w:r>
          </w:p>
        </w:tc>
      </w:tr>
      <w:tr w:rsidR="00321EAB" w:rsidRPr="00AF0C81" w:rsidTr="00577A74">
        <w:trPr>
          <w:trHeight w:val="300"/>
        </w:trPr>
        <w:tc>
          <w:tcPr>
            <w:tcW w:w="2667" w:type="dxa"/>
            <w:shd w:val="clear" w:color="auto" w:fill="auto"/>
            <w:hideMark/>
          </w:tcPr>
          <w:p w:rsidR="00321EAB" w:rsidRPr="00AF0C81" w:rsidRDefault="00321EAB" w:rsidP="00321EAB">
            <w:pPr>
              <w:spacing w:after="0" w:line="240" w:lineRule="auto"/>
              <w:rPr>
                <w:rFonts w:eastAsia="Times New Roman" w:cs="Times New Roman"/>
                <w:b/>
                <w:bCs/>
                <w:color w:val="000000"/>
              </w:rPr>
            </w:pPr>
            <w:r w:rsidRPr="00AF0C81">
              <w:rPr>
                <w:rFonts w:eastAsia="Times New Roman" w:cs="Times New Roman"/>
                <w:b/>
                <w:bCs/>
                <w:color w:val="000000"/>
              </w:rPr>
              <w:t xml:space="preserve">1. Transform Our Energy Systems:  </w:t>
            </w:r>
            <w:r w:rsidRPr="00AF0C81">
              <w:rPr>
                <w:rFonts w:eastAsia="Times New Roman" w:cs="Times New Roman"/>
                <w:color w:val="000000"/>
              </w:rPr>
              <w:t>Catalyze the timely, material, and efficient transformation of the Nation’s energy system and secure U.S. leadership in clean energy technologies</w:t>
            </w:r>
          </w:p>
        </w:tc>
        <w:tc>
          <w:tcPr>
            <w:tcW w:w="2520" w:type="dxa"/>
            <w:shd w:val="clear" w:color="auto" w:fill="auto"/>
            <w:hideMark/>
          </w:tcPr>
          <w:p w:rsidR="00321EAB" w:rsidRPr="00AF0C81" w:rsidRDefault="00321EAB" w:rsidP="00321EAB">
            <w:pPr>
              <w:spacing w:after="0" w:line="240" w:lineRule="auto"/>
              <w:rPr>
                <w:rFonts w:eastAsia="Times New Roman" w:cs="Times New Roman"/>
                <w:b/>
                <w:bCs/>
                <w:color w:val="000000"/>
              </w:rPr>
            </w:pPr>
            <w:r w:rsidRPr="00AF0C81">
              <w:rPr>
                <w:rFonts w:eastAsia="Times New Roman" w:cs="Times New Roman"/>
                <w:b/>
                <w:bCs/>
                <w:color w:val="000000"/>
              </w:rPr>
              <w:t>1A. Deploy the Technologies We Have</w:t>
            </w:r>
          </w:p>
        </w:tc>
        <w:tc>
          <w:tcPr>
            <w:tcW w:w="3453" w:type="dxa"/>
            <w:shd w:val="clear" w:color="auto" w:fill="auto"/>
            <w:hideMark/>
          </w:tcPr>
          <w:p w:rsidR="00321EAB" w:rsidRPr="00AF0C81" w:rsidRDefault="00321EAB" w:rsidP="00321EAB">
            <w:pPr>
              <w:spacing w:after="0" w:line="240" w:lineRule="auto"/>
              <w:rPr>
                <w:rFonts w:eastAsia="Times New Roman" w:cs="Times New Roman"/>
                <w:color w:val="000000"/>
              </w:rPr>
            </w:pPr>
            <w:r w:rsidRPr="00AF0C81">
              <w:rPr>
                <w:rFonts w:eastAsia="Times New Roman" w:cs="Times New Roman"/>
                <w:color w:val="000000"/>
              </w:rPr>
              <w:t>Bonneville Power Administration</w:t>
            </w:r>
            <w:r w:rsidR="00413EB0" w:rsidRPr="00AF0C81">
              <w:rPr>
                <w:rFonts w:eastAsia="Times New Roman" w:cs="Times New Roman"/>
                <w:color w:val="000000"/>
              </w:rPr>
              <w:t xml:space="preserve"> </w:t>
            </w:r>
          </w:p>
        </w:tc>
      </w:tr>
    </w:tbl>
    <w:p w:rsidR="0054380B" w:rsidRPr="00AF0C81" w:rsidRDefault="0054380B" w:rsidP="0054380B">
      <w:pPr>
        <w:pStyle w:val="Heading1"/>
        <w:rPr>
          <w:rStyle w:val="Hyperlink"/>
          <w:color w:val="17365D" w:themeColor="text2" w:themeShade="BF"/>
          <w:sz w:val="22"/>
          <w:szCs w:val="22"/>
        </w:rPr>
      </w:pPr>
      <w:bookmarkStart w:id="76" w:name="_Southeastern_Power_Administration"/>
      <w:bookmarkStart w:id="77" w:name="_Toc347929425"/>
      <w:bookmarkStart w:id="78" w:name="_Toc352758983"/>
      <w:bookmarkStart w:id="79" w:name="_Toc357755933"/>
      <w:bookmarkStart w:id="80" w:name="_Toc357763464"/>
      <w:bookmarkEnd w:id="76"/>
      <w:r w:rsidRPr="00AF0C81">
        <w:rPr>
          <w:rStyle w:val="Hyperlink"/>
          <w:color w:val="17365D" w:themeColor="text2" w:themeShade="BF"/>
          <w:sz w:val="22"/>
          <w:szCs w:val="22"/>
        </w:rPr>
        <w:t>Southeastern Power Administration (SEPA)</w:t>
      </w:r>
      <w:bookmarkEnd w:id="77"/>
      <w:bookmarkEnd w:id="78"/>
      <w:bookmarkEnd w:id="79"/>
      <w:bookmarkEnd w:id="80"/>
    </w:p>
    <w:tbl>
      <w:tblPr>
        <w:tblStyle w:val="LightShading1"/>
        <w:tblW w:w="0" w:type="auto"/>
        <w:tblInd w:w="468" w:type="dxa"/>
        <w:tblLook w:val="04A0"/>
      </w:tblPr>
      <w:tblGrid>
        <w:gridCol w:w="2724"/>
        <w:gridCol w:w="3192"/>
        <w:gridCol w:w="2724"/>
      </w:tblGrid>
      <w:tr w:rsidR="003560BA" w:rsidRPr="00AF0C81" w:rsidTr="003560BA">
        <w:trPr>
          <w:cnfStyle w:val="100000000000"/>
        </w:trPr>
        <w:tc>
          <w:tcPr>
            <w:cnfStyle w:val="001000000000"/>
            <w:tcW w:w="8640" w:type="dxa"/>
            <w:gridSpan w:val="3"/>
          </w:tcPr>
          <w:p w:rsidR="003560BA" w:rsidRPr="00AF0C81" w:rsidRDefault="003560BA" w:rsidP="003560BA">
            <w:pPr>
              <w:jc w:val="center"/>
            </w:pPr>
            <w:r w:rsidRPr="00AF0C81">
              <w:t>Total Budget Authority (in millions of dollars)</w:t>
            </w:r>
          </w:p>
        </w:tc>
      </w:tr>
      <w:tr w:rsidR="003560BA" w:rsidRPr="00AF0C81" w:rsidTr="003560BA">
        <w:trPr>
          <w:cnfStyle w:val="000000100000"/>
        </w:trPr>
        <w:tc>
          <w:tcPr>
            <w:cnfStyle w:val="001000000000"/>
            <w:tcW w:w="2724" w:type="dxa"/>
          </w:tcPr>
          <w:p w:rsidR="003560BA" w:rsidRPr="00AF0C81" w:rsidRDefault="003560BA" w:rsidP="003560BA">
            <w:pPr>
              <w:jc w:val="center"/>
            </w:pPr>
            <w:r w:rsidRPr="00AF0C81">
              <w:t>FY 2012 actual</w:t>
            </w:r>
          </w:p>
        </w:tc>
        <w:tc>
          <w:tcPr>
            <w:tcW w:w="3192" w:type="dxa"/>
          </w:tcPr>
          <w:p w:rsidR="003560BA" w:rsidRPr="00AF0C81" w:rsidRDefault="003560BA" w:rsidP="00E03254">
            <w:pPr>
              <w:jc w:val="center"/>
              <w:cnfStyle w:val="000000100000"/>
              <w:rPr>
                <w:b/>
              </w:rPr>
            </w:pPr>
            <w:r w:rsidRPr="00AF0C81">
              <w:rPr>
                <w:b/>
              </w:rPr>
              <w:t xml:space="preserve">FY 2013 </w:t>
            </w:r>
            <w:r w:rsidR="00E03254">
              <w:rPr>
                <w:b/>
              </w:rPr>
              <w:t>CR</w:t>
            </w:r>
          </w:p>
        </w:tc>
        <w:tc>
          <w:tcPr>
            <w:tcW w:w="2724" w:type="dxa"/>
          </w:tcPr>
          <w:p w:rsidR="003560BA" w:rsidRPr="00AF0C81" w:rsidRDefault="003560BA" w:rsidP="003560BA">
            <w:pPr>
              <w:jc w:val="center"/>
              <w:cnfStyle w:val="000000100000"/>
              <w:rPr>
                <w:b/>
              </w:rPr>
            </w:pPr>
            <w:r w:rsidRPr="00AF0C81">
              <w:rPr>
                <w:b/>
              </w:rPr>
              <w:t>FY 2014 est.</w:t>
            </w:r>
          </w:p>
        </w:tc>
      </w:tr>
      <w:tr w:rsidR="003560BA" w:rsidRPr="00AF0C81" w:rsidTr="003560BA">
        <w:tc>
          <w:tcPr>
            <w:cnfStyle w:val="001000000000"/>
            <w:tcW w:w="2724" w:type="dxa"/>
          </w:tcPr>
          <w:p w:rsidR="003560BA" w:rsidRPr="00AF0C81" w:rsidRDefault="00BD392C" w:rsidP="003560BA">
            <w:pPr>
              <w:jc w:val="center"/>
            </w:pPr>
            <w:r>
              <w:rPr>
                <w:rFonts w:ascii="Times New Roman" w:hAnsi="Times New Roman" w:cs="Times New Roman"/>
                <w:b w:val="0"/>
              </w:rPr>
              <w:t>─</w:t>
            </w:r>
          </w:p>
        </w:tc>
        <w:tc>
          <w:tcPr>
            <w:tcW w:w="3192" w:type="dxa"/>
          </w:tcPr>
          <w:p w:rsidR="003560BA" w:rsidRPr="00AF0C81" w:rsidRDefault="00BD392C" w:rsidP="003560BA">
            <w:pPr>
              <w:jc w:val="center"/>
              <w:cnfStyle w:val="000000000000"/>
            </w:pPr>
            <w:r>
              <w:rPr>
                <w:rFonts w:ascii="Times New Roman" w:hAnsi="Times New Roman" w:cs="Times New Roman"/>
                <w:b/>
              </w:rPr>
              <w:t>─</w:t>
            </w:r>
          </w:p>
        </w:tc>
        <w:tc>
          <w:tcPr>
            <w:tcW w:w="2724" w:type="dxa"/>
          </w:tcPr>
          <w:p w:rsidR="003560BA" w:rsidRPr="00AF0C81" w:rsidRDefault="00BD392C" w:rsidP="003560BA">
            <w:pPr>
              <w:jc w:val="center"/>
              <w:cnfStyle w:val="000000000000"/>
            </w:pPr>
            <w:r>
              <w:rPr>
                <w:rFonts w:ascii="Times New Roman" w:hAnsi="Times New Roman" w:cs="Times New Roman"/>
                <w:b/>
              </w:rPr>
              <w:t>─</w:t>
            </w:r>
          </w:p>
        </w:tc>
      </w:tr>
    </w:tbl>
    <w:p w:rsidR="003560BA" w:rsidRPr="00AF0C81" w:rsidRDefault="003560BA" w:rsidP="0054380B">
      <w:pPr>
        <w:spacing w:after="0"/>
      </w:pPr>
    </w:p>
    <w:p w:rsidR="0054380B" w:rsidRPr="00AF0C81" w:rsidRDefault="0054380B" w:rsidP="0054380B">
      <w:pPr>
        <w:spacing w:after="0"/>
      </w:pPr>
      <w:r w:rsidRPr="00AF0C81">
        <w:t xml:space="preserve">The mission of SEPA is to market and deliver reliable, cost-based </w:t>
      </w:r>
      <w:r w:rsidR="00C643A2">
        <w:t>F</w:t>
      </w:r>
      <w:r w:rsidR="00C643A2" w:rsidRPr="00AF0C81">
        <w:t xml:space="preserve">ederal </w:t>
      </w:r>
      <w:r w:rsidRPr="00AF0C81">
        <w:t xml:space="preserve">hydroelectric power and provide related services throughout the </w:t>
      </w:r>
      <w:r w:rsidR="00C643A2">
        <w:t>s</w:t>
      </w:r>
      <w:r w:rsidR="00C643A2" w:rsidRPr="00AF0C81">
        <w:t xml:space="preserve">outheastern </w:t>
      </w:r>
      <w:r w:rsidRPr="00AF0C81">
        <w:t xml:space="preserve">United States.  (SEPA website:  </w:t>
      </w:r>
      <w:hyperlink r:id="rId20" w:history="1">
        <w:r w:rsidRPr="00AF0C81">
          <w:rPr>
            <w:rStyle w:val="Hyperlink"/>
          </w:rPr>
          <w:t>http://www.sepa.doe.gov/</w:t>
        </w:r>
      </w:hyperlink>
      <w:r w:rsidRPr="00AF0C81">
        <w:t>)</w:t>
      </w:r>
    </w:p>
    <w:tbl>
      <w:tblPr>
        <w:tblW w:w="86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7"/>
        <w:gridCol w:w="2520"/>
        <w:gridCol w:w="3453"/>
      </w:tblGrid>
      <w:tr w:rsidR="00321EAB" w:rsidRPr="00AF0C81" w:rsidTr="00577A74">
        <w:trPr>
          <w:trHeight w:val="300"/>
        </w:trPr>
        <w:tc>
          <w:tcPr>
            <w:tcW w:w="2667" w:type="dxa"/>
            <w:shd w:val="clear" w:color="DBE5F1" w:fill="DBE5F1"/>
            <w:vAlign w:val="bottom"/>
            <w:hideMark/>
          </w:tcPr>
          <w:p w:rsidR="00321EAB" w:rsidRPr="00AF0C81" w:rsidRDefault="00321EAB" w:rsidP="00321EAB">
            <w:pPr>
              <w:spacing w:after="0" w:line="240" w:lineRule="auto"/>
              <w:rPr>
                <w:rFonts w:eastAsia="Times New Roman" w:cs="Times New Roman"/>
                <w:b/>
                <w:bCs/>
                <w:color w:val="000000"/>
              </w:rPr>
            </w:pPr>
            <w:r w:rsidRPr="00AF0C81">
              <w:rPr>
                <w:rFonts w:eastAsia="Times New Roman" w:cs="Times New Roman"/>
                <w:b/>
                <w:bCs/>
                <w:color w:val="000000"/>
              </w:rPr>
              <w:t>Strategic Goal</w:t>
            </w:r>
          </w:p>
        </w:tc>
        <w:tc>
          <w:tcPr>
            <w:tcW w:w="2520" w:type="dxa"/>
            <w:shd w:val="clear" w:color="DBE5F1" w:fill="DBE5F1"/>
            <w:vAlign w:val="bottom"/>
            <w:hideMark/>
          </w:tcPr>
          <w:p w:rsidR="00321EAB" w:rsidRPr="00AF0C81" w:rsidRDefault="00321EAB" w:rsidP="00321EAB">
            <w:pPr>
              <w:spacing w:after="0" w:line="240" w:lineRule="auto"/>
              <w:rPr>
                <w:rFonts w:eastAsia="Times New Roman" w:cs="Times New Roman"/>
                <w:b/>
                <w:bCs/>
                <w:color w:val="000000"/>
              </w:rPr>
            </w:pPr>
            <w:r w:rsidRPr="00AF0C81">
              <w:rPr>
                <w:rFonts w:eastAsia="Times New Roman" w:cs="Times New Roman"/>
                <w:b/>
                <w:bCs/>
                <w:color w:val="000000"/>
              </w:rPr>
              <w:t>Strategic Objective</w:t>
            </w:r>
          </w:p>
        </w:tc>
        <w:tc>
          <w:tcPr>
            <w:tcW w:w="3453" w:type="dxa"/>
            <w:shd w:val="clear" w:color="DBE5F1" w:fill="DBE5F1"/>
            <w:vAlign w:val="bottom"/>
            <w:hideMark/>
          </w:tcPr>
          <w:p w:rsidR="00321EAB" w:rsidRPr="00AF0C81" w:rsidRDefault="00D60611" w:rsidP="00321EAB">
            <w:pPr>
              <w:spacing w:after="0" w:line="240" w:lineRule="auto"/>
              <w:rPr>
                <w:rFonts w:eastAsia="Times New Roman" w:cs="Times New Roman"/>
                <w:b/>
                <w:bCs/>
                <w:color w:val="000000"/>
              </w:rPr>
            </w:pPr>
            <w:r w:rsidRPr="00AF0C81">
              <w:rPr>
                <w:rFonts w:eastAsia="Times New Roman" w:cs="Times New Roman"/>
                <w:b/>
                <w:bCs/>
                <w:color w:val="000000"/>
              </w:rPr>
              <w:t>Programs</w:t>
            </w:r>
          </w:p>
        </w:tc>
      </w:tr>
      <w:tr w:rsidR="00321EAB" w:rsidRPr="00AF0C81" w:rsidTr="00577A74">
        <w:trPr>
          <w:trHeight w:val="300"/>
        </w:trPr>
        <w:tc>
          <w:tcPr>
            <w:tcW w:w="2667" w:type="dxa"/>
            <w:shd w:val="clear" w:color="auto" w:fill="auto"/>
            <w:hideMark/>
          </w:tcPr>
          <w:p w:rsidR="00321EAB" w:rsidRPr="00AF0C81" w:rsidRDefault="00321EAB" w:rsidP="00321EAB">
            <w:pPr>
              <w:spacing w:after="0" w:line="240" w:lineRule="auto"/>
              <w:rPr>
                <w:rFonts w:eastAsia="Times New Roman" w:cs="Times New Roman"/>
                <w:b/>
                <w:bCs/>
                <w:color w:val="000000"/>
              </w:rPr>
            </w:pPr>
            <w:r w:rsidRPr="00AF0C81">
              <w:rPr>
                <w:rFonts w:eastAsia="Times New Roman" w:cs="Times New Roman"/>
                <w:b/>
                <w:bCs/>
                <w:color w:val="000000"/>
              </w:rPr>
              <w:t xml:space="preserve">1. Transform Our Energy Systems:  </w:t>
            </w:r>
            <w:r w:rsidRPr="00AF0C81">
              <w:rPr>
                <w:rFonts w:eastAsia="Times New Roman" w:cs="Times New Roman"/>
                <w:color w:val="000000"/>
              </w:rPr>
              <w:t>Catalyze the timely, material, and efficient transformation of the Nation’s energy system and secure U.S. leadership in clean energy technologies</w:t>
            </w:r>
          </w:p>
        </w:tc>
        <w:tc>
          <w:tcPr>
            <w:tcW w:w="2520" w:type="dxa"/>
            <w:shd w:val="clear" w:color="auto" w:fill="auto"/>
            <w:hideMark/>
          </w:tcPr>
          <w:p w:rsidR="00321EAB" w:rsidRPr="00AF0C81" w:rsidRDefault="00321EAB" w:rsidP="00321EAB">
            <w:pPr>
              <w:spacing w:after="0" w:line="240" w:lineRule="auto"/>
              <w:rPr>
                <w:rFonts w:eastAsia="Times New Roman" w:cs="Times New Roman"/>
                <w:b/>
                <w:bCs/>
                <w:color w:val="000000"/>
              </w:rPr>
            </w:pPr>
            <w:r w:rsidRPr="00AF0C81">
              <w:rPr>
                <w:rFonts w:eastAsia="Times New Roman" w:cs="Times New Roman"/>
                <w:b/>
                <w:bCs/>
                <w:color w:val="000000"/>
              </w:rPr>
              <w:t>1A. Deploy the Technologies We Have</w:t>
            </w:r>
          </w:p>
        </w:tc>
        <w:tc>
          <w:tcPr>
            <w:tcW w:w="3453" w:type="dxa"/>
            <w:shd w:val="clear" w:color="auto" w:fill="auto"/>
            <w:hideMark/>
          </w:tcPr>
          <w:p w:rsidR="00321EAB" w:rsidRPr="00AF0C81" w:rsidRDefault="00321EAB" w:rsidP="00321EAB">
            <w:pPr>
              <w:spacing w:after="0" w:line="240" w:lineRule="auto"/>
              <w:rPr>
                <w:rFonts w:eastAsia="Times New Roman" w:cs="Times New Roman"/>
                <w:color w:val="000000"/>
              </w:rPr>
            </w:pPr>
            <w:r w:rsidRPr="00AF0C81">
              <w:rPr>
                <w:rFonts w:eastAsia="Times New Roman" w:cs="Times New Roman"/>
                <w:color w:val="000000"/>
              </w:rPr>
              <w:t>Southeastern Power Administration</w:t>
            </w:r>
            <w:r w:rsidR="00413EB0" w:rsidRPr="00AF0C81">
              <w:rPr>
                <w:rFonts w:eastAsia="Times New Roman" w:cs="Times New Roman"/>
                <w:color w:val="000000"/>
              </w:rPr>
              <w:t xml:space="preserve"> </w:t>
            </w:r>
          </w:p>
        </w:tc>
      </w:tr>
    </w:tbl>
    <w:p w:rsidR="0054380B" w:rsidRDefault="0054380B" w:rsidP="0054380B">
      <w:pPr>
        <w:spacing w:after="0"/>
      </w:pPr>
    </w:p>
    <w:p w:rsidR="000870A6" w:rsidRPr="00AF0C81" w:rsidRDefault="000870A6" w:rsidP="0054380B">
      <w:pPr>
        <w:spacing w:after="0"/>
      </w:pPr>
    </w:p>
    <w:p w:rsidR="0054380B" w:rsidRPr="00AF0C81" w:rsidRDefault="0054380B" w:rsidP="0054380B">
      <w:pPr>
        <w:pStyle w:val="Heading1"/>
        <w:spacing w:before="0"/>
        <w:rPr>
          <w:rFonts w:asciiTheme="minorHAnsi" w:hAnsiTheme="minorHAnsi"/>
          <w:color w:val="17365D" w:themeColor="text2" w:themeShade="BF"/>
          <w:sz w:val="22"/>
          <w:szCs w:val="22"/>
        </w:rPr>
      </w:pPr>
      <w:bookmarkStart w:id="81" w:name="_Southwestern_Power_Administration"/>
      <w:bookmarkStart w:id="82" w:name="_Toc347929426"/>
      <w:bookmarkStart w:id="83" w:name="_Toc352758984"/>
      <w:bookmarkStart w:id="84" w:name="_Toc357755934"/>
      <w:bookmarkStart w:id="85" w:name="_Toc357763465"/>
      <w:bookmarkEnd w:id="81"/>
      <w:r w:rsidRPr="00AF0C81">
        <w:rPr>
          <w:rStyle w:val="Hyperlink"/>
          <w:color w:val="17365D" w:themeColor="text2" w:themeShade="BF"/>
          <w:sz w:val="22"/>
          <w:szCs w:val="22"/>
        </w:rPr>
        <w:t>Southwestern Power Administration (SWPA)</w:t>
      </w:r>
      <w:bookmarkEnd w:id="82"/>
      <w:bookmarkEnd w:id="83"/>
      <w:bookmarkEnd w:id="84"/>
      <w:bookmarkEnd w:id="85"/>
    </w:p>
    <w:tbl>
      <w:tblPr>
        <w:tblStyle w:val="LightShading1"/>
        <w:tblW w:w="0" w:type="auto"/>
        <w:tblInd w:w="468" w:type="dxa"/>
        <w:tblLook w:val="04A0"/>
      </w:tblPr>
      <w:tblGrid>
        <w:gridCol w:w="2724"/>
        <w:gridCol w:w="3192"/>
        <w:gridCol w:w="2724"/>
      </w:tblGrid>
      <w:tr w:rsidR="003560BA" w:rsidRPr="00AF0C81" w:rsidTr="003560BA">
        <w:trPr>
          <w:cnfStyle w:val="100000000000"/>
        </w:trPr>
        <w:tc>
          <w:tcPr>
            <w:cnfStyle w:val="001000000000"/>
            <w:tcW w:w="8640" w:type="dxa"/>
            <w:gridSpan w:val="3"/>
          </w:tcPr>
          <w:p w:rsidR="003560BA" w:rsidRPr="00AF0C81" w:rsidRDefault="003560BA" w:rsidP="003560BA">
            <w:pPr>
              <w:jc w:val="center"/>
            </w:pPr>
            <w:r w:rsidRPr="00AF0C81">
              <w:t>Total Budget Authority (in millions of dollars)</w:t>
            </w:r>
          </w:p>
        </w:tc>
      </w:tr>
      <w:tr w:rsidR="003560BA" w:rsidRPr="00AF0C81" w:rsidTr="003560BA">
        <w:trPr>
          <w:cnfStyle w:val="000000100000"/>
        </w:trPr>
        <w:tc>
          <w:tcPr>
            <w:cnfStyle w:val="001000000000"/>
            <w:tcW w:w="2724" w:type="dxa"/>
          </w:tcPr>
          <w:p w:rsidR="003560BA" w:rsidRPr="00AF0C81" w:rsidRDefault="003560BA" w:rsidP="003560BA">
            <w:pPr>
              <w:jc w:val="center"/>
            </w:pPr>
            <w:r w:rsidRPr="00AF0C81">
              <w:t>FY 2012 actual</w:t>
            </w:r>
          </w:p>
        </w:tc>
        <w:tc>
          <w:tcPr>
            <w:tcW w:w="3192" w:type="dxa"/>
          </w:tcPr>
          <w:p w:rsidR="003560BA" w:rsidRPr="00AF0C81" w:rsidRDefault="003560BA" w:rsidP="00E03254">
            <w:pPr>
              <w:jc w:val="center"/>
              <w:cnfStyle w:val="000000100000"/>
              <w:rPr>
                <w:b/>
              </w:rPr>
            </w:pPr>
            <w:r w:rsidRPr="00AF0C81">
              <w:rPr>
                <w:b/>
              </w:rPr>
              <w:t xml:space="preserve">FY 2013 </w:t>
            </w:r>
            <w:r w:rsidR="00E03254">
              <w:rPr>
                <w:b/>
              </w:rPr>
              <w:t>CR</w:t>
            </w:r>
          </w:p>
        </w:tc>
        <w:tc>
          <w:tcPr>
            <w:tcW w:w="2724" w:type="dxa"/>
          </w:tcPr>
          <w:p w:rsidR="003560BA" w:rsidRPr="00AF0C81" w:rsidRDefault="003560BA" w:rsidP="003560BA">
            <w:pPr>
              <w:jc w:val="center"/>
              <w:cnfStyle w:val="000000100000"/>
              <w:rPr>
                <w:b/>
              </w:rPr>
            </w:pPr>
            <w:r w:rsidRPr="00AF0C81">
              <w:rPr>
                <w:b/>
              </w:rPr>
              <w:t>FY 2014 est.</w:t>
            </w:r>
          </w:p>
        </w:tc>
      </w:tr>
      <w:tr w:rsidR="003560BA" w:rsidRPr="00AF0C81" w:rsidTr="003560BA">
        <w:tc>
          <w:tcPr>
            <w:cnfStyle w:val="001000000000"/>
            <w:tcW w:w="2724" w:type="dxa"/>
          </w:tcPr>
          <w:p w:rsidR="003560BA" w:rsidRPr="00AF0C81" w:rsidRDefault="00CB1A4A" w:rsidP="003560BA">
            <w:pPr>
              <w:jc w:val="center"/>
            </w:pPr>
            <w:r>
              <w:rPr>
                <w:b w:val="0"/>
              </w:rPr>
              <w:t>11.9</w:t>
            </w:r>
          </w:p>
        </w:tc>
        <w:tc>
          <w:tcPr>
            <w:tcW w:w="3192" w:type="dxa"/>
          </w:tcPr>
          <w:p w:rsidR="003560BA" w:rsidRPr="00AF0C81" w:rsidRDefault="00CB1A4A" w:rsidP="003560BA">
            <w:pPr>
              <w:jc w:val="center"/>
              <w:cnfStyle w:val="000000000000"/>
            </w:pPr>
            <w:r>
              <w:t>12.0</w:t>
            </w:r>
          </w:p>
        </w:tc>
        <w:tc>
          <w:tcPr>
            <w:tcW w:w="2724" w:type="dxa"/>
          </w:tcPr>
          <w:p w:rsidR="003560BA" w:rsidRPr="00AF0C81" w:rsidRDefault="0047001E" w:rsidP="0047001E">
            <w:pPr>
              <w:jc w:val="center"/>
              <w:cnfStyle w:val="000000000000"/>
            </w:pPr>
            <w:r>
              <w:t>11.9</w:t>
            </w:r>
          </w:p>
        </w:tc>
      </w:tr>
    </w:tbl>
    <w:p w:rsidR="003560BA" w:rsidRPr="00AF0C81" w:rsidRDefault="003560BA" w:rsidP="0054380B">
      <w:pPr>
        <w:autoSpaceDE w:val="0"/>
        <w:autoSpaceDN w:val="0"/>
        <w:adjustRightInd w:val="0"/>
        <w:spacing w:after="0" w:line="240" w:lineRule="auto"/>
        <w:rPr>
          <w:rFonts w:cs="Helvetica"/>
        </w:rPr>
      </w:pPr>
    </w:p>
    <w:p w:rsidR="0054380B" w:rsidRPr="00AF0C81" w:rsidRDefault="0054380B" w:rsidP="0054380B">
      <w:pPr>
        <w:autoSpaceDE w:val="0"/>
        <w:autoSpaceDN w:val="0"/>
        <w:adjustRightInd w:val="0"/>
        <w:spacing w:after="0" w:line="240" w:lineRule="auto"/>
      </w:pPr>
      <w:r w:rsidRPr="00AF0C81">
        <w:rPr>
          <w:rFonts w:cs="Helvetica"/>
        </w:rPr>
        <w:t xml:space="preserve">The mission of SWPA is to </w:t>
      </w:r>
      <w:r w:rsidR="00C643A2" w:rsidRPr="00C643A2">
        <w:rPr>
          <w:rFonts w:cs="Helvetica"/>
        </w:rPr>
        <w:t xml:space="preserve">market and deliver reliable, cost-based </w:t>
      </w:r>
      <w:r w:rsidR="00C643A2">
        <w:rPr>
          <w:rFonts w:cs="Helvetica"/>
        </w:rPr>
        <w:t>F</w:t>
      </w:r>
      <w:r w:rsidR="00C643A2" w:rsidRPr="00C643A2">
        <w:rPr>
          <w:rFonts w:cs="Helvetica"/>
        </w:rPr>
        <w:t xml:space="preserve">ederal hydroelectric power and provide related services throughout the </w:t>
      </w:r>
      <w:r w:rsidR="00C643A2">
        <w:rPr>
          <w:rFonts w:cs="Helvetica"/>
        </w:rPr>
        <w:t>south</w:t>
      </w:r>
      <w:r w:rsidR="00C643A2" w:rsidRPr="00C643A2">
        <w:rPr>
          <w:rFonts w:cs="Helvetica"/>
        </w:rPr>
        <w:t>western United States</w:t>
      </w:r>
      <w:r w:rsidRPr="00AF0C81">
        <w:rPr>
          <w:rFonts w:cs="Helvetica"/>
        </w:rPr>
        <w:t xml:space="preserve">.  (SWPA website: </w:t>
      </w:r>
      <w:hyperlink r:id="rId21" w:history="1">
        <w:r w:rsidRPr="00AF0C81">
          <w:rPr>
            <w:rStyle w:val="Hyperlink"/>
          </w:rPr>
          <w:t>http://www.swpa.gov/</w:t>
        </w:r>
      </w:hyperlink>
      <w:r w:rsidRPr="00AF0C81">
        <w:t>)</w:t>
      </w:r>
    </w:p>
    <w:tbl>
      <w:tblPr>
        <w:tblW w:w="86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7"/>
        <w:gridCol w:w="2520"/>
        <w:gridCol w:w="3453"/>
      </w:tblGrid>
      <w:tr w:rsidR="00321EAB" w:rsidRPr="00AF0C81" w:rsidTr="00577A74">
        <w:trPr>
          <w:trHeight w:val="300"/>
        </w:trPr>
        <w:tc>
          <w:tcPr>
            <w:tcW w:w="2667" w:type="dxa"/>
            <w:shd w:val="clear" w:color="DBE5F1" w:fill="DBE5F1"/>
            <w:vAlign w:val="bottom"/>
            <w:hideMark/>
          </w:tcPr>
          <w:p w:rsidR="00321EAB" w:rsidRPr="00AF0C81" w:rsidRDefault="00321EAB" w:rsidP="00321EAB">
            <w:pPr>
              <w:spacing w:after="0" w:line="240" w:lineRule="auto"/>
              <w:rPr>
                <w:rFonts w:eastAsia="Times New Roman" w:cs="Times New Roman"/>
                <w:b/>
                <w:bCs/>
                <w:color w:val="000000"/>
              </w:rPr>
            </w:pPr>
            <w:r w:rsidRPr="00AF0C81">
              <w:rPr>
                <w:rFonts w:eastAsia="Times New Roman" w:cs="Times New Roman"/>
                <w:b/>
                <w:bCs/>
                <w:color w:val="000000"/>
              </w:rPr>
              <w:t>Strategic Goal</w:t>
            </w:r>
          </w:p>
        </w:tc>
        <w:tc>
          <w:tcPr>
            <w:tcW w:w="2520" w:type="dxa"/>
            <w:shd w:val="clear" w:color="DBE5F1" w:fill="DBE5F1"/>
            <w:vAlign w:val="bottom"/>
            <w:hideMark/>
          </w:tcPr>
          <w:p w:rsidR="00321EAB" w:rsidRPr="00AF0C81" w:rsidRDefault="00321EAB" w:rsidP="00321EAB">
            <w:pPr>
              <w:spacing w:after="0" w:line="240" w:lineRule="auto"/>
              <w:rPr>
                <w:rFonts w:eastAsia="Times New Roman" w:cs="Times New Roman"/>
                <w:b/>
                <w:bCs/>
                <w:color w:val="000000"/>
              </w:rPr>
            </w:pPr>
            <w:r w:rsidRPr="00AF0C81">
              <w:rPr>
                <w:rFonts w:eastAsia="Times New Roman" w:cs="Times New Roman"/>
                <w:b/>
                <w:bCs/>
                <w:color w:val="000000"/>
              </w:rPr>
              <w:t>Strategic Objective</w:t>
            </w:r>
          </w:p>
        </w:tc>
        <w:tc>
          <w:tcPr>
            <w:tcW w:w="3453" w:type="dxa"/>
            <w:shd w:val="clear" w:color="DBE5F1" w:fill="DBE5F1"/>
            <w:vAlign w:val="bottom"/>
            <w:hideMark/>
          </w:tcPr>
          <w:p w:rsidR="00321EAB" w:rsidRPr="00AF0C81" w:rsidRDefault="00D60611" w:rsidP="00321EAB">
            <w:pPr>
              <w:spacing w:after="0" w:line="240" w:lineRule="auto"/>
              <w:rPr>
                <w:rFonts w:eastAsia="Times New Roman" w:cs="Times New Roman"/>
                <w:b/>
                <w:bCs/>
                <w:color w:val="000000"/>
              </w:rPr>
            </w:pPr>
            <w:r w:rsidRPr="00AF0C81">
              <w:rPr>
                <w:rFonts w:eastAsia="Times New Roman" w:cs="Times New Roman"/>
                <w:b/>
                <w:bCs/>
                <w:color w:val="000000"/>
              </w:rPr>
              <w:t>Programs</w:t>
            </w:r>
          </w:p>
        </w:tc>
      </w:tr>
      <w:tr w:rsidR="00321EAB" w:rsidRPr="00AF0C81" w:rsidTr="00577A74">
        <w:trPr>
          <w:trHeight w:val="300"/>
        </w:trPr>
        <w:tc>
          <w:tcPr>
            <w:tcW w:w="2667" w:type="dxa"/>
            <w:shd w:val="clear" w:color="auto" w:fill="auto"/>
            <w:hideMark/>
          </w:tcPr>
          <w:p w:rsidR="00321EAB" w:rsidRPr="00AF0C81" w:rsidRDefault="00321EAB" w:rsidP="00321EAB">
            <w:pPr>
              <w:spacing w:after="0" w:line="240" w:lineRule="auto"/>
              <w:rPr>
                <w:rFonts w:eastAsia="Times New Roman" w:cs="Times New Roman"/>
                <w:b/>
                <w:bCs/>
                <w:color w:val="000000"/>
              </w:rPr>
            </w:pPr>
            <w:r w:rsidRPr="00AF0C81">
              <w:rPr>
                <w:rFonts w:eastAsia="Times New Roman" w:cs="Times New Roman"/>
                <w:b/>
                <w:bCs/>
                <w:color w:val="000000"/>
              </w:rPr>
              <w:t xml:space="preserve">1. Transform Our Energy Systems:  </w:t>
            </w:r>
            <w:r w:rsidRPr="00AF0C81">
              <w:rPr>
                <w:rFonts w:eastAsia="Times New Roman" w:cs="Times New Roman"/>
                <w:color w:val="000000"/>
              </w:rPr>
              <w:t>Catalyze the timely, material, and efficient transformation of the Nation’s energy system and secure U.S. leadership in clean energy technologies</w:t>
            </w:r>
          </w:p>
        </w:tc>
        <w:tc>
          <w:tcPr>
            <w:tcW w:w="2520" w:type="dxa"/>
            <w:shd w:val="clear" w:color="auto" w:fill="auto"/>
            <w:hideMark/>
          </w:tcPr>
          <w:p w:rsidR="00321EAB" w:rsidRPr="00AF0C81" w:rsidRDefault="00321EAB" w:rsidP="00321EAB">
            <w:pPr>
              <w:spacing w:after="0" w:line="240" w:lineRule="auto"/>
              <w:rPr>
                <w:rFonts w:eastAsia="Times New Roman" w:cs="Times New Roman"/>
                <w:b/>
                <w:bCs/>
                <w:color w:val="000000"/>
              </w:rPr>
            </w:pPr>
            <w:r w:rsidRPr="00AF0C81">
              <w:rPr>
                <w:rFonts w:eastAsia="Times New Roman" w:cs="Times New Roman"/>
                <w:b/>
                <w:bCs/>
                <w:color w:val="000000"/>
              </w:rPr>
              <w:t>1A. Deploy the Technologies We Have</w:t>
            </w:r>
          </w:p>
        </w:tc>
        <w:tc>
          <w:tcPr>
            <w:tcW w:w="3453" w:type="dxa"/>
            <w:shd w:val="clear" w:color="auto" w:fill="auto"/>
            <w:hideMark/>
          </w:tcPr>
          <w:p w:rsidR="00321EAB" w:rsidRPr="00AF0C81" w:rsidRDefault="00321EAB" w:rsidP="00321EAB">
            <w:pPr>
              <w:spacing w:after="0" w:line="240" w:lineRule="auto"/>
              <w:rPr>
                <w:rFonts w:eastAsia="Times New Roman" w:cs="Times New Roman"/>
                <w:color w:val="000000"/>
              </w:rPr>
            </w:pPr>
            <w:r w:rsidRPr="00AF0C81">
              <w:rPr>
                <w:rFonts w:eastAsia="Times New Roman" w:cs="Times New Roman"/>
                <w:color w:val="000000"/>
              </w:rPr>
              <w:t>Southwestern Power Administration</w:t>
            </w:r>
            <w:r w:rsidR="00413EB0" w:rsidRPr="00AF0C81">
              <w:rPr>
                <w:rFonts w:eastAsia="Times New Roman" w:cs="Times New Roman"/>
                <w:color w:val="000000"/>
              </w:rPr>
              <w:t xml:space="preserve"> </w:t>
            </w:r>
          </w:p>
        </w:tc>
      </w:tr>
    </w:tbl>
    <w:p w:rsidR="0054380B" w:rsidRDefault="0054380B" w:rsidP="0054380B">
      <w:pPr>
        <w:autoSpaceDE w:val="0"/>
        <w:autoSpaceDN w:val="0"/>
        <w:adjustRightInd w:val="0"/>
        <w:spacing w:after="0" w:line="240" w:lineRule="auto"/>
        <w:rPr>
          <w:rFonts w:cs="Helvetica"/>
        </w:rPr>
      </w:pPr>
    </w:p>
    <w:p w:rsidR="000870A6" w:rsidRPr="00AF0C81" w:rsidRDefault="000870A6" w:rsidP="0054380B">
      <w:pPr>
        <w:autoSpaceDE w:val="0"/>
        <w:autoSpaceDN w:val="0"/>
        <w:adjustRightInd w:val="0"/>
        <w:spacing w:after="0" w:line="240" w:lineRule="auto"/>
        <w:rPr>
          <w:rFonts w:cs="Helvetica"/>
        </w:rPr>
      </w:pPr>
    </w:p>
    <w:p w:rsidR="0054380B" w:rsidRPr="00AF0C81" w:rsidRDefault="0054380B" w:rsidP="0054380B">
      <w:pPr>
        <w:pStyle w:val="Heading1"/>
        <w:spacing w:before="0"/>
        <w:rPr>
          <w:rStyle w:val="Hyperlink"/>
          <w:color w:val="17365D" w:themeColor="text2" w:themeShade="BF"/>
          <w:sz w:val="22"/>
          <w:szCs w:val="22"/>
        </w:rPr>
      </w:pPr>
      <w:bookmarkStart w:id="86" w:name="_Western_Area_Power"/>
      <w:bookmarkStart w:id="87" w:name="_Toc347929427"/>
      <w:bookmarkStart w:id="88" w:name="_Toc352758985"/>
      <w:bookmarkStart w:id="89" w:name="_Toc357755935"/>
      <w:bookmarkStart w:id="90" w:name="_Toc357763466"/>
      <w:bookmarkEnd w:id="86"/>
      <w:r w:rsidRPr="00AF0C81">
        <w:rPr>
          <w:rStyle w:val="Hyperlink"/>
          <w:color w:val="17365D" w:themeColor="text2" w:themeShade="BF"/>
          <w:sz w:val="22"/>
          <w:szCs w:val="22"/>
        </w:rPr>
        <w:t>Western Area Power Administration (WAPA)</w:t>
      </w:r>
      <w:bookmarkEnd w:id="87"/>
      <w:bookmarkEnd w:id="88"/>
      <w:bookmarkEnd w:id="89"/>
      <w:bookmarkEnd w:id="90"/>
      <w:r w:rsidRPr="00AF0C81">
        <w:rPr>
          <w:rStyle w:val="Hyperlink"/>
          <w:color w:val="17365D" w:themeColor="text2" w:themeShade="BF"/>
          <w:sz w:val="22"/>
          <w:szCs w:val="22"/>
        </w:rPr>
        <w:t xml:space="preserve"> </w:t>
      </w:r>
    </w:p>
    <w:tbl>
      <w:tblPr>
        <w:tblStyle w:val="LightShading1"/>
        <w:tblW w:w="0" w:type="auto"/>
        <w:tblInd w:w="468" w:type="dxa"/>
        <w:tblLook w:val="04A0"/>
      </w:tblPr>
      <w:tblGrid>
        <w:gridCol w:w="2724"/>
        <w:gridCol w:w="3192"/>
        <w:gridCol w:w="2724"/>
      </w:tblGrid>
      <w:tr w:rsidR="003560BA" w:rsidRPr="00AF0C81" w:rsidTr="003560BA">
        <w:trPr>
          <w:cnfStyle w:val="100000000000"/>
        </w:trPr>
        <w:tc>
          <w:tcPr>
            <w:cnfStyle w:val="001000000000"/>
            <w:tcW w:w="8640" w:type="dxa"/>
            <w:gridSpan w:val="3"/>
          </w:tcPr>
          <w:p w:rsidR="003560BA" w:rsidRPr="00AF0C81" w:rsidRDefault="003560BA" w:rsidP="003560BA">
            <w:pPr>
              <w:jc w:val="center"/>
            </w:pPr>
            <w:r w:rsidRPr="00AF0C81">
              <w:tab/>
              <w:t>Total Budget Authority (in millions of dollars)</w:t>
            </w:r>
          </w:p>
        </w:tc>
      </w:tr>
      <w:tr w:rsidR="003560BA" w:rsidRPr="00AF0C81" w:rsidTr="003560BA">
        <w:trPr>
          <w:cnfStyle w:val="000000100000"/>
        </w:trPr>
        <w:tc>
          <w:tcPr>
            <w:cnfStyle w:val="001000000000"/>
            <w:tcW w:w="2724" w:type="dxa"/>
          </w:tcPr>
          <w:p w:rsidR="003560BA" w:rsidRPr="00AF0C81" w:rsidRDefault="003560BA" w:rsidP="003560BA">
            <w:pPr>
              <w:jc w:val="center"/>
            </w:pPr>
            <w:r w:rsidRPr="00AF0C81">
              <w:t>FY 2012 actual</w:t>
            </w:r>
          </w:p>
        </w:tc>
        <w:tc>
          <w:tcPr>
            <w:tcW w:w="3192" w:type="dxa"/>
          </w:tcPr>
          <w:p w:rsidR="003560BA" w:rsidRPr="00AF0C81" w:rsidRDefault="003560BA" w:rsidP="00E03254">
            <w:pPr>
              <w:jc w:val="center"/>
              <w:cnfStyle w:val="000000100000"/>
              <w:rPr>
                <w:b/>
              </w:rPr>
            </w:pPr>
            <w:r w:rsidRPr="00AF0C81">
              <w:rPr>
                <w:b/>
              </w:rPr>
              <w:t xml:space="preserve">FY 2013 </w:t>
            </w:r>
            <w:r w:rsidR="00E03254">
              <w:rPr>
                <w:b/>
              </w:rPr>
              <w:t>CR</w:t>
            </w:r>
          </w:p>
        </w:tc>
        <w:tc>
          <w:tcPr>
            <w:tcW w:w="2724" w:type="dxa"/>
          </w:tcPr>
          <w:p w:rsidR="003560BA" w:rsidRPr="00AF0C81" w:rsidRDefault="003560BA" w:rsidP="003560BA">
            <w:pPr>
              <w:jc w:val="center"/>
              <w:cnfStyle w:val="000000100000"/>
              <w:rPr>
                <w:b/>
              </w:rPr>
            </w:pPr>
            <w:r w:rsidRPr="00AF0C81">
              <w:rPr>
                <w:b/>
              </w:rPr>
              <w:t>FY 2014 est.</w:t>
            </w:r>
          </w:p>
        </w:tc>
      </w:tr>
      <w:tr w:rsidR="003560BA" w:rsidRPr="00AF0C81" w:rsidTr="003560BA">
        <w:tc>
          <w:tcPr>
            <w:cnfStyle w:val="001000000000"/>
            <w:tcW w:w="2724" w:type="dxa"/>
          </w:tcPr>
          <w:p w:rsidR="003560BA" w:rsidRPr="00AF0C81" w:rsidRDefault="00CB1A4A" w:rsidP="003560BA">
            <w:pPr>
              <w:jc w:val="center"/>
            </w:pPr>
            <w:r>
              <w:rPr>
                <w:b w:val="0"/>
              </w:rPr>
              <w:t>96.0</w:t>
            </w:r>
          </w:p>
        </w:tc>
        <w:tc>
          <w:tcPr>
            <w:tcW w:w="3192" w:type="dxa"/>
          </w:tcPr>
          <w:p w:rsidR="003560BA" w:rsidRPr="00AF0C81" w:rsidRDefault="00CB1A4A" w:rsidP="003560BA">
            <w:pPr>
              <w:jc w:val="center"/>
              <w:cnfStyle w:val="000000000000"/>
            </w:pPr>
            <w:r>
              <w:t>96.6</w:t>
            </w:r>
          </w:p>
        </w:tc>
        <w:tc>
          <w:tcPr>
            <w:tcW w:w="2724" w:type="dxa"/>
          </w:tcPr>
          <w:p w:rsidR="003560BA" w:rsidRPr="00AF0C81" w:rsidRDefault="00CB1A4A" w:rsidP="003560BA">
            <w:pPr>
              <w:jc w:val="center"/>
              <w:cnfStyle w:val="000000000000"/>
            </w:pPr>
            <w:r>
              <w:t>95.9</w:t>
            </w:r>
          </w:p>
        </w:tc>
      </w:tr>
    </w:tbl>
    <w:p w:rsidR="003560BA" w:rsidRPr="00AF0C81" w:rsidRDefault="003560BA" w:rsidP="0054380B">
      <w:pPr>
        <w:spacing w:after="0"/>
      </w:pPr>
    </w:p>
    <w:p w:rsidR="0054380B" w:rsidRPr="00AF0C81" w:rsidRDefault="0054380B" w:rsidP="0054380B">
      <w:pPr>
        <w:spacing w:after="0"/>
      </w:pPr>
      <w:r w:rsidRPr="00AF0C81">
        <w:t xml:space="preserve">The mission of WAPA is to market and deliver reliable, cost-based </w:t>
      </w:r>
      <w:r w:rsidR="00C643A2">
        <w:t>F</w:t>
      </w:r>
      <w:r w:rsidR="00C643A2" w:rsidRPr="00AF0C81">
        <w:t xml:space="preserve">ederal </w:t>
      </w:r>
      <w:r w:rsidRPr="00AF0C81">
        <w:t xml:space="preserve">hydroelectric power and provide related services throughout the central and western United States.  (WAPA website:  </w:t>
      </w:r>
      <w:hyperlink r:id="rId22" w:history="1">
        <w:r w:rsidRPr="00AF0C81">
          <w:rPr>
            <w:rStyle w:val="Hyperlink"/>
          </w:rPr>
          <w:t>http://ww2.wapa.gov/sites/western/Pages/default.aspx</w:t>
        </w:r>
      </w:hyperlink>
      <w:r w:rsidRPr="00AF0C81">
        <w:t>)</w:t>
      </w:r>
    </w:p>
    <w:tbl>
      <w:tblPr>
        <w:tblW w:w="86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7"/>
        <w:gridCol w:w="2520"/>
        <w:gridCol w:w="3453"/>
      </w:tblGrid>
      <w:tr w:rsidR="00321EAB" w:rsidRPr="00AF0C81" w:rsidTr="00577A74">
        <w:trPr>
          <w:trHeight w:val="300"/>
        </w:trPr>
        <w:tc>
          <w:tcPr>
            <w:tcW w:w="2667" w:type="dxa"/>
            <w:shd w:val="clear" w:color="DBE5F1" w:fill="DBE5F1"/>
            <w:vAlign w:val="bottom"/>
            <w:hideMark/>
          </w:tcPr>
          <w:p w:rsidR="00321EAB" w:rsidRPr="00AF0C81" w:rsidRDefault="00321EAB" w:rsidP="00321EAB">
            <w:pPr>
              <w:spacing w:after="0" w:line="240" w:lineRule="auto"/>
              <w:rPr>
                <w:rFonts w:eastAsia="Times New Roman" w:cs="Times New Roman"/>
                <w:b/>
                <w:bCs/>
                <w:color w:val="000000"/>
              </w:rPr>
            </w:pPr>
            <w:bookmarkStart w:id="91" w:name="_Loan_Programs_Office"/>
            <w:bookmarkEnd w:id="91"/>
            <w:r w:rsidRPr="00AF0C81">
              <w:rPr>
                <w:rFonts w:eastAsia="Times New Roman" w:cs="Times New Roman"/>
                <w:b/>
                <w:bCs/>
                <w:color w:val="000000"/>
              </w:rPr>
              <w:t>Strategic Goal</w:t>
            </w:r>
          </w:p>
        </w:tc>
        <w:tc>
          <w:tcPr>
            <w:tcW w:w="2520" w:type="dxa"/>
            <w:shd w:val="clear" w:color="DBE5F1" w:fill="DBE5F1"/>
            <w:vAlign w:val="bottom"/>
            <w:hideMark/>
          </w:tcPr>
          <w:p w:rsidR="00321EAB" w:rsidRPr="00AF0C81" w:rsidRDefault="00321EAB" w:rsidP="00321EAB">
            <w:pPr>
              <w:spacing w:after="0" w:line="240" w:lineRule="auto"/>
              <w:rPr>
                <w:rFonts w:eastAsia="Times New Roman" w:cs="Times New Roman"/>
                <w:b/>
                <w:bCs/>
                <w:color w:val="000000"/>
              </w:rPr>
            </w:pPr>
            <w:r w:rsidRPr="00AF0C81">
              <w:rPr>
                <w:rFonts w:eastAsia="Times New Roman" w:cs="Times New Roman"/>
                <w:b/>
                <w:bCs/>
                <w:color w:val="000000"/>
              </w:rPr>
              <w:t>Strategic Objective</w:t>
            </w:r>
          </w:p>
        </w:tc>
        <w:tc>
          <w:tcPr>
            <w:tcW w:w="3453" w:type="dxa"/>
            <w:shd w:val="clear" w:color="DBE5F1" w:fill="DBE5F1"/>
            <w:vAlign w:val="bottom"/>
            <w:hideMark/>
          </w:tcPr>
          <w:p w:rsidR="00321EAB" w:rsidRPr="00AF0C81" w:rsidRDefault="00D60611" w:rsidP="00321EAB">
            <w:pPr>
              <w:spacing w:after="0" w:line="240" w:lineRule="auto"/>
              <w:rPr>
                <w:rFonts w:eastAsia="Times New Roman" w:cs="Times New Roman"/>
                <w:b/>
                <w:bCs/>
                <w:color w:val="000000"/>
              </w:rPr>
            </w:pPr>
            <w:r w:rsidRPr="00AF0C81">
              <w:rPr>
                <w:rFonts w:eastAsia="Times New Roman" w:cs="Times New Roman"/>
                <w:b/>
                <w:bCs/>
                <w:color w:val="000000"/>
              </w:rPr>
              <w:t>Programs</w:t>
            </w:r>
          </w:p>
        </w:tc>
      </w:tr>
      <w:tr w:rsidR="00321EAB" w:rsidRPr="00AF0C81" w:rsidTr="00577A74">
        <w:trPr>
          <w:trHeight w:val="300"/>
        </w:trPr>
        <w:tc>
          <w:tcPr>
            <w:tcW w:w="2667" w:type="dxa"/>
            <w:shd w:val="clear" w:color="auto" w:fill="auto"/>
            <w:hideMark/>
          </w:tcPr>
          <w:p w:rsidR="00321EAB" w:rsidRPr="00AF0C81" w:rsidRDefault="00321EAB" w:rsidP="00321EAB">
            <w:pPr>
              <w:spacing w:after="0" w:line="240" w:lineRule="auto"/>
              <w:rPr>
                <w:rFonts w:eastAsia="Times New Roman" w:cs="Times New Roman"/>
                <w:b/>
                <w:bCs/>
                <w:color w:val="000000"/>
              </w:rPr>
            </w:pPr>
            <w:r w:rsidRPr="00AF0C81">
              <w:rPr>
                <w:rFonts w:eastAsia="Times New Roman" w:cs="Times New Roman"/>
                <w:b/>
                <w:bCs/>
                <w:color w:val="000000"/>
              </w:rPr>
              <w:t xml:space="preserve">1. Transform Our Energy Systems:  </w:t>
            </w:r>
            <w:r w:rsidRPr="00AF0C81">
              <w:rPr>
                <w:rFonts w:eastAsia="Times New Roman" w:cs="Times New Roman"/>
                <w:color w:val="000000"/>
              </w:rPr>
              <w:t>Catalyze the timely, material, and efficient transformation of the Nation’s energy system and secure U.S. leadership in clean energy technologies</w:t>
            </w:r>
          </w:p>
        </w:tc>
        <w:tc>
          <w:tcPr>
            <w:tcW w:w="2520" w:type="dxa"/>
            <w:shd w:val="clear" w:color="auto" w:fill="auto"/>
            <w:hideMark/>
          </w:tcPr>
          <w:p w:rsidR="00321EAB" w:rsidRPr="00AF0C81" w:rsidRDefault="00321EAB" w:rsidP="00321EAB">
            <w:pPr>
              <w:spacing w:after="0" w:line="240" w:lineRule="auto"/>
              <w:rPr>
                <w:rFonts w:eastAsia="Times New Roman" w:cs="Times New Roman"/>
                <w:b/>
                <w:bCs/>
                <w:color w:val="000000"/>
              </w:rPr>
            </w:pPr>
            <w:r w:rsidRPr="00AF0C81">
              <w:rPr>
                <w:rFonts w:eastAsia="Times New Roman" w:cs="Times New Roman"/>
                <w:b/>
                <w:bCs/>
                <w:color w:val="000000"/>
              </w:rPr>
              <w:t>1A. Deploy the Technologies We Have</w:t>
            </w:r>
          </w:p>
        </w:tc>
        <w:tc>
          <w:tcPr>
            <w:tcW w:w="3453" w:type="dxa"/>
            <w:shd w:val="clear" w:color="auto" w:fill="auto"/>
            <w:hideMark/>
          </w:tcPr>
          <w:p w:rsidR="00321EAB" w:rsidRPr="00AF0C81" w:rsidRDefault="00321EAB" w:rsidP="00413EB0">
            <w:pPr>
              <w:spacing w:after="0" w:line="240" w:lineRule="auto"/>
              <w:rPr>
                <w:rFonts w:eastAsia="Times New Roman" w:cs="Times New Roman"/>
                <w:color w:val="000000"/>
              </w:rPr>
            </w:pPr>
            <w:r w:rsidRPr="00AF0C81">
              <w:rPr>
                <w:rFonts w:eastAsia="Times New Roman" w:cs="Times New Roman"/>
                <w:color w:val="000000"/>
              </w:rPr>
              <w:t>Western Area Power Administration</w:t>
            </w:r>
            <w:r w:rsidR="00413EB0" w:rsidRPr="00AF0C81">
              <w:rPr>
                <w:rFonts w:eastAsia="Times New Roman" w:cs="Times New Roman"/>
                <w:color w:val="000000"/>
              </w:rPr>
              <w:t xml:space="preserve"> </w:t>
            </w:r>
          </w:p>
        </w:tc>
      </w:tr>
    </w:tbl>
    <w:p w:rsidR="00D07302" w:rsidRDefault="00D07302" w:rsidP="0054380B">
      <w:pPr>
        <w:pStyle w:val="Heading1"/>
        <w:spacing w:before="0"/>
        <w:rPr>
          <w:rStyle w:val="Hyperlink"/>
          <w:color w:val="17365D" w:themeColor="text2" w:themeShade="BF"/>
          <w:sz w:val="22"/>
          <w:szCs w:val="22"/>
        </w:rPr>
      </w:pPr>
      <w:bookmarkStart w:id="92" w:name="_Toc347929428"/>
      <w:bookmarkStart w:id="93" w:name="_Toc352758986"/>
      <w:bookmarkStart w:id="94" w:name="_Toc357755936"/>
    </w:p>
    <w:p w:rsidR="00D07302" w:rsidRDefault="00D07302" w:rsidP="0054380B">
      <w:pPr>
        <w:pStyle w:val="Heading1"/>
        <w:spacing w:before="0"/>
        <w:rPr>
          <w:rStyle w:val="Hyperlink"/>
          <w:color w:val="17365D" w:themeColor="text2" w:themeShade="BF"/>
          <w:sz w:val="22"/>
          <w:szCs w:val="22"/>
        </w:rPr>
      </w:pPr>
    </w:p>
    <w:p w:rsidR="0054380B" w:rsidRPr="00AF0C81" w:rsidRDefault="0054380B" w:rsidP="0054380B">
      <w:pPr>
        <w:pStyle w:val="Heading1"/>
        <w:spacing w:before="0"/>
        <w:rPr>
          <w:rStyle w:val="Hyperlink"/>
          <w:color w:val="17365D" w:themeColor="text2" w:themeShade="BF"/>
          <w:sz w:val="22"/>
          <w:szCs w:val="22"/>
        </w:rPr>
      </w:pPr>
      <w:bookmarkStart w:id="95" w:name="_Toc357763467"/>
      <w:r w:rsidRPr="00AF0C81">
        <w:rPr>
          <w:rStyle w:val="Hyperlink"/>
          <w:color w:val="17365D" w:themeColor="text2" w:themeShade="BF"/>
          <w:sz w:val="22"/>
          <w:szCs w:val="22"/>
        </w:rPr>
        <w:t>Loan Programs (LP)</w:t>
      </w:r>
      <w:bookmarkEnd w:id="92"/>
      <w:bookmarkEnd w:id="93"/>
      <w:bookmarkEnd w:id="94"/>
      <w:bookmarkEnd w:id="95"/>
    </w:p>
    <w:tbl>
      <w:tblPr>
        <w:tblStyle w:val="LightShading1"/>
        <w:tblW w:w="0" w:type="auto"/>
        <w:tblInd w:w="468" w:type="dxa"/>
        <w:tblLook w:val="04A0"/>
      </w:tblPr>
      <w:tblGrid>
        <w:gridCol w:w="2724"/>
        <w:gridCol w:w="3192"/>
        <w:gridCol w:w="2724"/>
      </w:tblGrid>
      <w:tr w:rsidR="003560BA" w:rsidRPr="00AF0C81" w:rsidTr="003560BA">
        <w:trPr>
          <w:cnfStyle w:val="100000000000"/>
        </w:trPr>
        <w:tc>
          <w:tcPr>
            <w:cnfStyle w:val="001000000000"/>
            <w:tcW w:w="8640" w:type="dxa"/>
            <w:gridSpan w:val="3"/>
          </w:tcPr>
          <w:p w:rsidR="003560BA" w:rsidRPr="00AF0C81" w:rsidRDefault="003560BA" w:rsidP="003560BA">
            <w:pPr>
              <w:jc w:val="center"/>
            </w:pPr>
            <w:r w:rsidRPr="00AF0C81">
              <w:t>Total Budget Authority (in millions of dollars)</w:t>
            </w:r>
          </w:p>
        </w:tc>
      </w:tr>
      <w:tr w:rsidR="003560BA" w:rsidRPr="00AF0C81" w:rsidTr="003560BA">
        <w:trPr>
          <w:cnfStyle w:val="000000100000"/>
        </w:trPr>
        <w:tc>
          <w:tcPr>
            <w:cnfStyle w:val="001000000000"/>
            <w:tcW w:w="2724" w:type="dxa"/>
          </w:tcPr>
          <w:p w:rsidR="003560BA" w:rsidRPr="00AF0C81" w:rsidRDefault="003560BA" w:rsidP="003560BA">
            <w:pPr>
              <w:jc w:val="center"/>
            </w:pPr>
            <w:r w:rsidRPr="00AF0C81">
              <w:t>FY 2012 actual</w:t>
            </w:r>
          </w:p>
        </w:tc>
        <w:tc>
          <w:tcPr>
            <w:tcW w:w="3192" w:type="dxa"/>
          </w:tcPr>
          <w:p w:rsidR="003560BA" w:rsidRPr="00AF0C81" w:rsidRDefault="003560BA" w:rsidP="00E03254">
            <w:pPr>
              <w:jc w:val="center"/>
              <w:cnfStyle w:val="000000100000"/>
              <w:rPr>
                <w:b/>
              </w:rPr>
            </w:pPr>
            <w:r w:rsidRPr="00AF0C81">
              <w:rPr>
                <w:b/>
              </w:rPr>
              <w:t xml:space="preserve">FY 2013 </w:t>
            </w:r>
            <w:r w:rsidR="00E03254">
              <w:rPr>
                <w:b/>
              </w:rPr>
              <w:t>CR</w:t>
            </w:r>
          </w:p>
        </w:tc>
        <w:tc>
          <w:tcPr>
            <w:tcW w:w="2724" w:type="dxa"/>
          </w:tcPr>
          <w:p w:rsidR="003560BA" w:rsidRPr="00AF0C81" w:rsidRDefault="003560BA" w:rsidP="003560BA">
            <w:pPr>
              <w:jc w:val="center"/>
              <w:cnfStyle w:val="000000100000"/>
              <w:rPr>
                <w:b/>
              </w:rPr>
            </w:pPr>
            <w:r w:rsidRPr="00AF0C81">
              <w:rPr>
                <w:b/>
              </w:rPr>
              <w:t>FY 2014 est.</w:t>
            </w:r>
          </w:p>
        </w:tc>
      </w:tr>
      <w:tr w:rsidR="003560BA" w:rsidRPr="00AF0C81" w:rsidTr="003560BA">
        <w:tc>
          <w:tcPr>
            <w:cnfStyle w:val="001000000000"/>
            <w:tcW w:w="2724" w:type="dxa"/>
          </w:tcPr>
          <w:p w:rsidR="003560BA" w:rsidRPr="00AF0C81" w:rsidRDefault="00CB1A4A" w:rsidP="003560BA">
            <w:pPr>
              <w:jc w:val="center"/>
            </w:pPr>
            <w:r>
              <w:rPr>
                <w:b w:val="0"/>
              </w:rPr>
              <w:t>6.0</w:t>
            </w:r>
          </w:p>
        </w:tc>
        <w:tc>
          <w:tcPr>
            <w:tcW w:w="3192" w:type="dxa"/>
          </w:tcPr>
          <w:p w:rsidR="003560BA" w:rsidRPr="00AF0C81" w:rsidRDefault="00CB1A4A" w:rsidP="003560BA">
            <w:pPr>
              <w:jc w:val="center"/>
              <w:cnfStyle w:val="000000000000"/>
            </w:pPr>
            <w:r>
              <w:rPr>
                <w:b/>
              </w:rPr>
              <w:t>6.0</w:t>
            </w:r>
          </w:p>
        </w:tc>
        <w:tc>
          <w:tcPr>
            <w:tcW w:w="2724" w:type="dxa"/>
          </w:tcPr>
          <w:p w:rsidR="003560BA" w:rsidRPr="00AF0C81" w:rsidRDefault="00CB1A4A" w:rsidP="003560BA">
            <w:pPr>
              <w:jc w:val="center"/>
              <w:cnfStyle w:val="000000000000"/>
            </w:pPr>
            <w:r>
              <w:rPr>
                <w:b/>
              </w:rPr>
              <w:t>6.0</w:t>
            </w:r>
          </w:p>
        </w:tc>
      </w:tr>
    </w:tbl>
    <w:p w:rsidR="003560BA" w:rsidRPr="00AF0C81" w:rsidRDefault="003560BA" w:rsidP="0054380B">
      <w:pPr>
        <w:spacing w:after="0"/>
      </w:pPr>
    </w:p>
    <w:p w:rsidR="0054380B" w:rsidRPr="00AF0C81" w:rsidRDefault="0054380B" w:rsidP="0054380B">
      <w:pPr>
        <w:spacing w:after="0"/>
      </w:pPr>
      <w:r w:rsidRPr="00AF0C81">
        <w:t xml:space="preserve">The mission of LP is to accelerate the domestic commercial deployment of innovative and advanced clean energy technologies at a scale sufficient to contribute meaningfully to the achievement of national clean energy objectives.  (LP website:  </w:t>
      </w:r>
      <w:hyperlink r:id="rId23" w:history="1">
        <w:r w:rsidRPr="00AF0C81">
          <w:rPr>
            <w:rStyle w:val="Hyperlink"/>
          </w:rPr>
          <w:t>http://www.lgprogram.energy.gov/</w:t>
        </w:r>
      </w:hyperlink>
      <w:r w:rsidRPr="00AF0C81">
        <w:t>)</w:t>
      </w:r>
    </w:p>
    <w:tbl>
      <w:tblPr>
        <w:tblW w:w="86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7"/>
        <w:gridCol w:w="2520"/>
        <w:gridCol w:w="3453"/>
      </w:tblGrid>
      <w:tr w:rsidR="00DB1E9C" w:rsidRPr="00AF0C81" w:rsidTr="00577A74">
        <w:trPr>
          <w:trHeight w:val="300"/>
        </w:trPr>
        <w:tc>
          <w:tcPr>
            <w:tcW w:w="2667" w:type="dxa"/>
            <w:shd w:val="clear" w:color="DBE5F1" w:fill="DBE5F1"/>
            <w:vAlign w:val="bottom"/>
            <w:hideMark/>
          </w:tcPr>
          <w:p w:rsidR="00DB1E9C" w:rsidRPr="00AF0C81" w:rsidRDefault="00DB1E9C" w:rsidP="00DB1E9C">
            <w:pPr>
              <w:spacing w:after="0" w:line="240" w:lineRule="auto"/>
              <w:rPr>
                <w:rFonts w:eastAsia="Times New Roman" w:cs="Times New Roman"/>
                <w:b/>
                <w:bCs/>
                <w:color w:val="000000"/>
              </w:rPr>
            </w:pPr>
            <w:r w:rsidRPr="00AF0C81">
              <w:rPr>
                <w:rFonts w:eastAsia="Times New Roman" w:cs="Times New Roman"/>
                <w:b/>
                <w:bCs/>
                <w:color w:val="000000"/>
              </w:rPr>
              <w:t>Strategic Goal</w:t>
            </w:r>
          </w:p>
        </w:tc>
        <w:tc>
          <w:tcPr>
            <w:tcW w:w="2520" w:type="dxa"/>
            <w:shd w:val="clear" w:color="DBE5F1" w:fill="DBE5F1"/>
            <w:vAlign w:val="bottom"/>
            <w:hideMark/>
          </w:tcPr>
          <w:p w:rsidR="00DB1E9C" w:rsidRPr="00AF0C81" w:rsidRDefault="00DB1E9C" w:rsidP="00DB1E9C">
            <w:pPr>
              <w:spacing w:after="0" w:line="240" w:lineRule="auto"/>
              <w:rPr>
                <w:rFonts w:eastAsia="Times New Roman" w:cs="Times New Roman"/>
                <w:b/>
                <w:bCs/>
                <w:color w:val="000000"/>
              </w:rPr>
            </w:pPr>
            <w:r w:rsidRPr="00AF0C81">
              <w:rPr>
                <w:rFonts w:eastAsia="Times New Roman" w:cs="Times New Roman"/>
                <w:b/>
                <w:bCs/>
                <w:color w:val="000000"/>
              </w:rPr>
              <w:t>Strategic Objective</w:t>
            </w:r>
          </w:p>
        </w:tc>
        <w:tc>
          <w:tcPr>
            <w:tcW w:w="3453" w:type="dxa"/>
            <w:shd w:val="clear" w:color="DBE5F1" w:fill="DBE5F1"/>
            <w:vAlign w:val="bottom"/>
            <w:hideMark/>
          </w:tcPr>
          <w:p w:rsidR="00DB1E9C" w:rsidRPr="00AF0C81" w:rsidRDefault="00D60611" w:rsidP="00DB1E9C">
            <w:pPr>
              <w:spacing w:after="0" w:line="240" w:lineRule="auto"/>
              <w:rPr>
                <w:rFonts w:eastAsia="Times New Roman" w:cs="Times New Roman"/>
                <w:b/>
                <w:bCs/>
                <w:color w:val="000000"/>
              </w:rPr>
            </w:pPr>
            <w:r w:rsidRPr="00AF0C81">
              <w:rPr>
                <w:rFonts w:eastAsia="Times New Roman" w:cs="Times New Roman"/>
                <w:b/>
                <w:bCs/>
                <w:color w:val="000000"/>
              </w:rPr>
              <w:t>Programs</w:t>
            </w:r>
          </w:p>
        </w:tc>
      </w:tr>
      <w:tr w:rsidR="00DB1E9C" w:rsidRPr="00AF0C81" w:rsidTr="00577A74">
        <w:trPr>
          <w:trHeight w:val="300"/>
        </w:trPr>
        <w:tc>
          <w:tcPr>
            <w:tcW w:w="2667" w:type="dxa"/>
            <w:shd w:val="clear" w:color="auto" w:fill="auto"/>
            <w:hideMark/>
          </w:tcPr>
          <w:p w:rsidR="00DB1E9C" w:rsidRPr="00AF0C81" w:rsidRDefault="00DB1E9C" w:rsidP="00DB1E9C">
            <w:pPr>
              <w:spacing w:after="0" w:line="240" w:lineRule="auto"/>
              <w:rPr>
                <w:rFonts w:eastAsia="Times New Roman" w:cs="Times New Roman"/>
                <w:b/>
                <w:bCs/>
                <w:color w:val="000000"/>
              </w:rPr>
            </w:pPr>
            <w:r w:rsidRPr="00AF0C81">
              <w:rPr>
                <w:rFonts w:eastAsia="Times New Roman" w:cs="Times New Roman"/>
                <w:b/>
                <w:bCs/>
                <w:color w:val="000000"/>
              </w:rPr>
              <w:t xml:space="preserve">1. Transform Our Energy Systems:  </w:t>
            </w:r>
            <w:r w:rsidRPr="00AF0C81">
              <w:rPr>
                <w:rFonts w:eastAsia="Times New Roman" w:cs="Times New Roman"/>
                <w:color w:val="000000"/>
              </w:rPr>
              <w:t>Catalyze the timely, material, and efficient transformation of the Nation’s energy system and secure U.S. leadership in clean energy technologies</w:t>
            </w:r>
          </w:p>
        </w:tc>
        <w:tc>
          <w:tcPr>
            <w:tcW w:w="2520" w:type="dxa"/>
            <w:shd w:val="clear" w:color="auto" w:fill="auto"/>
            <w:hideMark/>
          </w:tcPr>
          <w:p w:rsidR="00DB1E9C" w:rsidRPr="00AF0C81" w:rsidRDefault="00DB1E9C" w:rsidP="00DB1E9C">
            <w:pPr>
              <w:spacing w:after="0" w:line="240" w:lineRule="auto"/>
              <w:rPr>
                <w:rFonts w:eastAsia="Times New Roman" w:cs="Times New Roman"/>
                <w:b/>
                <w:bCs/>
                <w:color w:val="000000"/>
              </w:rPr>
            </w:pPr>
            <w:r w:rsidRPr="00AF0C81">
              <w:rPr>
                <w:rFonts w:eastAsia="Times New Roman" w:cs="Times New Roman"/>
                <w:b/>
                <w:bCs/>
                <w:color w:val="000000"/>
              </w:rPr>
              <w:t>1A. Deploy the Technologies We Have</w:t>
            </w:r>
          </w:p>
        </w:tc>
        <w:tc>
          <w:tcPr>
            <w:tcW w:w="3453" w:type="dxa"/>
            <w:shd w:val="clear" w:color="auto" w:fill="auto"/>
            <w:hideMark/>
          </w:tcPr>
          <w:p w:rsidR="00DB1E9C" w:rsidRPr="00AF0C81" w:rsidRDefault="00DB1E9C" w:rsidP="00321EAB">
            <w:pPr>
              <w:spacing w:after="0" w:line="240" w:lineRule="auto"/>
              <w:rPr>
                <w:rFonts w:eastAsia="Times New Roman" w:cs="Times New Roman"/>
                <w:color w:val="000000"/>
              </w:rPr>
            </w:pPr>
            <w:r w:rsidRPr="00AF0C81">
              <w:rPr>
                <w:rFonts w:eastAsia="Times New Roman" w:cs="Times New Roman"/>
                <w:color w:val="000000"/>
              </w:rPr>
              <w:t>Loan Programs</w:t>
            </w:r>
            <w:r w:rsidR="00413EB0" w:rsidRPr="00AF0C81">
              <w:rPr>
                <w:rFonts w:eastAsia="Times New Roman" w:cs="Times New Roman"/>
                <w:color w:val="000000"/>
              </w:rPr>
              <w:t xml:space="preserve"> </w:t>
            </w:r>
          </w:p>
        </w:tc>
      </w:tr>
    </w:tbl>
    <w:p w:rsidR="0054380B" w:rsidRPr="00AF0C81" w:rsidRDefault="0054380B" w:rsidP="0054380B">
      <w:pPr>
        <w:spacing w:after="0"/>
      </w:pPr>
    </w:p>
    <w:p w:rsidR="0054380B" w:rsidRPr="00AF0C81" w:rsidRDefault="0054380B" w:rsidP="0054380B">
      <w:pPr>
        <w:spacing w:after="0"/>
      </w:pPr>
      <w:bookmarkStart w:id="96" w:name="_Energy_Information_Administration"/>
      <w:bookmarkEnd w:id="96"/>
    </w:p>
    <w:p w:rsidR="0054380B" w:rsidRPr="00AF0C81" w:rsidRDefault="0054380B" w:rsidP="0054380B">
      <w:pPr>
        <w:pStyle w:val="Heading1"/>
        <w:spacing w:before="0"/>
        <w:rPr>
          <w:rFonts w:asciiTheme="minorHAnsi" w:hAnsiTheme="minorHAnsi"/>
          <w:color w:val="17365D" w:themeColor="text2" w:themeShade="BF"/>
          <w:sz w:val="22"/>
          <w:szCs w:val="22"/>
        </w:rPr>
      </w:pPr>
      <w:bookmarkStart w:id="97" w:name="_Advanced_Research_Projects"/>
      <w:bookmarkStart w:id="98" w:name="_Toc347929430"/>
      <w:bookmarkStart w:id="99" w:name="_Toc352758987"/>
      <w:bookmarkStart w:id="100" w:name="_Toc357755937"/>
      <w:bookmarkStart w:id="101" w:name="_Toc357763468"/>
      <w:bookmarkEnd w:id="97"/>
      <w:r w:rsidRPr="00AF0C81">
        <w:rPr>
          <w:rFonts w:asciiTheme="minorHAnsi" w:hAnsiTheme="minorHAnsi"/>
          <w:color w:val="17365D" w:themeColor="text2" w:themeShade="BF"/>
          <w:sz w:val="22"/>
          <w:szCs w:val="22"/>
        </w:rPr>
        <w:t>Advanced Research Projects Agency-Energy (ARPA-E)</w:t>
      </w:r>
      <w:bookmarkEnd w:id="98"/>
      <w:bookmarkEnd w:id="99"/>
      <w:bookmarkEnd w:id="100"/>
      <w:bookmarkEnd w:id="101"/>
    </w:p>
    <w:tbl>
      <w:tblPr>
        <w:tblStyle w:val="LightShading1"/>
        <w:tblW w:w="0" w:type="auto"/>
        <w:tblInd w:w="468" w:type="dxa"/>
        <w:tblLook w:val="04A0"/>
      </w:tblPr>
      <w:tblGrid>
        <w:gridCol w:w="2724"/>
        <w:gridCol w:w="3192"/>
        <w:gridCol w:w="2724"/>
      </w:tblGrid>
      <w:tr w:rsidR="003560BA" w:rsidRPr="00AF0C81" w:rsidTr="003560BA">
        <w:trPr>
          <w:cnfStyle w:val="100000000000"/>
        </w:trPr>
        <w:tc>
          <w:tcPr>
            <w:cnfStyle w:val="001000000000"/>
            <w:tcW w:w="8640" w:type="dxa"/>
            <w:gridSpan w:val="3"/>
          </w:tcPr>
          <w:p w:rsidR="003560BA" w:rsidRPr="00AF0C81" w:rsidRDefault="003560BA" w:rsidP="003560BA">
            <w:pPr>
              <w:jc w:val="center"/>
            </w:pPr>
            <w:r w:rsidRPr="00AF0C81">
              <w:t>Total Budget Authority (in millions of dollars)</w:t>
            </w:r>
          </w:p>
        </w:tc>
      </w:tr>
      <w:tr w:rsidR="003560BA" w:rsidRPr="00AF0C81" w:rsidTr="003560BA">
        <w:trPr>
          <w:cnfStyle w:val="000000100000"/>
        </w:trPr>
        <w:tc>
          <w:tcPr>
            <w:cnfStyle w:val="001000000000"/>
            <w:tcW w:w="2724" w:type="dxa"/>
          </w:tcPr>
          <w:p w:rsidR="003560BA" w:rsidRPr="00AF0C81" w:rsidRDefault="003560BA" w:rsidP="003560BA">
            <w:pPr>
              <w:jc w:val="center"/>
            </w:pPr>
            <w:r w:rsidRPr="00AF0C81">
              <w:t>FY 2012 actual</w:t>
            </w:r>
          </w:p>
        </w:tc>
        <w:tc>
          <w:tcPr>
            <w:tcW w:w="3192" w:type="dxa"/>
          </w:tcPr>
          <w:p w:rsidR="003560BA" w:rsidRPr="00AF0C81" w:rsidRDefault="003560BA" w:rsidP="00E03254">
            <w:pPr>
              <w:jc w:val="center"/>
              <w:cnfStyle w:val="000000100000"/>
              <w:rPr>
                <w:b/>
              </w:rPr>
            </w:pPr>
            <w:r w:rsidRPr="00AF0C81">
              <w:rPr>
                <w:b/>
              </w:rPr>
              <w:t xml:space="preserve">FY 2013 </w:t>
            </w:r>
            <w:r w:rsidR="00E03254">
              <w:rPr>
                <w:b/>
              </w:rPr>
              <w:t>CR</w:t>
            </w:r>
          </w:p>
        </w:tc>
        <w:tc>
          <w:tcPr>
            <w:tcW w:w="2724" w:type="dxa"/>
          </w:tcPr>
          <w:p w:rsidR="003560BA" w:rsidRPr="00AF0C81" w:rsidRDefault="003560BA" w:rsidP="003560BA">
            <w:pPr>
              <w:jc w:val="center"/>
              <w:cnfStyle w:val="000000100000"/>
              <w:rPr>
                <w:b/>
              </w:rPr>
            </w:pPr>
            <w:r w:rsidRPr="00AF0C81">
              <w:rPr>
                <w:b/>
              </w:rPr>
              <w:t>FY 2014 est.</w:t>
            </w:r>
          </w:p>
        </w:tc>
      </w:tr>
      <w:tr w:rsidR="003560BA" w:rsidRPr="00AF0C81" w:rsidTr="003560BA">
        <w:tc>
          <w:tcPr>
            <w:cnfStyle w:val="001000000000"/>
            <w:tcW w:w="2724" w:type="dxa"/>
          </w:tcPr>
          <w:p w:rsidR="003560BA" w:rsidRPr="00AF0C81" w:rsidRDefault="00CB1A4A" w:rsidP="003560BA">
            <w:pPr>
              <w:jc w:val="center"/>
            </w:pPr>
            <w:r>
              <w:rPr>
                <w:b w:val="0"/>
              </w:rPr>
              <w:t>275.0</w:t>
            </w:r>
          </w:p>
        </w:tc>
        <w:tc>
          <w:tcPr>
            <w:tcW w:w="3192" w:type="dxa"/>
          </w:tcPr>
          <w:p w:rsidR="003560BA" w:rsidRPr="00AF0C81" w:rsidRDefault="00CB1A4A" w:rsidP="003560BA">
            <w:pPr>
              <w:jc w:val="center"/>
              <w:cnfStyle w:val="000000000000"/>
            </w:pPr>
            <w:r>
              <w:t>276.7</w:t>
            </w:r>
          </w:p>
        </w:tc>
        <w:tc>
          <w:tcPr>
            <w:tcW w:w="2724" w:type="dxa"/>
          </w:tcPr>
          <w:p w:rsidR="003560BA" w:rsidRPr="00AF0C81" w:rsidRDefault="00CB1A4A" w:rsidP="003560BA">
            <w:pPr>
              <w:jc w:val="center"/>
              <w:cnfStyle w:val="000000000000"/>
            </w:pPr>
            <w:r>
              <w:t>379.0</w:t>
            </w:r>
          </w:p>
        </w:tc>
      </w:tr>
    </w:tbl>
    <w:p w:rsidR="003560BA" w:rsidRPr="00AF0C81" w:rsidRDefault="003560BA" w:rsidP="0054380B">
      <w:pPr>
        <w:spacing w:after="0"/>
      </w:pPr>
    </w:p>
    <w:p w:rsidR="0054380B" w:rsidRPr="00AF0C81" w:rsidRDefault="0054380B" w:rsidP="0054380B">
      <w:pPr>
        <w:spacing w:after="0"/>
      </w:pPr>
      <w:r w:rsidRPr="00AF0C81">
        <w:t xml:space="preserve">The mission of ARPA-E is to </w:t>
      </w:r>
      <w:r w:rsidR="001C6F23" w:rsidRPr="001C6F23">
        <w:t xml:space="preserve">is to support energy technology innovations that will enhance the economic and energy security of the United States through the development of transformational technologies that reduce America’s dependence on energy imports; reduce U.S. energy related emissions; improve energy efficiency across all sectors of the U.S. economy; and ensure the U.S. maintains a technological lead in the development and deployment of advanced energy technologies. </w:t>
      </w:r>
      <w:r w:rsidRPr="00AF0C81">
        <w:t xml:space="preserve">(ARPA-E website:  </w:t>
      </w:r>
      <w:hyperlink r:id="rId24" w:history="1">
        <w:r w:rsidRPr="00AF0C81">
          <w:rPr>
            <w:rStyle w:val="Hyperlink"/>
          </w:rPr>
          <w:t>http://arpa-e.energy.gov/</w:t>
        </w:r>
      </w:hyperlink>
      <w:r w:rsidRPr="00AF0C81">
        <w:t>)</w:t>
      </w:r>
    </w:p>
    <w:tbl>
      <w:tblPr>
        <w:tblW w:w="86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7"/>
        <w:gridCol w:w="2520"/>
        <w:gridCol w:w="3453"/>
      </w:tblGrid>
      <w:tr w:rsidR="005161D1" w:rsidRPr="00AF0C81" w:rsidTr="00577A74">
        <w:trPr>
          <w:trHeight w:val="300"/>
        </w:trPr>
        <w:tc>
          <w:tcPr>
            <w:tcW w:w="2667" w:type="dxa"/>
            <w:shd w:val="clear" w:color="DBE5F1" w:fill="DBE5F1"/>
            <w:vAlign w:val="bottom"/>
            <w:hideMark/>
          </w:tcPr>
          <w:p w:rsidR="005161D1" w:rsidRPr="00AF0C81" w:rsidRDefault="005161D1" w:rsidP="005161D1">
            <w:pPr>
              <w:spacing w:after="0" w:line="240" w:lineRule="auto"/>
              <w:rPr>
                <w:rFonts w:eastAsia="Times New Roman" w:cs="Times New Roman"/>
                <w:b/>
                <w:bCs/>
                <w:color w:val="000000"/>
              </w:rPr>
            </w:pPr>
            <w:r w:rsidRPr="00AF0C81">
              <w:rPr>
                <w:rFonts w:eastAsia="Times New Roman" w:cs="Times New Roman"/>
                <w:b/>
                <w:bCs/>
                <w:color w:val="000000"/>
              </w:rPr>
              <w:t>Strategic Goal</w:t>
            </w:r>
          </w:p>
        </w:tc>
        <w:tc>
          <w:tcPr>
            <w:tcW w:w="2520" w:type="dxa"/>
            <w:shd w:val="clear" w:color="DBE5F1" w:fill="DBE5F1"/>
            <w:vAlign w:val="bottom"/>
            <w:hideMark/>
          </w:tcPr>
          <w:p w:rsidR="005161D1" w:rsidRPr="00AF0C81" w:rsidRDefault="005161D1" w:rsidP="005161D1">
            <w:pPr>
              <w:spacing w:after="0" w:line="240" w:lineRule="auto"/>
              <w:rPr>
                <w:rFonts w:eastAsia="Times New Roman" w:cs="Times New Roman"/>
                <w:b/>
                <w:bCs/>
                <w:color w:val="000000"/>
              </w:rPr>
            </w:pPr>
            <w:r w:rsidRPr="00AF0C81">
              <w:rPr>
                <w:rFonts w:eastAsia="Times New Roman" w:cs="Times New Roman"/>
                <w:b/>
                <w:bCs/>
                <w:color w:val="000000"/>
              </w:rPr>
              <w:t>Strategic Objective</w:t>
            </w:r>
          </w:p>
        </w:tc>
        <w:tc>
          <w:tcPr>
            <w:tcW w:w="3453" w:type="dxa"/>
            <w:shd w:val="clear" w:color="DBE5F1" w:fill="DBE5F1"/>
            <w:vAlign w:val="bottom"/>
            <w:hideMark/>
          </w:tcPr>
          <w:p w:rsidR="005161D1" w:rsidRPr="00AF0C81" w:rsidRDefault="00D60611" w:rsidP="005161D1">
            <w:pPr>
              <w:spacing w:after="0" w:line="240" w:lineRule="auto"/>
              <w:rPr>
                <w:rFonts w:eastAsia="Times New Roman" w:cs="Times New Roman"/>
                <w:b/>
                <w:bCs/>
                <w:color w:val="000000"/>
              </w:rPr>
            </w:pPr>
            <w:r w:rsidRPr="00AF0C81">
              <w:rPr>
                <w:rFonts w:eastAsia="Times New Roman" w:cs="Times New Roman"/>
                <w:b/>
                <w:bCs/>
                <w:color w:val="000000"/>
              </w:rPr>
              <w:t>Programs</w:t>
            </w:r>
          </w:p>
        </w:tc>
      </w:tr>
      <w:tr w:rsidR="005161D1" w:rsidRPr="00AF0C81" w:rsidTr="00577A74">
        <w:trPr>
          <w:trHeight w:val="300"/>
        </w:trPr>
        <w:tc>
          <w:tcPr>
            <w:tcW w:w="2667" w:type="dxa"/>
            <w:shd w:val="clear" w:color="auto" w:fill="auto"/>
            <w:hideMark/>
          </w:tcPr>
          <w:p w:rsidR="005161D1" w:rsidRPr="00AF0C81" w:rsidRDefault="005161D1" w:rsidP="005161D1">
            <w:pPr>
              <w:spacing w:after="0" w:line="240" w:lineRule="auto"/>
              <w:rPr>
                <w:rFonts w:eastAsia="Times New Roman" w:cs="Times New Roman"/>
                <w:b/>
                <w:bCs/>
                <w:color w:val="000000"/>
              </w:rPr>
            </w:pPr>
            <w:r w:rsidRPr="00AF0C81">
              <w:rPr>
                <w:rFonts w:eastAsia="Times New Roman" w:cs="Times New Roman"/>
                <w:b/>
                <w:bCs/>
                <w:color w:val="000000"/>
              </w:rPr>
              <w:t xml:space="preserve">1. Transform Our Energy Systems:  </w:t>
            </w:r>
            <w:r w:rsidRPr="00AF0C81">
              <w:rPr>
                <w:rFonts w:eastAsia="Times New Roman" w:cs="Times New Roman"/>
                <w:color w:val="000000"/>
              </w:rPr>
              <w:t>Catalyze the timely, material, and efficient transformation of the Nation’s energy system and secure U.S. leadership in clean energy technologies</w:t>
            </w:r>
          </w:p>
        </w:tc>
        <w:tc>
          <w:tcPr>
            <w:tcW w:w="2520" w:type="dxa"/>
            <w:shd w:val="clear" w:color="auto" w:fill="auto"/>
            <w:hideMark/>
          </w:tcPr>
          <w:p w:rsidR="005161D1" w:rsidRPr="00AF0C81" w:rsidRDefault="005161D1" w:rsidP="005161D1">
            <w:pPr>
              <w:spacing w:after="0" w:line="240" w:lineRule="auto"/>
              <w:rPr>
                <w:rFonts w:eastAsia="Times New Roman" w:cs="Times New Roman"/>
                <w:b/>
                <w:bCs/>
                <w:color w:val="000000"/>
              </w:rPr>
            </w:pPr>
            <w:r w:rsidRPr="00AF0C81">
              <w:rPr>
                <w:rFonts w:eastAsia="Times New Roman" w:cs="Times New Roman"/>
                <w:b/>
                <w:bCs/>
                <w:color w:val="000000"/>
              </w:rPr>
              <w:t>1B. Discover the New Solutions We Need</w:t>
            </w:r>
          </w:p>
        </w:tc>
        <w:tc>
          <w:tcPr>
            <w:tcW w:w="3453" w:type="dxa"/>
            <w:shd w:val="clear" w:color="auto" w:fill="auto"/>
            <w:hideMark/>
          </w:tcPr>
          <w:p w:rsidR="005161D1" w:rsidRPr="00AF0C81" w:rsidRDefault="005161D1" w:rsidP="00413EB0">
            <w:pPr>
              <w:spacing w:after="0" w:line="240" w:lineRule="auto"/>
              <w:rPr>
                <w:rFonts w:eastAsia="Times New Roman" w:cs="Times New Roman"/>
                <w:color w:val="000000"/>
              </w:rPr>
            </w:pPr>
            <w:r w:rsidRPr="00AF0C81">
              <w:rPr>
                <w:rFonts w:eastAsia="Times New Roman" w:cs="Times New Roman"/>
                <w:color w:val="000000"/>
              </w:rPr>
              <w:t xml:space="preserve">Advanced Research Projects Agency </w:t>
            </w:r>
            <w:r w:rsidR="00413EB0" w:rsidRPr="00AF0C81">
              <w:rPr>
                <w:rFonts w:eastAsia="Times New Roman" w:cs="Times New Roman"/>
                <w:color w:val="000000"/>
              </w:rPr>
              <w:t>–</w:t>
            </w:r>
            <w:r w:rsidRPr="00AF0C81">
              <w:rPr>
                <w:rFonts w:eastAsia="Times New Roman" w:cs="Times New Roman"/>
                <w:color w:val="000000"/>
              </w:rPr>
              <w:t xml:space="preserve"> Energy</w:t>
            </w:r>
            <w:r w:rsidR="00413EB0" w:rsidRPr="00AF0C81">
              <w:rPr>
                <w:rFonts w:eastAsia="Times New Roman" w:cs="Times New Roman"/>
                <w:color w:val="000000"/>
              </w:rPr>
              <w:t xml:space="preserve"> </w:t>
            </w:r>
          </w:p>
        </w:tc>
      </w:tr>
    </w:tbl>
    <w:p w:rsidR="00577A74" w:rsidRDefault="00577A74" w:rsidP="0054380B">
      <w:pPr>
        <w:spacing w:after="0"/>
      </w:pPr>
    </w:p>
    <w:p w:rsidR="0054380B" w:rsidRPr="00AF0C81" w:rsidRDefault="0054380B" w:rsidP="0054380B">
      <w:pPr>
        <w:spacing w:after="0"/>
      </w:pPr>
    </w:p>
    <w:p w:rsidR="00E01B98" w:rsidRPr="00AF0C81" w:rsidRDefault="00E01B98" w:rsidP="00E01B98">
      <w:pPr>
        <w:pStyle w:val="Heading1"/>
        <w:spacing w:before="0"/>
        <w:rPr>
          <w:rStyle w:val="Hyperlink"/>
          <w:color w:val="17365D" w:themeColor="text2" w:themeShade="BF"/>
          <w:sz w:val="22"/>
          <w:szCs w:val="22"/>
        </w:rPr>
      </w:pPr>
      <w:bookmarkStart w:id="102" w:name="_Toc347929429"/>
      <w:bookmarkStart w:id="103" w:name="_Toc352758988"/>
      <w:bookmarkStart w:id="104" w:name="_Toc357755938"/>
      <w:bookmarkStart w:id="105" w:name="_Toc347929432"/>
      <w:bookmarkStart w:id="106" w:name="_Toc357763469"/>
      <w:r w:rsidRPr="00AF0C81">
        <w:rPr>
          <w:rStyle w:val="Hyperlink"/>
          <w:color w:val="17365D" w:themeColor="text2" w:themeShade="BF"/>
          <w:sz w:val="22"/>
          <w:szCs w:val="22"/>
        </w:rPr>
        <w:t>Energy Information Administration (EIA)</w:t>
      </w:r>
      <w:bookmarkEnd w:id="102"/>
      <w:bookmarkEnd w:id="103"/>
      <w:bookmarkEnd w:id="104"/>
      <w:bookmarkEnd w:id="106"/>
    </w:p>
    <w:tbl>
      <w:tblPr>
        <w:tblStyle w:val="LightShading1"/>
        <w:tblW w:w="0" w:type="auto"/>
        <w:tblInd w:w="468" w:type="dxa"/>
        <w:tblLook w:val="04A0"/>
      </w:tblPr>
      <w:tblGrid>
        <w:gridCol w:w="2724"/>
        <w:gridCol w:w="3192"/>
        <w:gridCol w:w="2724"/>
      </w:tblGrid>
      <w:tr w:rsidR="00E01B98" w:rsidRPr="00AF0C81" w:rsidTr="007521F9">
        <w:trPr>
          <w:cnfStyle w:val="100000000000"/>
        </w:trPr>
        <w:tc>
          <w:tcPr>
            <w:cnfStyle w:val="001000000000"/>
            <w:tcW w:w="8640" w:type="dxa"/>
            <w:gridSpan w:val="3"/>
          </w:tcPr>
          <w:p w:rsidR="00E01B98" w:rsidRPr="00AF0C81" w:rsidRDefault="00E01B98" w:rsidP="007521F9">
            <w:pPr>
              <w:jc w:val="center"/>
            </w:pPr>
            <w:r w:rsidRPr="00AF0C81">
              <w:t>Total Budget Authority (in millions of dollars)</w:t>
            </w:r>
          </w:p>
        </w:tc>
      </w:tr>
      <w:tr w:rsidR="00E01B98" w:rsidRPr="00AF0C81" w:rsidTr="007521F9">
        <w:trPr>
          <w:cnfStyle w:val="000000100000"/>
        </w:trPr>
        <w:tc>
          <w:tcPr>
            <w:cnfStyle w:val="001000000000"/>
            <w:tcW w:w="2724" w:type="dxa"/>
          </w:tcPr>
          <w:p w:rsidR="00E01B98" w:rsidRPr="00AF0C81" w:rsidRDefault="00E01B98" w:rsidP="007521F9">
            <w:pPr>
              <w:jc w:val="center"/>
            </w:pPr>
            <w:r w:rsidRPr="00AF0C81">
              <w:t>FY 2012 actual</w:t>
            </w:r>
          </w:p>
        </w:tc>
        <w:tc>
          <w:tcPr>
            <w:tcW w:w="3192" w:type="dxa"/>
          </w:tcPr>
          <w:p w:rsidR="00E01B98" w:rsidRPr="00AF0C81" w:rsidRDefault="00E01B98" w:rsidP="00E03254">
            <w:pPr>
              <w:jc w:val="center"/>
              <w:cnfStyle w:val="000000100000"/>
              <w:rPr>
                <w:b/>
              </w:rPr>
            </w:pPr>
            <w:r w:rsidRPr="00AF0C81">
              <w:rPr>
                <w:b/>
              </w:rPr>
              <w:t xml:space="preserve">FY 2013 </w:t>
            </w:r>
            <w:r w:rsidR="00E03254">
              <w:rPr>
                <w:b/>
              </w:rPr>
              <w:t>CR</w:t>
            </w:r>
          </w:p>
        </w:tc>
        <w:tc>
          <w:tcPr>
            <w:tcW w:w="2724" w:type="dxa"/>
          </w:tcPr>
          <w:p w:rsidR="00E01B98" w:rsidRPr="00AF0C81" w:rsidRDefault="00E01B98" w:rsidP="007521F9">
            <w:pPr>
              <w:jc w:val="center"/>
              <w:cnfStyle w:val="000000100000"/>
              <w:rPr>
                <w:b/>
              </w:rPr>
            </w:pPr>
            <w:r w:rsidRPr="00AF0C81">
              <w:rPr>
                <w:b/>
              </w:rPr>
              <w:t>FY 2014 est.</w:t>
            </w:r>
          </w:p>
        </w:tc>
      </w:tr>
      <w:tr w:rsidR="00E01B98" w:rsidRPr="00AF0C81" w:rsidTr="007521F9">
        <w:tc>
          <w:tcPr>
            <w:cnfStyle w:val="001000000000"/>
            <w:tcW w:w="2724" w:type="dxa"/>
          </w:tcPr>
          <w:p w:rsidR="00E01B98" w:rsidRPr="00AF0C81" w:rsidRDefault="00C26199" w:rsidP="007521F9">
            <w:pPr>
              <w:jc w:val="center"/>
            </w:pPr>
            <w:r>
              <w:rPr>
                <w:b w:val="0"/>
              </w:rPr>
              <w:t>105.0</w:t>
            </w:r>
          </w:p>
        </w:tc>
        <w:tc>
          <w:tcPr>
            <w:tcW w:w="3192" w:type="dxa"/>
          </w:tcPr>
          <w:p w:rsidR="00E01B98" w:rsidRPr="00AF0C81" w:rsidRDefault="00C26199" w:rsidP="007521F9">
            <w:pPr>
              <w:jc w:val="center"/>
              <w:cnfStyle w:val="000000000000"/>
            </w:pPr>
            <w:r>
              <w:t>105.6</w:t>
            </w:r>
          </w:p>
        </w:tc>
        <w:tc>
          <w:tcPr>
            <w:tcW w:w="2724" w:type="dxa"/>
          </w:tcPr>
          <w:p w:rsidR="00E01B98" w:rsidRPr="00AF0C81" w:rsidRDefault="00C26199" w:rsidP="007521F9">
            <w:pPr>
              <w:jc w:val="center"/>
              <w:cnfStyle w:val="000000000000"/>
            </w:pPr>
            <w:r w:rsidRPr="00C26199">
              <w:t>117</w:t>
            </w:r>
            <w:r>
              <w:t>.0</w:t>
            </w:r>
          </w:p>
        </w:tc>
      </w:tr>
    </w:tbl>
    <w:p w:rsidR="00E01B98" w:rsidRPr="00AF0C81" w:rsidRDefault="00E01B98" w:rsidP="00E01B98">
      <w:pPr>
        <w:spacing w:after="0"/>
      </w:pPr>
    </w:p>
    <w:p w:rsidR="00E01B98" w:rsidRPr="00AF0C81" w:rsidRDefault="00E01B98" w:rsidP="00E01B98">
      <w:pPr>
        <w:spacing w:after="0"/>
      </w:pPr>
      <w:r w:rsidRPr="00AF0C81">
        <w:t xml:space="preserve">The mission of EIA is to collect, analyze, and disseminate independent and impartial energy information to promote sound policymaking, efficient markets, and public understanding of energy and its interaction with the economy and the environment.  (EIA website:  </w:t>
      </w:r>
      <w:hyperlink r:id="rId25" w:history="1">
        <w:r w:rsidRPr="00AF0C81">
          <w:rPr>
            <w:rStyle w:val="Hyperlink"/>
          </w:rPr>
          <w:t>http://www.eia.gov/</w:t>
        </w:r>
      </w:hyperlink>
      <w:r w:rsidRPr="00AF0C81">
        <w:t>)</w:t>
      </w:r>
    </w:p>
    <w:tbl>
      <w:tblPr>
        <w:tblW w:w="86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7"/>
        <w:gridCol w:w="2520"/>
        <w:gridCol w:w="3453"/>
      </w:tblGrid>
      <w:tr w:rsidR="00E01B98" w:rsidRPr="00AF0C81" w:rsidTr="00577A74">
        <w:trPr>
          <w:trHeight w:val="300"/>
        </w:trPr>
        <w:tc>
          <w:tcPr>
            <w:tcW w:w="2667" w:type="dxa"/>
            <w:shd w:val="clear" w:color="DBE5F1" w:fill="DBE5F1"/>
            <w:vAlign w:val="bottom"/>
            <w:hideMark/>
          </w:tcPr>
          <w:p w:rsidR="00E01B98" w:rsidRPr="00AF0C81" w:rsidRDefault="00E01B98" w:rsidP="007521F9">
            <w:pPr>
              <w:spacing w:after="0" w:line="240" w:lineRule="auto"/>
              <w:rPr>
                <w:rFonts w:eastAsia="Times New Roman" w:cs="Times New Roman"/>
                <w:b/>
                <w:bCs/>
                <w:color w:val="000000"/>
              </w:rPr>
            </w:pPr>
            <w:r w:rsidRPr="00AF0C81">
              <w:rPr>
                <w:rFonts w:eastAsia="Times New Roman" w:cs="Times New Roman"/>
                <w:b/>
                <w:bCs/>
                <w:color w:val="000000"/>
              </w:rPr>
              <w:t>Strategic Goal</w:t>
            </w:r>
          </w:p>
        </w:tc>
        <w:tc>
          <w:tcPr>
            <w:tcW w:w="2520" w:type="dxa"/>
            <w:shd w:val="clear" w:color="DBE5F1" w:fill="DBE5F1"/>
            <w:vAlign w:val="bottom"/>
            <w:hideMark/>
          </w:tcPr>
          <w:p w:rsidR="00E01B98" w:rsidRPr="00AF0C81" w:rsidRDefault="00E01B98" w:rsidP="007521F9">
            <w:pPr>
              <w:spacing w:after="0" w:line="240" w:lineRule="auto"/>
              <w:rPr>
                <w:rFonts w:eastAsia="Times New Roman" w:cs="Times New Roman"/>
                <w:b/>
                <w:bCs/>
                <w:color w:val="000000"/>
              </w:rPr>
            </w:pPr>
            <w:r w:rsidRPr="00AF0C81">
              <w:rPr>
                <w:rFonts w:eastAsia="Times New Roman" w:cs="Times New Roman"/>
                <w:b/>
                <w:bCs/>
                <w:color w:val="000000"/>
              </w:rPr>
              <w:t>Strategic Objective</w:t>
            </w:r>
          </w:p>
        </w:tc>
        <w:tc>
          <w:tcPr>
            <w:tcW w:w="3453" w:type="dxa"/>
            <w:shd w:val="clear" w:color="DBE5F1" w:fill="DBE5F1"/>
            <w:vAlign w:val="bottom"/>
            <w:hideMark/>
          </w:tcPr>
          <w:p w:rsidR="00E01B98" w:rsidRPr="00AF0C81" w:rsidRDefault="00D60611" w:rsidP="007521F9">
            <w:pPr>
              <w:spacing w:after="0" w:line="240" w:lineRule="auto"/>
              <w:rPr>
                <w:rFonts w:eastAsia="Times New Roman" w:cs="Times New Roman"/>
                <w:b/>
                <w:bCs/>
                <w:color w:val="000000"/>
              </w:rPr>
            </w:pPr>
            <w:r w:rsidRPr="00AF0C81">
              <w:rPr>
                <w:rFonts w:eastAsia="Times New Roman" w:cs="Times New Roman"/>
                <w:b/>
                <w:bCs/>
                <w:color w:val="000000"/>
              </w:rPr>
              <w:t>Programs</w:t>
            </w:r>
          </w:p>
        </w:tc>
      </w:tr>
      <w:tr w:rsidR="00E01B98" w:rsidRPr="00AF0C81" w:rsidTr="00577A74">
        <w:trPr>
          <w:trHeight w:val="300"/>
        </w:trPr>
        <w:tc>
          <w:tcPr>
            <w:tcW w:w="2667" w:type="dxa"/>
            <w:shd w:val="clear" w:color="auto" w:fill="auto"/>
            <w:hideMark/>
          </w:tcPr>
          <w:p w:rsidR="00E01B98" w:rsidRPr="00AF0C81" w:rsidRDefault="00E01B98" w:rsidP="007521F9">
            <w:pPr>
              <w:spacing w:after="0" w:line="240" w:lineRule="auto"/>
              <w:rPr>
                <w:rFonts w:eastAsia="Times New Roman" w:cs="Times New Roman"/>
                <w:b/>
                <w:bCs/>
                <w:color w:val="000000"/>
              </w:rPr>
            </w:pPr>
            <w:r w:rsidRPr="00AF0C81">
              <w:rPr>
                <w:rFonts w:eastAsia="Times New Roman" w:cs="Times New Roman"/>
                <w:b/>
                <w:bCs/>
                <w:color w:val="000000"/>
              </w:rPr>
              <w:t xml:space="preserve">1. Transform Our Energy Systems:  </w:t>
            </w:r>
            <w:r w:rsidRPr="00AF0C81">
              <w:rPr>
                <w:rFonts w:eastAsia="Times New Roman" w:cs="Times New Roman"/>
                <w:color w:val="000000"/>
              </w:rPr>
              <w:t>Catalyze the timely, material, and efficient transformation of the Nation’s energy system and secure U.S. leadership in clean energy technologies</w:t>
            </w:r>
          </w:p>
        </w:tc>
        <w:tc>
          <w:tcPr>
            <w:tcW w:w="2520" w:type="dxa"/>
            <w:shd w:val="clear" w:color="auto" w:fill="auto"/>
            <w:hideMark/>
          </w:tcPr>
          <w:p w:rsidR="00E01B98" w:rsidRPr="00AF0C81" w:rsidRDefault="00E01B98" w:rsidP="007521F9">
            <w:pPr>
              <w:spacing w:after="0" w:line="240" w:lineRule="auto"/>
              <w:rPr>
                <w:rFonts w:eastAsia="Times New Roman" w:cs="Times New Roman"/>
                <w:b/>
                <w:bCs/>
                <w:color w:val="000000"/>
              </w:rPr>
            </w:pPr>
            <w:r w:rsidRPr="00AF0C81">
              <w:rPr>
                <w:rFonts w:eastAsia="Times New Roman" w:cs="Times New Roman"/>
                <w:b/>
                <w:bCs/>
                <w:color w:val="000000"/>
              </w:rPr>
              <w:t>1C. Lead the National Conversation on Energy</w:t>
            </w:r>
          </w:p>
        </w:tc>
        <w:tc>
          <w:tcPr>
            <w:tcW w:w="3453" w:type="dxa"/>
            <w:shd w:val="clear" w:color="auto" w:fill="auto"/>
            <w:hideMark/>
          </w:tcPr>
          <w:p w:rsidR="00E01B98" w:rsidRPr="00AF0C81" w:rsidRDefault="00E01B98" w:rsidP="007521F9">
            <w:pPr>
              <w:spacing w:after="0" w:line="240" w:lineRule="auto"/>
              <w:rPr>
                <w:rFonts w:eastAsia="Times New Roman" w:cs="Times New Roman"/>
                <w:color w:val="000000"/>
              </w:rPr>
            </w:pPr>
            <w:r w:rsidRPr="00AF0C81">
              <w:rPr>
                <w:rFonts w:eastAsia="Times New Roman" w:cs="Times New Roman"/>
                <w:color w:val="000000"/>
              </w:rPr>
              <w:t xml:space="preserve">Energy Information Administration </w:t>
            </w:r>
          </w:p>
        </w:tc>
      </w:tr>
    </w:tbl>
    <w:p w:rsidR="00E01B98" w:rsidRDefault="00E01B98" w:rsidP="00D07302">
      <w:pPr>
        <w:pStyle w:val="Heading1"/>
        <w:spacing w:before="0"/>
        <w:rPr>
          <w:rStyle w:val="Hyperlink"/>
          <w:sz w:val="22"/>
          <w:szCs w:val="22"/>
        </w:rPr>
      </w:pPr>
    </w:p>
    <w:p w:rsidR="00D07302" w:rsidRPr="00D07302" w:rsidRDefault="00D07302" w:rsidP="00D07302">
      <w:pPr>
        <w:spacing w:after="0"/>
      </w:pPr>
    </w:p>
    <w:p w:rsidR="0054380B" w:rsidRPr="00AF0C81" w:rsidRDefault="0054380B" w:rsidP="0054380B">
      <w:pPr>
        <w:pStyle w:val="Heading1"/>
        <w:spacing w:before="0"/>
        <w:rPr>
          <w:rFonts w:asciiTheme="minorHAnsi" w:hAnsiTheme="minorHAnsi"/>
          <w:color w:val="17365D" w:themeColor="text2" w:themeShade="BF"/>
          <w:sz w:val="22"/>
          <w:szCs w:val="22"/>
        </w:rPr>
      </w:pPr>
      <w:bookmarkStart w:id="107" w:name="_Toc352758991"/>
      <w:bookmarkStart w:id="108" w:name="_Toc357755939"/>
      <w:bookmarkStart w:id="109" w:name="_Toc357763470"/>
      <w:r w:rsidRPr="00AF0C81">
        <w:rPr>
          <w:rFonts w:asciiTheme="minorHAnsi" w:hAnsiTheme="minorHAnsi"/>
          <w:color w:val="17365D" w:themeColor="text2" w:themeShade="BF"/>
          <w:sz w:val="22"/>
          <w:szCs w:val="22"/>
        </w:rPr>
        <w:t>Science (SC)</w:t>
      </w:r>
      <w:bookmarkEnd w:id="105"/>
      <w:bookmarkEnd w:id="107"/>
      <w:bookmarkEnd w:id="108"/>
      <w:bookmarkEnd w:id="109"/>
    </w:p>
    <w:tbl>
      <w:tblPr>
        <w:tblStyle w:val="LightShading1"/>
        <w:tblW w:w="0" w:type="auto"/>
        <w:tblInd w:w="468" w:type="dxa"/>
        <w:tblLook w:val="04A0"/>
      </w:tblPr>
      <w:tblGrid>
        <w:gridCol w:w="2724"/>
        <w:gridCol w:w="3192"/>
        <w:gridCol w:w="2724"/>
      </w:tblGrid>
      <w:tr w:rsidR="003560BA" w:rsidRPr="00AF0C81" w:rsidTr="003560BA">
        <w:trPr>
          <w:cnfStyle w:val="100000000000"/>
        </w:trPr>
        <w:tc>
          <w:tcPr>
            <w:cnfStyle w:val="001000000000"/>
            <w:tcW w:w="8640" w:type="dxa"/>
            <w:gridSpan w:val="3"/>
          </w:tcPr>
          <w:p w:rsidR="003560BA" w:rsidRPr="00AF0C81" w:rsidRDefault="003560BA" w:rsidP="003560BA">
            <w:pPr>
              <w:jc w:val="center"/>
            </w:pPr>
            <w:r w:rsidRPr="00AF0C81">
              <w:t>Total Budget Authority (in millions of dollars)</w:t>
            </w:r>
          </w:p>
        </w:tc>
      </w:tr>
      <w:tr w:rsidR="003560BA" w:rsidRPr="00AF0C81" w:rsidTr="003560BA">
        <w:trPr>
          <w:cnfStyle w:val="000000100000"/>
        </w:trPr>
        <w:tc>
          <w:tcPr>
            <w:cnfStyle w:val="001000000000"/>
            <w:tcW w:w="2724" w:type="dxa"/>
          </w:tcPr>
          <w:p w:rsidR="003560BA" w:rsidRPr="00AF0C81" w:rsidRDefault="003560BA" w:rsidP="003560BA">
            <w:pPr>
              <w:jc w:val="center"/>
            </w:pPr>
            <w:r w:rsidRPr="00AF0C81">
              <w:t>FY 2012 actual</w:t>
            </w:r>
          </w:p>
        </w:tc>
        <w:tc>
          <w:tcPr>
            <w:tcW w:w="3192" w:type="dxa"/>
          </w:tcPr>
          <w:p w:rsidR="003560BA" w:rsidRPr="00AF0C81" w:rsidRDefault="003560BA" w:rsidP="00E03254">
            <w:pPr>
              <w:jc w:val="center"/>
              <w:cnfStyle w:val="000000100000"/>
              <w:rPr>
                <w:b/>
              </w:rPr>
            </w:pPr>
            <w:r w:rsidRPr="00AF0C81">
              <w:rPr>
                <w:b/>
              </w:rPr>
              <w:t xml:space="preserve">FY 2013 </w:t>
            </w:r>
            <w:r w:rsidR="00E03254">
              <w:rPr>
                <w:b/>
              </w:rPr>
              <w:t>CR</w:t>
            </w:r>
          </w:p>
        </w:tc>
        <w:tc>
          <w:tcPr>
            <w:tcW w:w="2724" w:type="dxa"/>
          </w:tcPr>
          <w:p w:rsidR="003560BA" w:rsidRPr="00AF0C81" w:rsidRDefault="003560BA" w:rsidP="003560BA">
            <w:pPr>
              <w:jc w:val="center"/>
              <w:cnfStyle w:val="000000100000"/>
              <w:rPr>
                <w:b/>
              </w:rPr>
            </w:pPr>
            <w:r w:rsidRPr="00AF0C81">
              <w:rPr>
                <w:b/>
              </w:rPr>
              <w:t>FY 2014 est.</w:t>
            </w:r>
          </w:p>
        </w:tc>
      </w:tr>
      <w:tr w:rsidR="003560BA" w:rsidRPr="00AF0C81" w:rsidTr="003560BA">
        <w:tc>
          <w:tcPr>
            <w:cnfStyle w:val="001000000000"/>
            <w:tcW w:w="2724" w:type="dxa"/>
          </w:tcPr>
          <w:p w:rsidR="003560BA" w:rsidRPr="00AF0C81" w:rsidRDefault="00CB1A4A" w:rsidP="003560BA">
            <w:pPr>
              <w:jc w:val="center"/>
            </w:pPr>
            <w:r>
              <w:rPr>
                <w:b w:val="0"/>
              </w:rPr>
              <w:t>4,935.0</w:t>
            </w:r>
          </w:p>
        </w:tc>
        <w:tc>
          <w:tcPr>
            <w:tcW w:w="3192" w:type="dxa"/>
          </w:tcPr>
          <w:p w:rsidR="003560BA" w:rsidRPr="00AF0C81" w:rsidRDefault="00E400AF" w:rsidP="003560BA">
            <w:pPr>
              <w:jc w:val="center"/>
              <w:cnfStyle w:val="000000000000"/>
            </w:pPr>
            <w:r>
              <w:t>4,903.5</w:t>
            </w:r>
          </w:p>
        </w:tc>
        <w:tc>
          <w:tcPr>
            <w:tcW w:w="2724" w:type="dxa"/>
          </w:tcPr>
          <w:p w:rsidR="003560BA" w:rsidRPr="00AF0C81" w:rsidRDefault="00E400AF" w:rsidP="003560BA">
            <w:pPr>
              <w:jc w:val="center"/>
              <w:cnfStyle w:val="000000000000"/>
            </w:pPr>
            <w:r>
              <w:t>5,152.8</w:t>
            </w:r>
          </w:p>
        </w:tc>
      </w:tr>
    </w:tbl>
    <w:p w:rsidR="003560BA" w:rsidRPr="00AF0C81" w:rsidRDefault="003560BA" w:rsidP="0054380B">
      <w:pPr>
        <w:spacing w:after="0"/>
        <w:rPr>
          <w:rFonts w:cs="Arial"/>
          <w:iCs/>
          <w:color w:val="25364B"/>
        </w:rPr>
      </w:pPr>
    </w:p>
    <w:p w:rsidR="0054380B" w:rsidRPr="00AF0C81" w:rsidRDefault="00E61613" w:rsidP="0054380B">
      <w:pPr>
        <w:spacing w:after="0"/>
      </w:pPr>
      <w:r w:rsidRPr="00C55F52">
        <w:t>The Office of Science mission is t</w:t>
      </w:r>
      <w:r>
        <w:t>o</w:t>
      </w:r>
      <w:r w:rsidRPr="00C55F52">
        <w:t xml:space="preserve"> deliver</w:t>
      </w:r>
      <w:r>
        <w:t xml:space="preserve"> the</w:t>
      </w:r>
      <w:r w:rsidRPr="00C55F52">
        <w:t xml:space="preserve"> scientific discoveries and major scientific tools t</w:t>
      </w:r>
      <w:r>
        <w:t>hat</w:t>
      </w:r>
      <w:r w:rsidRPr="00C55F52">
        <w:t xml:space="preserve"> transform our understanding of nature and advance the energy, economic, and national security of the United States.</w:t>
      </w:r>
      <w:r>
        <w:t xml:space="preserve"> </w:t>
      </w:r>
      <w:r w:rsidR="0054380B" w:rsidRPr="00AF0C81">
        <w:t>This</w:t>
      </w:r>
      <w:r w:rsidR="007F3100" w:rsidRPr="00AF0C81">
        <w:t xml:space="preserve"> office</w:t>
      </w:r>
      <w:r w:rsidR="0054380B" w:rsidRPr="00AF0C81">
        <w:t xml:space="preserve"> is comprised of the following </w:t>
      </w:r>
      <w:r w:rsidR="007F3100" w:rsidRPr="00AF0C81">
        <w:t>programs</w:t>
      </w:r>
      <w:r w:rsidR="0054380B" w:rsidRPr="00AF0C81">
        <w:rPr>
          <w:rFonts w:cs="Arial"/>
          <w:iCs/>
          <w:color w:val="25364B"/>
        </w:rPr>
        <w:t xml:space="preserve">:   </w:t>
      </w:r>
      <w:r w:rsidR="0054380B" w:rsidRPr="00AF0C81">
        <w:t xml:space="preserve">Advanced Scientific Computing Research, Basic Energy Sciences, Biological and Environmental Research, Fusion Energy Sciences, High Energy Physics, Nuclear Physics, and Workforce Development for Teachers and Scientists.  (SC website:  </w:t>
      </w:r>
      <w:hyperlink r:id="rId26" w:history="1">
        <w:r w:rsidR="0054380B" w:rsidRPr="00AF0C81">
          <w:rPr>
            <w:rStyle w:val="Hyperlink"/>
          </w:rPr>
          <w:t>http://science.energy.gov/</w:t>
        </w:r>
      </w:hyperlink>
      <w:r w:rsidR="0054380B" w:rsidRPr="00AF0C81">
        <w:t>)</w:t>
      </w:r>
      <w:bookmarkStart w:id="110" w:name="_Advanced_Scientific_Computing"/>
      <w:bookmarkEnd w:id="110"/>
    </w:p>
    <w:p w:rsidR="00F31657" w:rsidRPr="00AF0C81" w:rsidRDefault="00F31657" w:rsidP="007F3100">
      <w:pPr>
        <w:pStyle w:val="Heading2"/>
        <w:ind w:firstLine="720"/>
        <w:rPr>
          <w:rFonts w:asciiTheme="minorHAnsi" w:hAnsiTheme="minorHAnsi"/>
          <w:color w:val="17365D" w:themeColor="text2" w:themeShade="BF"/>
          <w:sz w:val="22"/>
          <w:szCs w:val="22"/>
        </w:rPr>
      </w:pPr>
      <w:bookmarkStart w:id="111" w:name="_Toc352758992"/>
      <w:bookmarkStart w:id="112" w:name="_Toc357755940"/>
      <w:bookmarkStart w:id="113" w:name="_Toc357763471"/>
      <w:r w:rsidRPr="00AF0C81">
        <w:rPr>
          <w:rFonts w:asciiTheme="minorHAnsi" w:hAnsiTheme="minorHAnsi"/>
          <w:color w:val="17365D" w:themeColor="text2" w:themeShade="BF"/>
          <w:sz w:val="22"/>
          <w:szCs w:val="22"/>
        </w:rPr>
        <w:t>Advanced Scientific Computing Research</w:t>
      </w:r>
      <w:bookmarkEnd w:id="111"/>
      <w:bookmarkEnd w:id="112"/>
      <w:bookmarkEnd w:id="113"/>
    </w:p>
    <w:p w:rsidR="00F31657" w:rsidRPr="00AF0C81" w:rsidRDefault="00F31657" w:rsidP="00F31657">
      <w:pPr>
        <w:spacing w:after="0"/>
      </w:pPr>
      <w:r w:rsidRPr="00AF0C81">
        <w:t>Support research to discover, develop, and deploy the computational and networking capabilities to analyze, model, simulate, and predict complex phenomena important to DOE</w:t>
      </w:r>
    </w:p>
    <w:p w:rsidR="00F31657" w:rsidRPr="00AF0C81" w:rsidRDefault="00F31657" w:rsidP="007F3100">
      <w:pPr>
        <w:pStyle w:val="Heading2"/>
        <w:ind w:firstLine="720"/>
        <w:rPr>
          <w:rFonts w:asciiTheme="minorHAnsi" w:hAnsiTheme="minorHAnsi"/>
          <w:color w:val="17365D" w:themeColor="text2" w:themeShade="BF"/>
          <w:sz w:val="22"/>
          <w:szCs w:val="22"/>
        </w:rPr>
      </w:pPr>
      <w:bookmarkStart w:id="114" w:name="_Toc352758993"/>
      <w:bookmarkStart w:id="115" w:name="_Toc357755941"/>
      <w:bookmarkStart w:id="116" w:name="_Toc357763472"/>
      <w:r w:rsidRPr="00AF0C81">
        <w:rPr>
          <w:rFonts w:asciiTheme="minorHAnsi" w:hAnsiTheme="minorHAnsi"/>
          <w:color w:val="17365D" w:themeColor="text2" w:themeShade="BF"/>
          <w:sz w:val="22"/>
          <w:szCs w:val="22"/>
        </w:rPr>
        <w:t>Basic Energy Sciences</w:t>
      </w:r>
      <w:bookmarkEnd w:id="114"/>
      <w:bookmarkEnd w:id="115"/>
      <w:bookmarkEnd w:id="116"/>
    </w:p>
    <w:p w:rsidR="00F31657" w:rsidRPr="00AF0C81" w:rsidRDefault="00F31657" w:rsidP="00F31657">
      <w:pPr>
        <w:spacing w:after="0"/>
      </w:pPr>
      <w:r w:rsidRPr="00AF0C81">
        <w:t>Support fundamental research to understand, predict, and ultimately control matter and energy at the electronic, atomic, and molecular levels in order to provide the foundations for new energy technologies and to support the DOE mission in energy, environment, and national security</w:t>
      </w:r>
    </w:p>
    <w:p w:rsidR="00F31657" w:rsidRPr="00AF0C81" w:rsidRDefault="00F31657" w:rsidP="007F3100">
      <w:pPr>
        <w:pStyle w:val="Heading2"/>
        <w:ind w:firstLine="720"/>
        <w:rPr>
          <w:rFonts w:asciiTheme="minorHAnsi" w:hAnsiTheme="minorHAnsi"/>
          <w:color w:val="17365D" w:themeColor="text2" w:themeShade="BF"/>
          <w:sz w:val="22"/>
          <w:szCs w:val="22"/>
        </w:rPr>
      </w:pPr>
      <w:bookmarkStart w:id="117" w:name="_Toc352758994"/>
      <w:bookmarkStart w:id="118" w:name="_Toc357755942"/>
      <w:bookmarkStart w:id="119" w:name="_Toc357763473"/>
      <w:r w:rsidRPr="00AF0C81">
        <w:rPr>
          <w:rFonts w:asciiTheme="minorHAnsi" w:hAnsiTheme="minorHAnsi"/>
          <w:color w:val="17365D" w:themeColor="text2" w:themeShade="BF"/>
          <w:sz w:val="22"/>
          <w:szCs w:val="22"/>
        </w:rPr>
        <w:t>Biological and Environmental Research</w:t>
      </w:r>
      <w:bookmarkEnd w:id="117"/>
      <w:bookmarkEnd w:id="118"/>
      <w:bookmarkEnd w:id="119"/>
    </w:p>
    <w:p w:rsidR="00F31657" w:rsidRPr="00AF0C81" w:rsidRDefault="00F31657" w:rsidP="00F31657">
      <w:pPr>
        <w:spacing w:after="0"/>
      </w:pPr>
      <w:r w:rsidRPr="00AF0C81">
        <w:t>Support fundamental research to address diverse and critical global challenges, from the sustainable and affordable production of renewable biofuels to understanding and predicting climate change and greenhouse gas emissions relevant to energy production and technology use</w:t>
      </w:r>
    </w:p>
    <w:p w:rsidR="00F31657" w:rsidRPr="00AF0C81" w:rsidRDefault="00F31657" w:rsidP="007F3100">
      <w:pPr>
        <w:pStyle w:val="Heading2"/>
        <w:ind w:firstLine="720"/>
        <w:rPr>
          <w:rFonts w:asciiTheme="minorHAnsi" w:hAnsiTheme="minorHAnsi"/>
          <w:color w:val="17365D" w:themeColor="text2" w:themeShade="BF"/>
          <w:sz w:val="22"/>
          <w:szCs w:val="22"/>
        </w:rPr>
      </w:pPr>
      <w:bookmarkStart w:id="120" w:name="_Toc352758995"/>
      <w:bookmarkStart w:id="121" w:name="_Toc357755943"/>
      <w:bookmarkStart w:id="122" w:name="_Toc357763474"/>
      <w:r w:rsidRPr="00AF0C81">
        <w:rPr>
          <w:rFonts w:asciiTheme="minorHAnsi" w:hAnsiTheme="minorHAnsi"/>
          <w:color w:val="17365D" w:themeColor="text2" w:themeShade="BF"/>
          <w:sz w:val="22"/>
          <w:szCs w:val="22"/>
        </w:rPr>
        <w:t>Fusion Energy Sciences</w:t>
      </w:r>
      <w:bookmarkEnd w:id="120"/>
      <w:bookmarkEnd w:id="121"/>
      <w:bookmarkEnd w:id="122"/>
    </w:p>
    <w:p w:rsidR="00F31657" w:rsidRPr="00AF0C81" w:rsidRDefault="00F31657" w:rsidP="00F31657">
      <w:pPr>
        <w:spacing w:after="0"/>
      </w:pPr>
      <w:r w:rsidRPr="00AF0C81">
        <w:t>Support research to expand the fundamental understanding of matter at very high temperatures and densities and to build the scientific foundation of fusion energy</w:t>
      </w:r>
    </w:p>
    <w:p w:rsidR="00F31657" w:rsidRPr="00AF0C81" w:rsidRDefault="00F31657" w:rsidP="007F3100">
      <w:pPr>
        <w:pStyle w:val="Heading2"/>
        <w:ind w:firstLine="720"/>
        <w:rPr>
          <w:rFonts w:asciiTheme="minorHAnsi" w:hAnsiTheme="minorHAnsi"/>
          <w:color w:val="17365D" w:themeColor="text2" w:themeShade="BF"/>
          <w:sz w:val="22"/>
          <w:szCs w:val="22"/>
        </w:rPr>
      </w:pPr>
      <w:bookmarkStart w:id="123" w:name="_Toc352758996"/>
      <w:bookmarkStart w:id="124" w:name="_Toc357755944"/>
      <w:bookmarkStart w:id="125" w:name="_Toc357763475"/>
      <w:r w:rsidRPr="00AF0C81">
        <w:rPr>
          <w:rFonts w:asciiTheme="minorHAnsi" w:hAnsiTheme="minorHAnsi"/>
          <w:color w:val="17365D" w:themeColor="text2" w:themeShade="BF"/>
          <w:sz w:val="22"/>
          <w:szCs w:val="22"/>
        </w:rPr>
        <w:t>High Energy Physics</w:t>
      </w:r>
      <w:bookmarkEnd w:id="123"/>
      <w:bookmarkEnd w:id="124"/>
      <w:bookmarkEnd w:id="125"/>
    </w:p>
    <w:p w:rsidR="00F31657" w:rsidRPr="00AF0C81" w:rsidRDefault="00F31657" w:rsidP="00F31657">
      <w:pPr>
        <w:spacing w:after="0"/>
      </w:pPr>
      <w:r w:rsidRPr="00AF0C81">
        <w:t>Support research toward understanding how the universe works at its most fundamental level by discovering the most elementary constituents of matter and energy, probing the interactions among them, and exploring the basic nature of space and time itself</w:t>
      </w:r>
    </w:p>
    <w:p w:rsidR="00F31657" w:rsidRPr="00AF0C81" w:rsidRDefault="00F31657" w:rsidP="007F3100">
      <w:pPr>
        <w:pStyle w:val="Heading2"/>
        <w:ind w:firstLine="720"/>
        <w:rPr>
          <w:rFonts w:asciiTheme="minorHAnsi" w:hAnsiTheme="minorHAnsi"/>
          <w:color w:val="17365D" w:themeColor="text2" w:themeShade="BF"/>
          <w:sz w:val="22"/>
          <w:szCs w:val="22"/>
        </w:rPr>
      </w:pPr>
      <w:bookmarkStart w:id="126" w:name="_Toc352758997"/>
      <w:bookmarkStart w:id="127" w:name="_Toc357755945"/>
      <w:bookmarkStart w:id="128" w:name="_Toc357763476"/>
      <w:r w:rsidRPr="00AF0C81">
        <w:rPr>
          <w:rFonts w:asciiTheme="minorHAnsi" w:hAnsiTheme="minorHAnsi"/>
          <w:color w:val="17365D" w:themeColor="text2" w:themeShade="BF"/>
          <w:sz w:val="22"/>
          <w:szCs w:val="22"/>
        </w:rPr>
        <w:t>Nuclear Physics</w:t>
      </w:r>
      <w:bookmarkEnd w:id="126"/>
      <w:bookmarkEnd w:id="127"/>
      <w:bookmarkEnd w:id="128"/>
    </w:p>
    <w:p w:rsidR="00F31657" w:rsidRPr="00AF0C81" w:rsidRDefault="00F31657" w:rsidP="00F31657">
      <w:pPr>
        <w:spacing w:after="0"/>
      </w:pPr>
      <w:r w:rsidRPr="00AF0C81">
        <w:t>Support research to discover, explore, and understand all forms of nuclear matter, supporting experimental and theoretical research to create, detect, and describe the different forms and complexities of nuclear matter that can exist in the universe, including those that are no longer found naturally</w:t>
      </w:r>
    </w:p>
    <w:p w:rsidR="00F31657" w:rsidRPr="00AF0C81" w:rsidRDefault="00F31657" w:rsidP="007F3100">
      <w:pPr>
        <w:pStyle w:val="Heading2"/>
        <w:ind w:firstLine="720"/>
        <w:rPr>
          <w:rFonts w:asciiTheme="minorHAnsi" w:hAnsiTheme="minorHAnsi"/>
          <w:color w:val="17365D" w:themeColor="text2" w:themeShade="BF"/>
          <w:sz w:val="22"/>
          <w:szCs w:val="22"/>
        </w:rPr>
      </w:pPr>
      <w:bookmarkStart w:id="129" w:name="_Toc352758998"/>
      <w:bookmarkStart w:id="130" w:name="_Toc357755946"/>
      <w:bookmarkStart w:id="131" w:name="_Toc357763477"/>
      <w:r w:rsidRPr="00AF0C81">
        <w:rPr>
          <w:rFonts w:asciiTheme="minorHAnsi" w:hAnsiTheme="minorHAnsi"/>
          <w:color w:val="17365D" w:themeColor="text2" w:themeShade="BF"/>
          <w:sz w:val="22"/>
          <w:szCs w:val="22"/>
        </w:rPr>
        <w:t>Workforce Development for Teachers and Scientists</w:t>
      </w:r>
      <w:bookmarkEnd w:id="129"/>
      <w:bookmarkEnd w:id="130"/>
      <w:bookmarkEnd w:id="131"/>
    </w:p>
    <w:p w:rsidR="00F31657" w:rsidRPr="00AF0C81" w:rsidRDefault="00F31657" w:rsidP="00F31657">
      <w:pPr>
        <w:spacing w:after="0"/>
      </w:pPr>
      <w:r w:rsidRPr="00AF0C81">
        <w:t>Help ensure that DOE and the nation have a sustained pipeline of skilled and diverse science, technology, engineering, and mathematics (STEM) workers</w:t>
      </w:r>
    </w:p>
    <w:p w:rsidR="00F31657" w:rsidRPr="00AF0C81" w:rsidRDefault="00F31657" w:rsidP="00F31657">
      <w:pPr>
        <w:spacing w:after="0"/>
      </w:pPr>
    </w:p>
    <w:tbl>
      <w:tblPr>
        <w:tblW w:w="86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7"/>
        <w:gridCol w:w="2520"/>
        <w:gridCol w:w="3453"/>
      </w:tblGrid>
      <w:tr w:rsidR="005161D1" w:rsidRPr="00AF0C81" w:rsidTr="00577A74">
        <w:trPr>
          <w:trHeight w:val="300"/>
        </w:trPr>
        <w:tc>
          <w:tcPr>
            <w:tcW w:w="2667" w:type="dxa"/>
            <w:shd w:val="clear" w:color="DBE5F1" w:fill="DBE5F1"/>
            <w:vAlign w:val="bottom"/>
            <w:hideMark/>
          </w:tcPr>
          <w:p w:rsidR="005161D1" w:rsidRPr="00AF0C81" w:rsidRDefault="005161D1" w:rsidP="005161D1">
            <w:pPr>
              <w:spacing w:after="0" w:line="240" w:lineRule="auto"/>
              <w:rPr>
                <w:rFonts w:eastAsia="Times New Roman" w:cs="Times New Roman"/>
                <w:b/>
                <w:bCs/>
                <w:color w:val="000000"/>
              </w:rPr>
            </w:pPr>
            <w:r w:rsidRPr="00AF0C81">
              <w:rPr>
                <w:rFonts w:eastAsia="Times New Roman" w:cs="Times New Roman"/>
                <w:b/>
                <w:bCs/>
                <w:color w:val="000000"/>
              </w:rPr>
              <w:t>Strategic Goal</w:t>
            </w:r>
          </w:p>
        </w:tc>
        <w:tc>
          <w:tcPr>
            <w:tcW w:w="2520" w:type="dxa"/>
            <w:shd w:val="clear" w:color="DBE5F1" w:fill="DBE5F1"/>
            <w:vAlign w:val="bottom"/>
            <w:hideMark/>
          </w:tcPr>
          <w:p w:rsidR="005161D1" w:rsidRPr="00AF0C81" w:rsidRDefault="005161D1" w:rsidP="005161D1">
            <w:pPr>
              <w:spacing w:after="0" w:line="240" w:lineRule="auto"/>
              <w:rPr>
                <w:rFonts w:eastAsia="Times New Roman" w:cs="Times New Roman"/>
                <w:b/>
                <w:bCs/>
                <w:color w:val="000000"/>
              </w:rPr>
            </w:pPr>
            <w:r w:rsidRPr="00AF0C81">
              <w:rPr>
                <w:rFonts w:eastAsia="Times New Roman" w:cs="Times New Roman"/>
                <w:b/>
                <w:bCs/>
                <w:color w:val="000000"/>
              </w:rPr>
              <w:t>Strategic Objective</w:t>
            </w:r>
          </w:p>
        </w:tc>
        <w:tc>
          <w:tcPr>
            <w:tcW w:w="3453" w:type="dxa"/>
            <w:shd w:val="clear" w:color="DBE5F1" w:fill="DBE5F1"/>
            <w:vAlign w:val="bottom"/>
            <w:hideMark/>
          </w:tcPr>
          <w:p w:rsidR="005161D1" w:rsidRPr="00AF0C81" w:rsidRDefault="00D60611" w:rsidP="005161D1">
            <w:pPr>
              <w:spacing w:after="0" w:line="240" w:lineRule="auto"/>
              <w:rPr>
                <w:rFonts w:eastAsia="Times New Roman" w:cs="Times New Roman"/>
                <w:b/>
                <w:bCs/>
                <w:color w:val="000000"/>
              </w:rPr>
            </w:pPr>
            <w:r w:rsidRPr="00AF0C81">
              <w:rPr>
                <w:rFonts w:eastAsia="Times New Roman" w:cs="Times New Roman"/>
                <w:b/>
                <w:bCs/>
                <w:color w:val="000000"/>
              </w:rPr>
              <w:t>Programs</w:t>
            </w:r>
          </w:p>
        </w:tc>
      </w:tr>
      <w:tr w:rsidR="005161D1" w:rsidRPr="00AF0C81" w:rsidTr="00577A74">
        <w:trPr>
          <w:trHeight w:val="300"/>
        </w:trPr>
        <w:tc>
          <w:tcPr>
            <w:tcW w:w="2667" w:type="dxa"/>
            <w:vMerge w:val="restart"/>
            <w:shd w:val="clear" w:color="auto" w:fill="auto"/>
            <w:hideMark/>
          </w:tcPr>
          <w:p w:rsidR="005161D1" w:rsidRPr="00AF0C81" w:rsidRDefault="005161D1" w:rsidP="005161D1">
            <w:pPr>
              <w:spacing w:after="0" w:line="240" w:lineRule="auto"/>
              <w:rPr>
                <w:rFonts w:eastAsia="Times New Roman" w:cs="Times New Roman"/>
                <w:b/>
                <w:bCs/>
                <w:color w:val="000000"/>
              </w:rPr>
            </w:pPr>
            <w:r w:rsidRPr="00AF0C81">
              <w:rPr>
                <w:rFonts w:eastAsia="Times New Roman" w:cs="Times New Roman"/>
                <w:b/>
                <w:bCs/>
                <w:color w:val="000000"/>
              </w:rPr>
              <w:t xml:space="preserve">2. The Science and Engineering Enterprise:  </w:t>
            </w:r>
            <w:r w:rsidRPr="00AF0C81">
              <w:rPr>
                <w:rFonts w:eastAsia="Times New Roman" w:cs="Times New Roman"/>
                <w:color w:val="000000"/>
              </w:rPr>
              <w:t>Maintain a vibrant U.S. effort in science and engineering as a cornerstone of our economic prosperity, with clear leadership in strategic areas</w:t>
            </w:r>
          </w:p>
        </w:tc>
        <w:tc>
          <w:tcPr>
            <w:tcW w:w="2520" w:type="dxa"/>
            <w:vMerge w:val="restart"/>
            <w:shd w:val="clear" w:color="auto" w:fill="auto"/>
            <w:hideMark/>
          </w:tcPr>
          <w:p w:rsidR="005161D1" w:rsidRPr="00AF0C81" w:rsidRDefault="005161D1" w:rsidP="005161D1">
            <w:pPr>
              <w:spacing w:after="0" w:line="240" w:lineRule="auto"/>
              <w:rPr>
                <w:rFonts w:eastAsia="Times New Roman" w:cs="Times New Roman"/>
                <w:b/>
                <w:bCs/>
                <w:color w:val="000000"/>
              </w:rPr>
            </w:pPr>
            <w:r w:rsidRPr="00AF0C81">
              <w:rPr>
                <w:rFonts w:eastAsia="Times New Roman" w:cs="Times New Roman"/>
                <w:b/>
                <w:bCs/>
                <w:color w:val="000000"/>
              </w:rPr>
              <w:t>2A. Extend Our Knowledge of the Natural World</w:t>
            </w:r>
          </w:p>
        </w:tc>
        <w:tc>
          <w:tcPr>
            <w:tcW w:w="3453" w:type="dxa"/>
            <w:shd w:val="clear" w:color="auto" w:fill="auto"/>
            <w:vAlign w:val="bottom"/>
            <w:hideMark/>
          </w:tcPr>
          <w:p w:rsidR="005161D1" w:rsidRPr="00AF0C81" w:rsidRDefault="005161D1" w:rsidP="005161D1">
            <w:pPr>
              <w:spacing w:after="0" w:line="240" w:lineRule="auto"/>
              <w:rPr>
                <w:rFonts w:eastAsia="Times New Roman" w:cs="Times New Roman"/>
                <w:color w:val="000000"/>
              </w:rPr>
            </w:pPr>
            <w:r w:rsidRPr="00AF0C81">
              <w:rPr>
                <w:rFonts w:eastAsia="Times New Roman" w:cs="Times New Roman"/>
                <w:color w:val="000000"/>
              </w:rPr>
              <w:t>Basic Energy Sciences</w:t>
            </w:r>
          </w:p>
        </w:tc>
      </w:tr>
      <w:tr w:rsidR="005161D1" w:rsidRPr="00AF0C81" w:rsidTr="00577A74">
        <w:trPr>
          <w:trHeight w:val="300"/>
        </w:trPr>
        <w:tc>
          <w:tcPr>
            <w:tcW w:w="2667"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2520"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3453" w:type="dxa"/>
            <w:shd w:val="clear" w:color="auto" w:fill="auto"/>
            <w:vAlign w:val="bottom"/>
            <w:hideMark/>
          </w:tcPr>
          <w:p w:rsidR="005161D1" w:rsidRPr="00AF0C81" w:rsidRDefault="005161D1" w:rsidP="005161D1">
            <w:pPr>
              <w:spacing w:after="0" w:line="240" w:lineRule="auto"/>
              <w:rPr>
                <w:rFonts w:eastAsia="Times New Roman" w:cs="Times New Roman"/>
                <w:color w:val="000000"/>
              </w:rPr>
            </w:pPr>
            <w:r w:rsidRPr="00AF0C81">
              <w:rPr>
                <w:rFonts w:eastAsia="Times New Roman" w:cs="Times New Roman"/>
                <w:color w:val="000000"/>
              </w:rPr>
              <w:t>Biological and Environmental Research</w:t>
            </w:r>
          </w:p>
        </w:tc>
      </w:tr>
      <w:tr w:rsidR="005161D1" w:rsidRPr="00AF0C81" w:rsidTr="00577A74">
        <w:trPr>
          <w:trHeight w:val="300"/>
        </w:trPr>
        <w:tc>
          <w:tcPr>
            <w:tcW w:w="2667"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2520"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3453" w:type="dxa"/>
            <w:shd w:val="clear" w:color="auto" w:fill="auto"/>
            <w:vAlign w:val="bottom"/>
            <w:hideMark/>
          </w:tcPr>
          <w:p w:rsidR="005161D1" w:rsidRPr="00AF0C81" w:rsidRDefault="005161D1" w:rsidP="005161D1">
            <w:pPr>
              <w:spacing w:after="0" w:line="240" w:lineRule="auto"/>
              <w:rPr>
                <w:rFonts w:eastAsia="Times New Roman" w:cs="Times New Roman"/>
                <w:color w:val="000000"/>
              </w:rPr>
            </w:pPr>
            <w:r w:rsidRPr="00AF0C81">
              <w:rPr>
                <w:rFonts w:eastAsia="Times New Roman" w:cs="Times New Roman"/>
                <w:color w:val="000000"/>
              </w:rPr>
              <w:t>High Energy Physics</w:t>
            </w:r>
          </w:p>
        </w:tc>
      </w:tr>
      <w:tr w:rsidR="005161D1" w:rsidRPr="00AF0C81" w:rsidTr="00577A74">
        <w:trPr>
          <w:trHeight w:val="300"/>
        </w:trPr>
        <w:tc>
          <w:tcPr>
            <w:tcW w:w="2667"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2520"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3453" w:type="dxa"/>
            <w:shd w:val="clear" w:color="auto" w:fill="auto"/>
            <w:vAlign w:val="bottom"/>
            <w:hideMark/>
          </w:tcPr>
          <w:p w:rsidR="000D14CF" w:rsidRPr="00EC33A8" w:rsidRDefault="005161D1" w:rsidP="00EC33A8">
            <w:pPr>
              <w:spacing w:after="0" w:line="240" w:lineRule="auto"/>
              <w:rPr>
                <w:rFonts w:eastAsia="Times New Roman" w:cs="Times New Roman"/>
                <w:color w:val="000000"/>
              </w:rPr>
            </w:pPr>
            <w:r w:rsidRPr="00AF0C81">
              <w:rPr>
                <w:rFonts w:eastAsia="Times New Roman" w:cs="Times New Roman"/>
                <w:color w:val="000000"/>
              </w:rPr>
              <w:t>Nuclear Physics</w:t>
            </w:r>
          </w:p>
        </w:tc>
      </w:tr>
      <w:tr w:rsidR="005161D1" w:rsidRPr="00AF0C81" w:rsidTr="00577A74">
        <w:trPr>
          <w:trHeight w:val="300"/>
        </w:trPr>
        <w:tc>
          <w:tcPr>
            <w:tcW w:w="2667"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2520" w:type="dxa"/>
            <w:vMerge w:val="restart"/>
            <w:shd w:val="clear" w:color="auto" w:fill="auto"/>
            <w:hideMark/>
          </w:tcPr>
          <w:p w:rsidR="005161D1" w:rsidRPr="00AF0C81" w:rsidRDefault="005161D1" w:rsidP="005161D1">
            <w:pPr>
              <w:spacing w:after="0" w:line="240" w:lineRule="auto"/>
              <w:rPr>
                <w:rFonts w:eastAsia="Times New Roman" w:cs="Times New Roman"/>
                <w:b/>
                <w:bCs/>
                <w:color w:val="000000"/>
              </w:rPr>
            </w:pPr>
            <w:r w:rsidRPr="00AF0C81">
              <w:rPr>
                <w:rFonts w:eastAsia="Times New Roman" w:cs="Times New Roman"/>
                <w:b/>
                <w:bCs/>
                <w:color w:val="000000"/>
              </w:rPr>
              <w:t>2B. Deliver New Technologies to Advance Our Mission</w:t>
            </w:r>
          </w:p>
        </w:tc>
        <w:tc>
          <w:tcPr>
            <w:tcW w:w="3453" w:type="dxa"/>
            <w:shd w:val="clear" w:color="auto" w:fill="auto"/>
            <w:vAlign w:val="bottom"/>
            <w:hideMark/>
          </w:tcPr>
          <w:p w:rsidR="005161D1" w:rsidRPr="00AF0C81" w:rsidRDefault="005161D1" w:rsidP="005161D1">
            <w:pPr>
              <w:spacing w:after="0" w:line="240" w:lineRule="auto"/>
              <w:rPr>
                <w:rFonts w:eastAsia="Times New Roman" w:cs="Times New Roman"/>
                <w:color w:val="000000"/>
              </w:rPr>
            </w:pPr>
            <w:r w:rsidRPr="00AF0C81">
              <w:rPr>
                <w:rFonts w:eastAsia="Times New Roman" w:cs="Times New Roman"/>
                <w:color w:val="000000"/>
              </w:rPr>
              <w:t>Advanced Scientific Computing Research</w:t>
            </w:r>
          </w:p>
        </w:tc>
      </w:tr>
      <w:tr w:rsidR="005161D1" w:rsidRPr="00AF0C81" w:rsidTr="00577A74">
        <w:trPr>
          <w:trHeight w:val="300"/>
        </w:trPr>
        <w:tc>
          <w:tcPr>
            <w:tcW w:w="2667"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2520"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3453" w:type="dxa"/>
            <w:shd w:val="clear" w:color="auto" w:fill="auto"/>
            <w:vAlign w:val="bottom"/>
            <w:hideMark/>
          </w:tcPr>
          <w:p w:rsidR="005161D1" w:rsidRPr="00AF0C81" w:rsidRDefault="005161D1" w:rsidP="005161D1">
            <w:pPr>
              <w:spacing w:after="0" w:line="240" w:lineRule="auto"/>
              <w:rPr>
                <w:rFonts w:eastAsia="Times New Roman" w:cs="Times New Roman"/>
                <w:color w:val="000000"/>
              </w:rPr>
            </w:pPr>
            <w:r w:rsidRPr="00AF0C81">
              <w:rPr>
                <w:rFonts w:eastAsia="Times New Roman" w:cs="Times New Roman"/>
                <w:color w:val="000000"/>
              </w:rPr>
              <w:t>Basic Energy Sciences</w:t>
            </w:r>
          </w:p>
        </w:tc>
      </w:tr>
      <w:tr w:rsidR="005161D1" w:rsidRPr="00AF0C81" w:rsidTr="00577A74">
        <w:trPr>
          <w:trHeight w:val="300"/>
        </w:trPr>
        <w:tc>
          <w:tcPr>
            <w:tcW w:w="2667"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2520"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3453" w:type="dxa"/>
            <w:shd w:val="clear" w:color="auto" w:fill="auto"/>
            <w:vAlign w:val="bottom"/>
            <w:hideMark/>
          </w:tcPr>
          <w:p w:rsidR="005161D1" w:rsidRPr="00AF0C81" w:rsidRDefault="005161D1" w:rsidP="005161D1">
            <w:pPr>
              <w:spacing w:after="0" w:line="240" w:lineRule="auto"/>
              <w:rPr>
                <w:rFonts w:eastAsia="Times New Roman" w:cs="Times New Roman"/>
                <w:color w:val="000000"/>
              </w:rPr>
            </w:pPr>
            <w:r w:rsidRPr="00AF0C81">
              <w:rPr>
                <w:rFonts w:eastAsia="Times New Roman" w:cs="Times New Roman"/>
                <w:color w:val="000000"/>
              </w:rPr>
              <w:t>Biological and Environmental Research</w:t>
            </w:r>
          </w:p>
        </w:tc>
      </w:tr>
      <w:tr w:rsidR="005161D1" w:rsidRPr="00AF0C81" w:rsidTr="00577A74">
        <w:trPr>
          <w:trHeight w:val="300"/>
        </w:trPr>
        <w:tc>
          <w:tcPr>
            <w:tcW w:w="2667"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2520"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3453" w:type="dxa"/>
            <w:shd w:val="clear" w:color="auto" w:fill="auto"/>
            <w:vAlign w:val="bottom"/>
            <w:hideMark/>
          </w:tcPr>
          <w:p w:rsidR="005161D1" w:rsidRPr="00AF0C81" w:rsidRDefault="005161D1" w:rsidP="005161D1">
            <w:pPr>
              <w:spacing w:after="0" w:line="240" w:lineRule="auto"/>
              <w:rPr>
                <w:rFonts w:eastAsia="Times New Roman" w:cs="Times New Roman"/>
                <w:color w:val="000000"/>
              </w:rPr>
            </w:pPr>
            <w:r w:rsidRPr="00AF0C81">
              <w:rPr>
                <w:rFonts w:eastAsia="Times New Roman" w:cs="Times New Roman"/>
                <w:color w:val="000000"/>
              </w:rPr>
              <w:t>Fusion Energy Sciences</w:t>
            </w:r>
          </w:p>
        </w:tc>
      </w:tr>
      <w:tr w:rsidR="005161D1" w:rsidRPr="00AF0C81" w:rsidTr="00577A74">
        <w:trPr>
          <w:trHeight w:val="900"/>
        </w:trPr>
        <w:tc>
          <w:tcPr>
            <w:tcW w:w="2667"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2520" w:type="dxa"/>
            <w:shd w:val="clear" w:color="auto" w:fill="auto"/>
            <w:hideMark/>
          </w:tcPr>
          <w:p w:rsidR="005161D1" w:rsidRPr="00AF0C81" w:rsidRDefault="005161D1" w:rsidP="005161D1">
            <w:pPr>
              <w:spacing w:after="0" w:line="240" w:lineRule="auto"/>
              <w:rPr>
                <w:rFonts w:eastAsia="Times New Roman" w:cs="Times New Roman"/>
                <w:b/>
                <w:bCs/>
                <w:color w:val="000000"/>
              </w:rPr>
            </w:pPr>
            <w:r w:rsidRPr="00AF0C81">
              <w:rPr>
                <w:rFonts w:eastAsia="Times New Roman" w:cs="Times New Roman"/>
                <w:b/>
                <w:bCs/>
                <w:color w:val="000000"/>
              </w:rPr>
              <w:t>2C. Sustain a World-Leading Technical Workforce</w:t>
            </w:r>
          </w:p>
        </w:tc>
        <w:tc>
          <w:tcPr>
            <w:tcW w:w="3453" w:type="dxa"/>
            <w:shd w:val="clear" w:color="auto" w:fill="auto"/>
            <w:hideMark/>
          </w:tcPr>
          <w:p w:rsidR="005161D1" w:rsidRPr="00AF0C81" w:rsidRDefault="005161D1" w:rsidP="005161D1">
            <w:pPr>
              <w:spacing w:after="0" w:line="240" w:lineRule="auto"/>
              <w:rPr>
                <w:rFonts w:eastAsia="Times New Roman" w:cs="Times New Roman"/>
                <w:color w:val="000000"/>
              </w:rPr>
            </w:pPr>
            <w:r w:rsidRPr="00AF0C81">
              <w:rPr>
                <w:rFonts w:eastAsia="Times New Roman" w:cs="Times New Roman"/>
                <w:color w:val="000000"/>
              </w:rPr>
              <w:t>Workforce Development for Teachers and Scientists</w:t>
            </w:r>
          </w:p>
        </w:tc>
      </w:tr>
    </w:tbl>
    <w:p w:rsidR="0054380B" w:rsidRDefault="0054380B" w:rsidP="005161D1">
      <w:pPr>
        <w:rPr>
          <w:b/>
        </w:rPr>
      </w:pPr>
    </w:p>
    <w:p w:rsidR="00D07302" w:rsidRPr="00AF0C81" w:rsidRDefault="00D07302" w:rsidP="005161D1">
      <w:pPr>
        <w:rPr>
          <w:b/>
        </w:rPr>
      </w:pPr>
    </w:p>
    <w:p w:rsidR="0054380B" w:rsidRPr="00AF0C81" w:rsidRDefault="0054380B" w:rsidP="0054380B">
      <w:pPr>
        <w:pStyle w:val="Heading1"/>
        <w:spacing w:before="0"/>
        <w:rPr>
          <w:rFonts w:asciiTheme="minorHAnsi" w:hAnsiTheme="minorHAnsi"/>
          <w:color w:val="4F81BD" w:themeColor="accent1"/>
          <w:sz w:val="22"/>
          <w:szCs w:val="22"/>
        </w:rPr>
      </w:pPr>
      <w:bookmarkStart w:id="132" w:name="_Toc347929434"/>
      <w:bookmarkStart w:id="133" w:name="_Toc352758999"/>
      <w:bookmarkStart w:id="134" w:name="_Toc357755947"/>
      <w:bookmarkStart w:id="135" w:name="_Toc357763478"/>
      <w:r w:rsidRPr="00AF0C81">
        <w:rPr>
          <w:rFonts w:asciiTheme="minorHAnsi" w:hAnsiTheme="minorHAnsi"/>
          <w:color w:val="4F81BD" w:themeColor="accent1"/>
          <w:sz w:val="22"/>
          <w:szCs w:val="22"/>
        </w:rPr>
        <w:t>National Nuclear Security Administration (NNSA)</w:t>
      </w:r>
      <w:bookmarkEnd w:id="132"/>
      <w:bookmarkEnd w:id="133"/>
      <w:bookmarkEnd w:id="134"/>
      <w:bookmarkEnd w:id="135"/>
    </w:p>
    <w:tbl>
      <w:tblPr>
        <w:tblStyle w:val="LightShading1"/>
        <w:tblW w:w="0" w:type="auto"/>
        <w:tblInd w:w="468" w:type="dxa"/>
        <w:tblLook w:val="04A0"/>
      </w:tblPr>
      <w:tblGrid>
        <w:gridCol w:w="2724"/>
        <w:gridCol w:w="3192"/>
        <w:gridCol w:w="2724"/>
      </w:tblGrid>
      <w:tr w:rsidR="003560BA" w:rsidRPr="00AF0C81" w:rsidTr="003560BA">
        <w:trPr>
          <w:cnfStyle w:val="100000000000"/>
        </w:trPr>
        <w:tc>
          <w:tcPr>
            <w:cnfStyle w:val="001000000000"/>
            <w:tcW w:w="8640" w:type="dxa"/>
            <w:gridSpan w:val="3"/>
          </w:tcPr>
          <w:p w:rsidR="003560BA" w:rsidRPr="00AF0C81" w:rsidRDefault="003560BA" w:rsidP="003560BA">
            <w:pPr>
              <w:jc w:val="center"/>
            </w:pPr>
            <w:r w:rsidRPr="00AF0C81">
              <w:t>Total Budget Authority (in millions of dollars)</w:t>
            </w:r>
          </w:p>
        </w:tc>
      </w:tr>
      <w:tr w:rsidR="003560BA" w:rsidRPr="00AF0C81" w:rsidTr="003560BA">
        <w:trPr>
          <w:cnfStyle w:val="000000100000"/>
        </w:trPr>
        <w:tc>
          <w:tcPr>
            <w:cnfStyle w:val="001000000000"/>
            <w:tcW w:w="2724" w:type="dxa"/>
          </w:tcPr>
          <w:p w:rsidR="003560BA" w:rsidRPr="00AF0C81" w:rsidRDefault="003560BA" w:rsidP="003560BA">
            <w:pPr>
              <w:jc w:val="center"/>
            </w:pPr>
            <w:r w:rsidRPr="00AF0C81">
              <w:t>FY 2012 actual</w:t>
            </w:r>
          </w:p>
        </w:tc>
        <w:tc>
          <w:tcPr>
            <w:tcW w:w="3192" w:type="dxa"/>
          </w:tcPr>
          <w:p w:rsidR="003560BA" w:rsidRPr="00AF0C81" w:rsidRDefault="003560BA" w:rsidP="00612752">
            <w:pPr>
              <w:jc w:val="center"/>
              <w:cnfStyle w:val="000000100000"/>
              <w:rPr>
                <w:b/>
              </w:rPr>
            </w:pPr>
            <w:r w:rsidRPr="00AF0C81">
              <w:rPr>
                <w:b/>
              </w:rPr>
              <w:t xml:space="preserve">FY 2013 </w:t>
            </w:r>
            <w:r w:rsidR="00612752">
              <w:rPr>
                <w:b/>
              </w:rPr>
              <w:t>CR</w:t>
            </w:r>
          </w:p>
        </w:tc>
        <w:tc>
          <w:tcPr>
            <w:tcW w:w="2724" w:type="dxa"/>
          </w:tcPr>
          <w:p w:rsidR="003560BA" w:rsidRPr="00AF0C81" w:rsidRDefault="003560BA" w:rsidP="003560BA">
            <w:pPr>
              <w:jc w:val="center"/>
              <w:cnfStyle w:val="000000100000"/>
              <w:rPr>
                <w:b/>
              </w:rPr>
            </w:pPr>
            <w:r w:rsidRPr="00AF0C81">
              <w:rPr>
                <w:b/>
              </w:rPr>
              <w:t>FY 2014 est.</w:t>
            </w:r>
          </w:p>
        </w:tc>
      </w:tr>
      <w:tr w:rsidR="003560BA" w:rsidRPr="00AF0C81" w:rsidTr="003560BA">
        <w:tc>
          <w:tcPr>
            <w:cnfStyle w:val="001000000000"/>
            <w:tcW w:w="2724" w:type="dxa"/>
          </w:tcPr>
          <w:p w:rsidR="003560BA" w:rsidRPr="00AF0C81" w:rsidRDefault="00E400AF" w:rsidP="003560BA">
            <w:pPr>
              <w:jc w:val="center"/>
            </w:pPr>
            <w:r>
              <w:rPr>
                <w:b w:val="0"/>
              </w:rPr>
              <w:t>11,005.8</w:t>
            </w:r>
          </w:p>
        </w:tc>
        <w:tc>
          <w:tcPr>
            <w:tcW w:w="3192" w:type="dxa"/>
          </w:tcPr>
          <w:p w:rsidR="003560BA" w:rsidRPr="00AF0C81" w:rsidRDefault="009D3DDD" w:rsidP="003560BA">
            <w:pPr>
              <w:jc w:val="center"/>
              <w:cnfStyle w:val="000000000000"/>
            </w:pPr>
            <w:r>
              <w:t>11,466.4</w:t>
            </w:r>
          </w:p>
        </w:tc>
        <w:tc>
          <w:tcPr>
            <w:tcW w:w="2724" w:type="dxa"/>
          </w:tcPr>
          <w:p w:rsidR="003560BA" w:rsidRPr="00AF0C81" w:rsidRDefault="009D3DDD" w:rsidP="00353BB7">
            <w:pPr>
              <w:jc w:val="center"/>
              <w:cnfStyle w:val="000000000000"/>
            </w:pPr>
            <w:r>
              <w:t>11,652.</w:t>
            </w:r>
            <w:r w:rsidR="00353BB7">
              <w:t>5</w:t>
            </w:r>
          </w:p>
        </w:tc>
      </w:tr>
    </w:tbl>
    <w:p w:rsidR="003560BA" w:rsidRPr="00AF0C81" w:rsidRDefault="003560BA" w:rsidP="0054380B">
      <w:pPr>
        <w:spacing w:after="0"/>
        <w:rPr>
          <w:color w:val="000000"/>
        </w:rPr>
      </w:pPr>
    </w:p>
    <w:p w:rsidR="0054380B" w:rsidRPr="00AF0C81" w:rsidRDefault="0054380B" w:rsidP="0054380B">
      <w:pPr>
        <w:spacing w:after="0"/>
        <w:rPr>
          <w:color w:val="000000"/>
        </w:rPr>
      </w:pPr>
      <w:r w:rsidRPr="00AF0C81">
        <w:rPr>
          <w:color w:val="000000"/>
        </w:rPr>
        <w:t xml:space="preserve">NNSA is responsible for the management and security of the nation’s nuclear weapons, nuclear nonproliferation, and naval reactor programs.  It also responds to nuclear and radiological emergencies in the United States and abroad.  Additionally, NNSA federal agents provide safe and secure transportation of nuclear weapons and components and special nuclear materials along with other missions supporting national security.  (NNSA website:  </w:t>
      </w:r>
      <w:hyperlink r:id="rId27" w:history="1">
        <w:r w:rsidRPr="00AF0C81">
          <w:rPr>
            <w:rStyle w:val="Hyperlink"/>
          </w:rPr>
          <w:t>http://www.nnsa.energy.gov/</w:t>
        </w:r>
      </w:hyperlink>
      <w:r w:rsidRPr="00AF0C81">
        <w:rPr>
          <w:color w:val="000000"/>
        </w:rPr>
        <w:t>)</w:t>
      </w:r>
    </w:p>
    <w:p w:rsidR="00822988" w:rsidRPr="00AF0C81" w:rsidRDefault="00822988" w:rsidP="004B0117">
      <w:pPr>
        <w:pStyle w:val="Heading2"/>
        <w:ind w:firstLine="720"/>
        <w:rPr>
          <w:rFonts w:asciiTheme="minorHAnsi" w:hAnsiTheme="minorHAnsi"/>
          <w:color w:val="17365D" w:themeColor="text2" w:themeShade="BF"/>
          <w:sz w:val="22"/>
          <w:szCs w:val="22"/>
        </w:rPr>
      </w:pPr>
      <w:bookmarkStart w:id="136" w:name="_Toc352759000"/>
      <w:bookmarkStart w:id="137" w:name="_Toc357755948"/>
      <w:bookmarkStart w:id="138" w:name="_Toc357763479"/>
      <w:r w:rsidRPr="00AF0C81">
        <w:rPr>
          <w:rFonts w:asciiTheme="minorHAnsi" w:hAnsiTheme="minorHAnsi"/>
          <w:color w:val="17365D" w:themeColor="text2" w:themeShade="BF"/>
          <w:sz w:val="22"/>
          <w:szCs w:val="22"/>
        </w:rPr>
        <w:t>Directed Stockpile Work</w:t>
      </w:r>
      <w:bookmarkEnd w:id="136"/>
      <w:bookmarkEnd w:id="137"/>
      <w:bookmarkEnd w:id="138"/>
    </w:p>
    <w:p w:rsidR="00822988" w:rsidRPr="00AF0C81" w:rsidRDefault="00822988" w:rsidP="00822988">
      <w:pPr>
        <w:spacing w:after="0"/>
        <w:rPr>
          <w:color w:val="000000"/>
        </w:rPr>
      </w:pPr>
      <w:r w:rsidRPr="00AF0C81">
        <w:rPr>
          <w:color w:val="000000"/>
        </w:rPr>
        <w:t>Maintain the U.S. nuclear weapons stockpile and dismantle excess nuclear weapons to meet national nuclear security requirements as assigned by the President through the Nuclear Posture Review.</w:t>
      </w:r>
    </w:p>
    <w:p w:rsidR="00822988" w:rsidRPr="00AF0C81" w:rsidRDefault="00822988" w:rsidP="004B0117">
      <w:pPr>
        <w:pStyle w:val="Heading2"/>
        <w:ind w:firstLine="720"/>
        <w:rPr>
          <w:rFonts w:asciiTheme="minorHAnsi" w:hAnsiTheme="minorHAnsi"/>
          <w:color w:val="17365D" w:themeColor="text2" w:themeShade="BF"/>
          <w:sz w:val="22"/>
          <w:szCs w:val="22"/>
        </w:rPr>
      </w:pPr>
      <w:bookmarkStart w:id="139" w:name="_Toc352759001"/>
      <w:bookmarkStart w:id="140" w:name="_Toc357755949"/>
      <w:bookmarkStart w:id="141" w:name="_Toc357763480"/>
      <w:r w:rsidRPr="00AF0C81">
        <w:rPr>
          <w:rFonts w:asciiTheme="minorHAnsi" w:hAnsiTheme="minorHAnsi"/>
          <w:color w:val="17365D" w:themeColor="text2" w:themeShade="BF"/>
          <w:sz w:val="22"/>
          <w:szCs w:val="22"/>
        </w:rPr>
        <w:t>Science Campaign</w:t>
      </w:r>
      <w:bookmarkEnd w:id="139"/>
      <w:bookmarkEnd w:id="140"/>
      <w:bookmarkEnd w:id="141"/>
    </w:p>
    <w:p w:rsidR="00822988" w:rsidRPr="00AF0C81" w:rsidRDefault="00822988" w:rsidP="00822988">
      <w:pPr>
        <w:spacing w:after="0"/>
        <w:rPr>
          <w:color w:val="000000"/>
        </w:rPr>
      </w:pPr>
      <w:r w:rsidRPr="00AF0C81">
        <w:rPr>
          <w:color w:val="000000"/>
        </w:rPr>
        <w:t>The Science Campaign develops our nation’s scientific capabilities and experimental infrastructure used to assess the safety, security, reliability, and performance of the nuclear explosives package (NEP) without reliance on further underground testing. The Science Campaign supports this evaluation by developing certification and assessment tools and the experimental platforms to inform, validate, and provide confidence in our essential predictive capabilities. Its science-based approach provides the fundamental knowledge needed to: (1) provide a quantitative measure of confidence in weapons performance; (2) address and reduce uncertainties in our predictive capabilities; (3) predict the performance of the NEP as components age; (4) inform decisions for Stockpile Stewardship Programs; and (5) exercise readiness capabilities through experiments and assessments.</w:t>
      </w:r>
    </w:p>
    <w:p w:rsidR="00822988" w:rsidRPr="00AF0C81" w:rsidRDefault="00822988" w:rsidP="004B0117">
      <w:pPr>
        <w:pStyle w:val="Heading2"/>
        <w:ind w:firstLine="720"/>
        <w:rPr>
          <w:rFonts w:asciiTheme="minorHAnsi" w:hAnsiTheme="minorHAnsi"/>
          <w:color w:val="17365D" w:themeColor="text2" w:themeShade="BF"/>
          <w:sz w:val="22"/>
          <w:szCs w:val="22"/>
        </w:rPr>
      </w:pPr>
      <w:bookmarkStart w:id="142" w:name="_Toc352759002"/>
      <w:bookmarkStart w:id="143" w:name="_Toc357755950"/>
      <w:bookmarkStart w:id="144" w:name="_Toc357763481"/>
      <w:r w:rsidRPr="00AF0C81">
        <w:rPr>
          <w:rFonts w:asciiTheme="minorHAnsi" w:hAnsiTheme="minorHAnsi"/>
          <w:color w:val="17365D" w:themeColor="text2" w:themeShade="BF"/>
          <w:sz w:val="22"/>
          <w:szCs w:val="22"/>
        </w:rPr>
        <w:t>Engineering Campaign</w:t>
      </w:r>
      <w:bookmarkEnd w:id="142"/>
      <w:bookmarkEnd w:id="143"/>
      <w:bookmarkEnd w:id="144"/>
    </w:p>
    <w:p w:rsidR="00822988" w:rsidRPr="00AF0C81" w:rsidRDefault="00822988" w:rsidP="00822988">
      <w:pPr>
        <w:spacing w:after="0"/>
        <w:rPr>
          <w:color w:val="000000"/>
        </w:rPr>
      </w:pPr>
      <w:r w:rsidRPr="00AF0C81">
        <w:rPr>
          <w:color w:val="000000"/>
        </w:rPr>
        <w:t>The Engineering Campaign provides the modern tools and capabilities needed to ensure the safety, security, reliability and effectiveness of the United States nuclear weapons stockpile. It provides the fundamental and sustained engineering basis for stockpile certification and assessments that are needed throughout the entire lifecycle of each weapon. The Engineering Campaign funds activities that assess and improve fielded nuclear and non-nuclear engineering components without further underground testing. Additionally, this Campaign increases the ability of the National Nuclear Security Administration (NNSA) to predict the response of weapon components and subsystems to harsh environments and to the effects of aging. In accordance with the 2010 Nuclear Posture Review Report, the Engineering Campaign directly supports “strengthening the science, technology, and engineering (ST&amp;E) base needed for conducting weapon system LEPs, maturing advanced technologies to increase weapons surety, qualification of weapon components and certifying weapons without nuclear testing, and providing annual stockpile assessments through weapons surveillance.</w:t>
      </w:r>
    </w:p>
    <w:p w:rsidR="00822988" w:rsidRPr="00AF0C81" w:rsidRDefault="00822988" w:rsidP="004B0117">
      <w:pPr>
        <w:pStyle w:val="Heading2"/>
        <w:ind w:firstLine="720"/>
        <w:rPr>
          <w:rFonts w:asciiTheme="minorHAnsi" w:hAnsiTheme="minorHAnsi"/>
          <w:color w:val="17365D" w:themeColor="text2" w:themeShade="BF"/>
          <w:sz w:val="22"/>
          <w:szCs w:val="22"/>
        </w:rPr>
      </w:pPr>
      <w:bookmarkStart w:id="145" w:name="_Toc352759003"/>
      <w:bookmarkStart w:id="146" w:name="_Toc357755951"/>
      <w:bookmarkStart w:id="147" w:name="_Toc357763482"/>
      <w:r w:rsidRPr="00AF0C81">
        <w:rPr>
          <w:rFonts w:asciiTheme="minorHAnsi" w:hAnsiTheme="minorHAnsi"/>
          <w:color w:val="17365D" w:themeColor="text2" w:themeShade="BF"/>
          <w:sz w:val="22"/>
          <w:szCs w:val="22"/>
        </w:rPr>
        <w:t>Inertial Confinement Fusion Ignition and High Yield Campaign</w:t>
      </w:r>
      <w:bookmarkEnd w:id="145"/>
      <w:bookmarkEnd w:id="146"/>
      <w:bookmarkEnd w:id="147"/>
    </w:p>
    <w:p w:rsidR="00822988" w:rsidRPr="00AF0C81" w:rsidRDefault="00822988" w:rsidP="00822988">
      <w:pPr>
        <w:spacing w:after="0"/>
        <w:rPr>
          <w:color w:val="000000"/>
        </w:rPr>
      </w:pPr>
      <w:r w:rsidRPr="00AF0C81">
        <w:rPr>
          <w:color w:val="000000"/>
        </w:rPr>
        <w:t>The Inertial Confinement Fusion (ICF) Ignition and High Yield Campaign provides the experimental capabilities and scientific understanding in high-energy density physics necessary to maintain a safe, secure, and reliable nuclear weapons stockpile without underground testing. Science-based weapons assessments and certification requires advanced experimental capabilities that can create and study matter under extreme conditions that approach the high energy density (HED) environments found in a nuclear explosion. The ICF Campaign provides this capability through the development and use of advanced experimental tools and techniques, including state-of-the-art laser and pulsed power facilities. The development of thermonuclear ignition and its applications in the laboratory will provide important information to support assessment and certification of the stockpile. It is the most important component of the ICF Campaign and a major goal for the National Nuclear Security Administration (NNSA) and the U.S. Department of Energy (DOE).</w:t>
      </w:r>
    </w:p>
    <w:p w:rsidR="00822988" w:rsidRPr="00AF0C81" w:rsidRDefault="00822988" w:rsidP="0080071F">
      <w:pPr>
        <w:pStyle w:val="Heading2"/>
        <w:ind w:firstLine="720"/>
        <w:rPr>
          <w:rFonts w:asciiTheme="minorHAnsi" w:hAnsiTheme="minorHAnsi"/>
          <w:color w:val="17365D" w:themeColor="text2" w:themeShade="BF"/>
          <w:sz w:val="22"/>
          <w:szCs w:val="22"/>
        </w:rPr>
      </w:pPr>
      <w:bookmarkStart w:id="148" w:name="_Toc352759004"/>
      <w:bookmarkStart w:id="149" w:name="_Toc357755952"/>
      <w:bookmarkStart w:id="150" w:name="_Toc357763483"/>
      <w:r w:rsidRPr="00AF0C81">
        <w:rPr>
          <w:rFonts w:asciiTheme="minorHAnsi" w:hAnsiTheme="minorHAnsi"/>
          <w:color w:val="17365D" w:themeColor="text2" w:themeShade="BF"/>
          <w:sz w:val="22"/>
          <w:szCs w:val="22"/>
        </w:rPr>
        <w:t>Advanced Simulation and Computing Campaign</w:t>
      </w:r>
      <w:bookmarkEnd w:id="148"/>
      <w:bookmarkEnd w:id="149"/>
      <w:bookmarkEnd w:id="150"/>
    </w:p>
    <w:p w:rsidR="00822988" w:rsidRPr="00AF0C81" w:rsidRDefault="00822988" w:rsidP="00822988">
      <w:pPr>
        <w:spacing w:after="0"/>
        <w:rPr>
          <w:color w:val="000000"/>
        </w:rPr>
      </w:pPr>
      <w:r w:rsidRPr="00AF0C81">
        <w:rPr>
          <w:color w:val="000000"/>
        </w:rPr>
        <w:t>The Advanced Simulation and Computing (ASC) Campaign provides leading edge, high-end simulation capabilities to meet the requirements of weapons assessment and certification, including weapon codes, weapons science, computing platforms, and supporting infrastructure. The ASC Campaign serves as the computational surrogate for nuclear testing to determine weapon behavior. The ASC Campaign underpins the Annual Assessment of the stockpile, and is an integrating element of the Predictive Capability Framework.</w:t>
      </w:r>
    </w:p>
    <w:p w:rsidR="00822988" w:rsidRPr="00AF0C81" w:rsidRDefault="00822988" w:rsidP="0080071F">
      <w:pPr>
        <w:pStyle w:val="Heading2"/>
        <w:ind w:left="720"/>
        <w:rPr>
          <w:rFonts w:asciiTheme="minorHAnsi" w:hAnsiTheme="minorHAnsi"/>
          <w:color w:val="17365D" w:themeColor="text2" w:themeShade="BF"/>
          <w:sz w:val="22"/>
          <w:szCs w:val="22"/>
        </w:rPr>
      </w:pPr>
      <w:bookmarkStart w:id="151" w:name="_Toc352759005"/>
      <w:bookmarkStart w:id="152" w:name="_Toc357755953"/>
      <w:bookmarkStart w:id="153" w:name="_Toc357763484"/>
      <w:r w:rsidRPr="00AF0C81">
        <w:rPr>
          <w:rFonts w:asciiTheme="minorHAnsi" w:hAnsiTheme="minorHAnsi"/>
          <w:color w:val="17365D" w:themeColor="text2" w:themeShade="BF"/>
          <w:sz w:val="22"/>
          <w:szCs w:val="22"/>
        </w:rPr>
        <w:t>Readiness Campaign</w:t>
      </w:r>
      <w:bookmarkEnd w:id="151"/>
      <w:bookmarkEnd w:id="152"/>
      <w:bookmarkEnd w:id="153"/>
    </w:p>
    <w:p w:rsidR="00822988" w:rsidRPr="00AF0C81" w:rsidRDefault="00822988" w:rsidP="00822988">
      <w:pPr>
        <w:spacing w:after="0"/>
        <w:rPr>
          <w:color w:val="000000"/>
        </w:rPr>
      </w:pPr>
      <w:r w:rsidRPr="00AF0C81">
        <w:rPr>
          <w:color w:val="000000"/>
        </w:rPr>
        <w:t>The Readiness Campaign operates the capability for producing tritium to maintain the national inventory needed for the nuclear weapons stockpile and selects and matures production processes and technologies that are required for manufacturing components to meet Directed Stockpile Work production requirements.</w:t>
      </w:r>
    </w:p>
    <w:p w:rsidR="00822988" w:rsidRPr="00AF0C81" w:rsidRDefault="00822988" w:rsidP="0080071F">
      <w:pPr>
        <w:pStyle w:val="Heading2"/>
        <w:ind w:firstLine="720"/>
        <w:rPr>
          <w:rFonts w:asciiTheme="minorHAnsi" w:hAnsiTheme="minorHAnsi"/>
          <w:color w:val="17365D" w:themeColor="text2" w:themeShade="BF"/>
          <w:sz w:val="22"/>
          <w:szCs w:val="22"/>
        </w:rPr>
      </w:pPr>
      <w:bookmarkStart w:id="154" w:name="_Toc352759006"/>
      <w:bookmarkStart w:id="155" w:name="_Toc357755954"/>
      <w:bookmarkStart w:id="156" w:name="_Toc357763485"/>
      <w:r w:rsidRPr="00612752">
        <w:rPr>
          <w:rFonts w:asciiTheme="minorHAnsi" w:hAnsiTheme="minorHAnsi"/>
          <w:color w:val="17365D" w:themeColor="text2" w:themeShade="BF"/>
          <w:sz w:val="22"/>
          <w:szCs w:val="22"/>
        </w:rPr>
        <w:t>Nuclear Programs</w:t>
      </w:r>
      <w:bookmarkEnd w:id="154"/>
      <w:bookmarkEnd w:id="155"/>
      <w:bookmarkEnd w:id="156"/>
    </w:p>
    <w:p w:rsidR="001D75EC" w:rsidRDefault="001D75EC" w:rsidP="001D75EC">
      <w:pPr>
        <w:rPr>
          <w:color w:val="1F497D"/>
        </w:rPr>
      </w:pPr>
      <w:r w:rsidRPr="00651E88">
        <w:rPr>
          <w:color w:val="000000"/>
        </w:rPr>
        <w:t>Nuclear Programs supports the Weapons Activities of the National Nuclear Security Administration (NNSA) by performing mission-essential functions with a focus on capability investments, Special Nuclear Material (SNM) processing, and SNM inventory management. Nuclear Programs accomplishes its mission by achieving the following goals:  develop and execute SNM strategies for Defense Programs (DP) operations; develop and operate SNM processing technology improvements and functionality; manage capability investments and line-item construction projects, supply required quantities of program nuclear materials for immediate production use and reserve use in strategic inventories; recycle, recover, and store nuclear and select non-nuclear program materials; and sustain program skills through personnel training and development.</w:t>
      </w:r>
    </w:p>
    <w:p w:rsidR="00822988" w:rsidRPr="00AF0C81" w:rsidRDefault="001D75EC" w:rsidP="0080071F">
      <w:pPr>
        <w:pStyle w:val="Heading2"/>
        <w:ind w:firstLine="720"/>
        <w:rPr>
          <w:rFonts w:asciiTheme="minorHAnsi" w:hAnsiTheme="minorHAnsi"/>
          <w:color w:val="17365D" w:themeColor="text2" w:themeShade="BF"/>
          <w:sz w:val="22"/>
          <w:szCs w:val="22"/>
        </w:rPr>
      </w:pPr>
      <w:r w:rsidRPr="00AF0C81" w:rsidDel="001D75EC">
        <w:rPr>
          <w:color w:val="000000"/>
        </w:rPr>
        <w:t xml:space="preserve">  </w:t>
      </w:r>
      <w:bookmarkStart w:id="157" w:name="_Toc352759007"/>
      <w:bookmarkStart w:id="158" w:name="_Toc357755955"/>
      <w:bookmarkStart w:id="159" w:name="_Toc357763486"/>
      <w:r w:rsidR="00822988" w:rsidRPr="00AF0C81">
        <w:rPr>
          <w:rFonts w:asciiTheme="minorHAnsi" w:hAnsiTheme="minorHAnsi"/>
          <w:color w:val="17365D" w:themeColor="text2" w:themeShade="BF"/>
          <w:sz w:val="22"/>
          <w:szCs w:val="22"/>
        </w:rPr>
        <w:t>Secure Transportation Asset</w:t>
      </w:r>
      <w:bookmarkEnd w:id="157"/>
      <w:bookmarkEnd w:id="158"/>
      <w:bookmarkEnd w:id="159"/>
    </w:p>
    <w:p w:rsidR="00822988" w:rsidRDefault="00822988" w:rsidP="00822988">
      <w:pPr>
        <w:spacing w:after="0"/>
        <w:rPr>
          <w:color w:val="000000"/>
        </w:rPr>
      </w:pPr>
      <w:r w:rsidRPr="00AF0C81">
        <w:rPr>
          <w:color w:val="000000"/>
        </w:rPr>
        <w:t>As a departmental asset, the Secure Transportation Asset (STA) program safely and securely transports nuclear weapons, weapons components, and special nuclear materials to meet projected Department of Energy (DOE), Department of Defense (DoD), and other customer requirements.</w:t>
      </w:r>
    </w:p>
    <w:p w:rsidR="00125D76" w:rsidRPr="00AF0C81" w:rsidRDefault="00125D76" w:rsidP="00822988">
      <w:pPr>
        <w:spacing w:after="0"/>
        <w:rPr>
          <w:color w:val="000000"/>
        </w:rPr>
      </w:pPr>
    </w:p>
    <w:p w:rsidR="00822988" w:rsidRPr="00AF0C81" w:rsidRDefault="00822988" w:rsidP="00822988">
      <w:pPr>
        <w:spacing w:after="0"/>
        <w:rPr>
          <w:color w:val="000000"/>
        </w:rPr>
      </w:pPr>
      <w:r w:rsidRPr="00AF0C81">
        <w:rPr>
          <w:color w:val="000000"/>
        </w:rPr>
        <w:t>STA contains two activities – Program Direction, and Operations and Equipment.  Program Direction provides primarily for the federal agents and the secure transportation workforce. Operations and Equipment provides for STA’s transportation service infrastructure that is critical in meeting the stockpile refurbishment and modernization initiatives of the nuclear security enterprise.</w:t>
      </w:r>
    </w:p>
    <w:p w:rsidR="00822988" w:rsidRPr="00AF0C81" w:rsidRDefault="00822988" w:rsidP="0080071F">
      <w:pPr>
        <w:pStyle w:val="Heading2"/>
        <w:ind w:firstLine="720"/>
        <w:rPr>
          <w:rFonts w:asciiTheme="minorHAnsi" w:hAnsiTheme="minorHAnsi"/>
          <w:color w:val="17365D" w:themeColor="text2" w:themeShade="BF"/>
          <w:sz w:val="22"/>
          <w:szCs w:val="22"/>
        </w:rPr>
      </w:pPr>
      <w:bookmarkStart w:id="160" w:name="_Toc352759009"/>
      <w:bookmarkStart w:id="161" w:name="_Toc357755956"/>
      <w:bookmarkStart w:id="162" w:name="_Toc357763487"/>
      <w:r w:rsidRPr="00AF0C81">
        <w:rPr>
          <w:rFonts w:asciiTheme="minorHAnsi" w:hAnsiTheme="minorHAnsi"/>
          <w:color w:val="17365D" w:themeColor="text2" w:themeShade="BF"/>
          <w:sz w:val="22"/>
          <w:szCs w:val="22"/>
        </w:rPr>
        <w:t>Facilities and Infrastructure Recapitalization Program</w:t>
      </w:r>
      <w:bookmarkEnd w:id="160"/>
      <w:bookmarkEnd w:id="161"/>
      <w:bookmarkEnd w:id="162"/>
    </w:p>
    <w:p w:rsidR="00822988" w:rsidRPr="00AF0C81" w:rsidRDefault="00822988" w:rsidP="00822988">
      <w:pPr>
        <w:spacing w:after="0"/>
        <w:rPr>
          <w:color w:val="000000"/>
        </w:rPr>
      </w:pPr>
      <w:r w:rsidRPr="00AF0C81">
        <w:rPr>
          <w:color w:val="000000"/>
        </w:rPr>
        <w:t>The Facilities and Infrastructure Recapitalization Program (FIRP) continues its mission to restore, rebuild and revitalize the physical infrastructure of the nuclear security enterprise.  The program funding is utilized to address an integrated, prioritized series of repair and infrastructure projects that significantly increase the operational efficiency and effectiveness of the NNSA nuclear security enterprise sites by focusing on elimination of legacy deferred maintenance.  FIRP improves safety and is able to readily respond to changing missions, priorities and decisions affecting both sites and their facilities within the nuclear security enterprise through the implementation of its prioritized project list that targets the highest priority facilities and infrastructure deficiencies first.</w:t>
      </w:r>
    </w:p>
    <w:p w:rsidR="00822988" w:rsidRPr="00AF0C81" w:rsidRDefault="00822988" w:rsidP="0080071F">
      <w:pPr>
        <w:pStyle w:val="Heading2"/>
        <w:ind w:firstLine="720"/>
        <w:rPr>
          <w:rFonts w:asciiTheme="minorHAnsi" w:hAnsiTheme="minorHAnsi"/>
          <w:color w:val="17365D" w:themeColor="text2" w:themeShade="BF"/>
          <w:sz w:val="22"/>
          <w:szCs w:val="22"/>
        </w:rPr>
      </w:pPr>
      <w:bookmarkStart w:id="163" w:name="_Toc352759010"/>
      <w:bookmarkStart w:id="164" w:name="_Toc357755957"/>
      <w:bookmarkStart w:id="165" w:name="_Toc357763488"/>
      <w:r w:rsidRPr="00AF0C81">
        <w:rPr>
          <w:rFonts w:asciiTheme="minorHAnsi" w:hAnsiTheme="minorHAnsi"/>
          <w:color w:val="17365D" w:themeColor="text2" w:themeShade="BF"/>
          <w:sz w:val="22"/>
          <w:szCs w:val="22"/>
        </w:rPr>
        <w:t>Site Stewardship</w:t>
      </w:r>
      <w:bookmarkEnd w:id="163"/>
      <w:bookmarkEnd w:id="164"/>
      <w:bookmarkEnd w:id="165"/>
    </w:p>
    <w:p w:rsidR="00822988" w:rsidRPr="00AF0C81" w:rsidRDefault="00822988" w:rsidP="00822988">
      <w:pPr>
        <w:spacing w:after="0"/>
        <w:rPr>
          <w:color w:val="000000"/>
        </w:rPr>
      </w:pPr>
      <w:r w:rsidRPr="00AF0C81">
        <w:rPr>
          <w:color w:val="000000"/>
        </w:rPr>
        <w:t>The goal of Site Stewardship is to ensure the overall health and viability of the NNSA nuclear security enterprise and to support the Department of Energy and other national missions, bringing focus on environmental compliance, sustainability and energy efficiency and nuclear materials disposition. The program goal and objectives of Site Stewardship align with the Department’s Strategic Plan (May 2011) goals and management principles, by ensuring capabilities and resources are available to address a number of environmental, energy, security and management challenges. Site Stewardship consists of Environmental Projects and Operations, Nuclear Materials Integration, Energy Modernization and Investment Program, and Corporate Project Management.</w:t>
      </w:r>
    </w:p>
    <w:p w:rsidR="004B0117" w:rsidRPr="00AF0C81" w:rsidRDefault="004B0117" w:rsidP="0080071F">
      <w:pPr>
        <w:pStyle w:val="Heading2"/>
        <w:ind w:firstLine="720"/>
        <w:rPr>
          <w:rFonts w:asciiTheme="minorHAnsi" w:hAnsiTheme="minorHAnsi"/>
          <w:color w:val="17365D" w:themeColor="text2" w:themeShade="BF"/>
          <w:sz w:val="22"/>
          <w:szCs w:val="22"/>
        </w:rPr>
      </w:pPr>
      <w:bookmarkStart w:id="166" w:name="_Toc352759011"/>
      <w:bookmarkStart w:id="167" w:name="_Toc357755958"/>
      <w:bookmarkStart w:id="168" w:name="_Toc357763489"/>
      <w:r w:rsidRPr="00AF0C81">
        <w:rPr>
          <w:rFonts w:asciiTheme="minorHAnsi" w:hAnsiTheme="minorHAnsi"/>
          <w:color w:val="17365D" w:themeColor="text2" w:themeShade="BF"/>
          <w:sz w:val="22"/>
          <w:szCs w:val="22"/>
        </w:rPr>
        <w:t>Defense Nuclear Security</w:t>
      </w:r>
      <w:bookmarkEnd w:id="166"/>
      <w:bookmarkEnd w:id="167"/>
      <w:bookmarkEnd w:id="168"/>
    </w:p>
    <w:p w:rsidR="004B0117" w:rsidRPr="00AF0C81" w:rsidRDefault="004B0117" w:rsidP="004B0117">
      <w:pPr>
        <w:spacing w:after="0"/>
        <w:rPr>
          <w:color w:val="000000"/>
        </w:rPr>
      </w:pPr>
      <w:r w:rsidRPr="00AF0C81">
        <w:rPr>
          <w:color w:val="000000"/>
        </w:rPr>
        <w:t>Safeguards and Security (S&amp;S) is comprised of two Government Performance and Results Act (GPRA) Unit Programs. The Defense Nuclear Security (DNS) program, managed by the National Nuclear Security Administration (NNSA) Associate Administrator for Defense Nuclear Security, provides protection for NNSA personnel, facilities, nuclear weapons, and information from a full spectrum of threats, most notably from terrorism, which has become of paramount concern since the September 11, 2001 attacks. The National Nuclear Security Administration (NNSA) Chief Information Officer (CIO) Activities program (formerly Cyber Security), managed by the NNSA Chief Information Officer, provides the requisite guidance needed to ensure that sufficient information management security safeguards are implemented throughout the NNSA enterprise. These program efforts are integrated under NNSA’s Chief of Defense Nuclear Security.</w:t>
      </w:r>
    </w:p>
    <w:p w:rsidR="004B0117" w:rsidRPr="00AF0C81" w:rsidRDefault="004B0117" w:rsidP="0080071F">
      <w:pPr>
        <w:pStyle w:val="Heading2"/>
        <w:ind w:firstLine="720"/>
        <w:rPr>
          <w:rFonts w:asciiTheme="minorHAnsi" w:hAnsiTheme="minorHAnsi"/>
          <w:color w:val="17365D" w:themeColor="text2" w:themeShade="BF"/>
          <w:sz w:val="22"/>
          <w:szCs w:val="22"/>
        </w:rPr>
      </w:pPr>
      <w:bookmarkStart w:id="169" w:name="_Toc352759012"/>
      <w:bookmarkStart w:id="170" w:name="_Toc357755959"/>
      <w:bookmarkStart w:id="171" w:name="_Toc357763490"/>
      <w:r w:rsidRPr="00AF0C81">
        <w:rPr>
          <w:rFonts w:asciiTheme="minorHAnsi" w:hAnsiTheme="minorHAnsi"/>
          <w:color w:val="17365D" w:themeColor="text2" w:themeShade="BF"/>
          <w:sz w:val="22"/>
          <w:szCs w:val="22"/>
        </w:rPr>
        <w:t>NNSA CIO Activities</w:t>
      </w:r>
      <w:bookmarkEnd w:id="169"/>
      <w:bookmarkEnd w:id="170"/>
      <w:bookmarkEnd w:id="171"/>
    </w:p>
    <w:p w:rsidR="004B0117" w:rsidRPr="00AF0C81" w:rsidRDefault="004B0117" w:rsidP="004B0117">
      <w:pPr>
        <w:spacing w:after="0"/>
        <w:rPr>
          <w:color w:val="000000"/>
        </w:rPr>
      </w:pPr>
      <w:r w:rsidRPr="00AF0C81">
        <w:rPr>
          <w:color w:val="000000"/>
        </w:rPr>
        <w:t>The goal of the National Nuclear Security Administration (NNSA) Chief Information Officer (CIO) Activities program (formerly Cyber Security) is to ensure that sufficient information management security safeguards are implemented throughout the nuclear security enterprise to adequately protect the NNSA information assets and to provide the requisite guidance in compliance with the Department of Energy’s (DOE) Defense-in-Depth Cyber Security strategy and the NNSA Information Management Strategic Plan. The CIO Activities program is a Homeland Security related activity.</w:t>
      </w:r>
    </w:p>
    <w:p w:rsidR="00E35B77" w:rsidRPr="00AF0C81" w:rsidRDefault="00E35B77" w:rsidP="00E35B77">
      <w:pPr>
        <w:pStyle w:val="Heading2"/>
        <w:ind w:firstLine="720"/>
        <w:rPr>
          <w:rFonts w:asciiTheme="minorHAnsi" w:hAnsiTheme="minorHAnsi"/>
          <w:color w:val="17365D" w:themeColor="text2" w:themeShade="BF"/>
          <w:sz w:val="22"/>
          <w:szCs w:val="22"/>
        </w:rPr>
      </w:pPr>
      <w:bookmarkStart w:id="172" w:name="_Toc352759018"/>
      <w:bookmarkStart w:id="173" w:name="_Toc357755960"/>
      <w:bookmarkStart w:id="174" w:name="_Toc352759016"/>
      <w:bookmarkStart w:id="175" w:name="_Toc352759015"/>
      <w:bookmarkStart w:id="176" w:name="_Toc352759014"/>
      <w:bookmarkStart w:id="177" w:name="_Toc357763491"/>
      <w:r w:rsidRPr="00AF0C81">
        <w:rPr>
          <w:rFonts w:asciiTheme="minorHAnsi" w:hAnsiTheme="minorHAnsi"/>
          <w:color w:val="17365D" w:themeColor="text2" w:themeShade="BF"/>
          <w:sz w:val="22"/>
          <w:szCs w:val="22"/>
        </w:rPr>
        <w:t>Global Threat Reduction Initiative</w:t>
      </w:r>
      <w:bookmarkEnd w:id="172"/>
      <w:bookmarkEnd w:id="173"/>
      <w:bookmarkEnd w:id="177"/>
    </w:p>
    <w:p w:rsidR="00E35B77" w:rsidRDefault="00E35B77" w:rsidP="00E35B77">
      <w:pPr>
        <w:spacing w:after="0"/>
        <w:rPr>
          <w:color w:val="000000"/>
        </w:rPr>
      </w:pPr>
      <w:r w:rsidRPr="00AF0C81">
        <w:rPr>
          <w:color w:val="000000"/>
        </w:rPr>
        <w:t>The Global Threat Reduction Initiative (GTRI) program reduces and protects vulnerable nuclear and radiological materials located at civilian sites worldwide.</w:t>
      </w:r>
    </w:p>
    <w:p w:rsidR="00E35B77" w:rsidRPr="00AF0C81" w:rsidRDefault="00E35B77" w:rsidP="00E35B77">
      <w:pPr>
        <w:pStyle w:val="Heading2"/>
        <w:ind w:firstLine="720"/>
        <w:rPr>
          <w:rFonts w:asciiTheme="minorHAnsi" w:hAnsiTheme="minorHAnsi"/>
          <w:color w:val="17365D" w:themeColor="text2" w:themeShade="BF"/>
          <w:sz w:val="22"/>
          <w:szCs w:val="22"/>
        </w:rPr>
      </w:pPr>
      <w:bookmarkStart w:id="178" w:name="_Toc357755961"/>
      <w:bookmarkStart w:id="179" w:name="_Toc357763492"/>
      <w:r w:rsidRPr="00AF0C81">
        <w:rPr>
          <w:rFonts w:asciiTheme="minorHAnsi" w:hAnsiTheme="minorHAnsi"/>
          <w:color w:val="17365D" w:themeColor="text2" w:themeShade="BF"/>
          <w:sz w:val="22"/>
          <w:szCs w:val="22"/>
        </w:rPr>
        <w:t>International Material Protection and Cooperation</w:t>
      </w:r>
      <w:bookmarkEnd w:id="174"/>
      <w:bookmarkEnd w:id="178"/>
      <w:bookmarkEnd w:id="179"/>
    </w:p>
    <w:p w:rsidR="00E35B77" w:rsidRPr="00AF0C81" w:rsidRDefault="00E35B77" w:rsidP="00E35B77">
      <w:pPr>
        <w:spacing w:after="0"/>
        <w:rPr>
          <w:color w:val="000000"/>
        </w:rPr>
      </w:pPr>
      <w:r w:rsidRPr="00AF0C81">
        <w:rPr>
          <w:color w:val="000000"/>
        </w:rPr>
        <w:t>The International Material Protection and Cooperation (IMPC) program prevents nuclear terrorism by working in Russia and other regions of concern.</w:t>
      </w:r>
    </w:p>
    <w:p w:rsidR="00E35B77" w:rsidRPr="00AF0C81" w:rsidRDefault="00E35B77" w:rsidP="00E35B77">
      <w:pPr>
        <w:pStyle w:val="Heading2"/>
        <w:ind w:firstLine="720"/>
        <w:rPr>
          <w:rFonts w:asciiTheme="minorHAnsi" w:hAnsiTheme="minorHAnsi"/>
          <w:color w:val="17365D" w:themeColor="text2" w:themeShade="BF"/>
          <w:sz w:val="22"/>
          <w:szCs w:val="22"/>
        </w:rPr>
      </w:pPr>
      <w:bookmarkStart w:id="180" w:name="_Toc352759017"/>
      <w:bookmarkStart w:id="181" w:name="_Toc357755962"/>
      <w:bookmarkStart w:id="182" w:name="_Toc357763493"/>
      <w:r w:rsidRPr="00AF0C81">
        <w:rPr>
          <w:rFonts w:asciiTheme="minorHAnsi" w:hAnsiTheme="minorHAnsi"/>
          <w:color w:val="17365D" w:themeColor="text2" w:themeShade="BF"/>
          <w:sz w:val="22"/>
          <w:szCs w:val="22"/>
        </w:rPr>
        <w:t>Fissile Materials Disposition</w:t>
      </w:r>
      <w:bookmarkEnd w:id="180"/>
      <w:bookmarkEnd w:id="181"/>
      <w:bookmarkEnd w:id="182"/>
    </w:p>
    <w:p w:rsidR="00E35B77" w:rsidRPr="00AF0C81" w:rsidRDefault="00E35B77" w:rsidP="00E35B77">
      <w:pPr>
        <w:spacing w:after="0"/>
        <w:rPr>
          <w:color w:val="000000"/>
        </w:rPr>
      </w:pPr>
      <w:r w:rsidRPr="00AF0C81">
        <w:rPr>
          <w:color w:val="000000"/>
        </w:rPr>
        <w:t>The program goal is to eliminate surplus Russian weapon-grade plutonium and surplus United States (U.S.) weapon-grade plutonium and highly enriched uranium.  NOTE: As appropriate, performance measures will be updated to reflect the slow down for the current plutonium disposition strategy and associated activities beginning in the second half of FY 2013 and the decision resulting from the assessment of a new and affordable plutonium disposition strategy in the out years.</w:t>
      </w:r>
    </w:p>
    <w:p w:rsidR="00E35B77" w:rsidRPr="00AF0C81" w:rsidRDefault="00E35B77" w:rsidP="00E35B77">
      <w:pPr>
        <w:pStyle w:val="Heading2"/>
        <w:ind w:firstLine="720"/>
        <w:rPr>
          <w:rFonts w:asciiTheme="minorHAnsi" w:hAnsiTheme="minorHAnsi"/>
          <w:color w:val="17365D" w:themeColor="text2" w:themeShade="BF"/>
          <w:sz w:val="22"/>
          <w:szCs w:val="22"/>
        </w:rPr>
      </w:pPr>
      <w:bookmarkStart w:id="183" w:name="_Toc357755963"/>
      <w:bookmarkStart w:id="184" w:name="_Toc357763494"/>
      <w:r w:rsidRPr="00AF0C81">
        <w:rPr>
          <w:rFonts w:asciiTheme="minorHAnsi" w:hAnsiTheme="minorHAnsi"/>
          <w:color w:val="17365D" w:themeColor="text2" w:themeShade="BF"/>
          <w:sz w:val="22"/>
          <w:szCs w:val="22"/>
        </w:rPr>
        <w:t>Nonproliferation and International Security</w:t>
      </w:r>
      <w:bookmarkEnd w:id="175"/>
      <w:bookmarkEnd w:id="183"/>
      <w:bookmarkEnd w:id="184"/>
    </w:p>
    <w:p w:rsidR="00E35B77" w:rsidRPr="00AF0C81" w:rsidRDefault="00E35B77" w:rsidP="00E35B77">
      <w:pPr>
        <w:spacing w:after="0"/>
        <w:rPr>
          <w:color w:val="000000"/>
        </w:rPr>
      </w:pPr>
      <w:r w:rsidRPr="00AF0C81">
        <w:rPr>
          <w:color w:val="000000"/>
        </w:rPr>
        <w:t>The Office of Nonproliferation and International Security (NIS) supports National Nuclear Security Administration (NNSA) efforts to prevent and counter the proliferation or use of weapons of mass destruction (WMD), including materials, technology and expertise, by state and non-state actors. NIS focuses on strengthening the nonproliferation regime in order to reduce proliferation and counterterrorist risks by applying its unique expertise to safeguard nuclear material and strengthen its physical security; control the spread of WMD-related material, equipment, technology and expertise; verify nuclear reductions and compliance with nonproliferation treaties and agreements; and develop and implement Department of Energy (DOE)/NNSA nonproliferation and arms control policy. NIS pursues these objectives through four programs: (1) Nuclear Safeguards &amp; Security; (2) Nuclear Controls; (3) Nuclear Verification; and (4) Nonproliferation Policy.</w:t>
      </w:r>
    </w:p>
    <w:p w:rsidR="004B0117" w:rsidRPr="00AF0C81" w:rsidRDefault="004B0117" w:rsidP="0080071F">
      <w:pPr>
        <w:pStyle w:val="Heading2"/>
        <w:ind w:firstLine="720"/>
        <w:rPr>
          <w:rFonts w:asciiTheme="minorHAnsi" w:hAnsiTheme="minorHAnsi"/>
          <w:color w:val="17365D" w:themeColor="text2" w:themeShade="BF"/>
          <w:sz w:val="22"/>
          <w:szCs w:val="22"/>
        </w:rPr>
      </w:pPr>
      <w:bookmarkStart w:id="185" w:name="_Toc357755964"/>
      <w:bookmarkStart w:id="186" w:name="_Toc357763495"/>
      <w:r w:rsidRPr="00AF0C81">
        <w:rPr>
          <w:rFonts w:asciiTheme="minorHAnsi" w:hAnsiTheme="minorHAnsi"/>
          <w:color w:val="17365D" w:themeColor="text2" w:themeShade="BF"/>
          <w:sz w:val="22"/>
          <w:szCs w:val="22"/>
        </w:rPr>
        <w:t>Defense Nuclear Nonproliferation Research and Development</w:t>
      </w:r>
      <w:bookmarkEnd w:id="176"/>
      <w:bookmarkEnd w:id="185"/>
      <w:bookmarkEnd w:id="186"/>
    </w:p>
    <w:p w:rsidR="004B0117" w:rsidRPr="00AF0C81" w:rsidRDefault="004B0117" w:rsidP="004B0117">
      <w:pPr>
        <w:spacing w:after="0"/>
        <w:rPr>
          <w:color w:val="000000"/>
        </w:rPr>
      </w:pPr>
      <w:r w:rsidRPr="00AF0C81">
        <w:rPr>
          <w:color w:val="000000"/>
        </w:rPr>
        <w:t>This program improves U.S. national security through the development of novel technologies to detect foreign nuclear weapons proliferation/detonation and verification of foreign commitments to treaties and agreements.</w:t>
      </w:r>
    </w:p>
    <w:p w:rsidR="000863B1" w:rsidRPr="00AF0C81" w:rsidRDefault="000863B1" w:rsidP="000863B1">
      <w:pPr>
        <w:pStyle w:val="Heading2"/>
        <w:ind w:firstLine="720"/>
        <w:rPr>
          <w:rFonts w:asciiTheme="minorHAnsi" w:hAnsiTheme="minorHAnsi"/>
          <w:color w:val="17365D" w:themeColor="text2" w:themeShade="BF"/>
          <w:sz w:val="22"/>
          <w:szCs w:val="22"/>
        </w:rPr>
      </w:pPr>
      <w:bookmarkStart w:id="187" w:name="_Toc352759008"/>
      <w:bookmarkStart w:id="188" w:name="_Toc357755965"/>
      <w:bookmarkStart w:id="189" w:name="_Toc352759013"/>
      <w:bookmarkStart w:id="190" w:name="_Toc357763496"/>
      <w:r w:rsidRPr="00AF0C81">
        <w:rPr>
          <w:rFonts w:asciiTheme="minorHAnsi" w:hAnsiTheme="minorHAnsi"/>
          <w:color w:val="17365D" w:themeColor="text2" w:themeShade="BF"/>
          <w:sz w:val="22"/>
          <w:szCs w:val="22"/>
        </w:rPr>
        <w:t>Nuclear Counterterrorism Incident Response</w:t>
      </w:r>
      <w:r>
        <w:rPr>
          <w:rFonts w:asciiTheme="minorHAnsi" w:hAnsiTheme="minorHAnsi"/>
          <w:color w:val="17365D" w:themeColor="text2" w:themeShade="BF"/>
          <w:sz w:val="22"/>
          <w:szCs w:val="22"/>
        </w:rPr>
        <w:t xml:space="preserve"> Program</w:t>
      </w:r>
      <w:bookmarkEnd w:id="187"/>
      <w:bookmarkEnd w:id="188"/>
      <w:bookmarkEnd w:id="190"/>
    </w:p>
    <w:p w:rsidR="000863B1" w:rsidRPr="00AF0C81" w:rsidRDefault="000863B1" w:rsidP="000863B1">
      <w:pPr>
        <w:spacing w:after="0"/>
        <w:rPr>
          <w:color w:val="000000"/>
        </w:rPr>
      </w:pPr>
      <w:r w:rsidRPr="00AF0C81">
        <w:rPr>
          <w:color w:val="000000"/>
        </w:rPr>
        <w:t xml:space="preserve">Nuclear Counterterrorism Incident Response (NCTIR) </w:t>
      </w:r>
      <w:r>
        <w:rPr>
          <w:color w:val="000000"/>
        </w:rPr>
        <w:t>P</w:t>
      </w:r>
      <w:r w:rsidRPr="00AF0C81">
        <w:rPr>
          <w:color w:val="000000"/>
        </w:rPr>
        <w:t>rogram, formerly the Nuclear Weapons Incident Response program, responds to, and mitigates nuclear and radiological incidents worldwide and has a lead role in defending the Nation from the threat of nuclear terrorism.</w:t>
      </w:r>
    </w:p>
    <w:p w:rsidR="000863B1" w:rsidRPr="00AF0C81" w:rsidRDefault="000863B1" w:rsidP="000863B1">
      <w:pPr>
        <w:pStyle w:val="Heading2"/>
        <w:ind w:firstLine="720"/>
        <w:rPr>
          <w:rFonts w:asciiTheme="minorHAnsi" w:hAnsiTheme="minorHAnsi"/>
          <w:color w:val="17365D" w:themeColor="text2" w:themeShade="BF"/>
          <w:sz w:val="22"/>
          <w:szCs w:val="22"/>
        </w:rPr>
      </w:pPr>
      <w:bookmarkStart w:id="191" w:name="_Toc357755966"/>
      <w:bookmarkStart w:id="192" w:name="_Toc357763497"/>
      <w:r w:rsidRPr="00AF0C81">
        <w:rPr>
          <w:rFonts w:asciiTheme="minorHAnsi" w:hAnsiTheme="minorHAnsi"/>
          <w:color w:val="17365D" w:themeColor="text2" w:themeShade="BF"/>
          <w:sz w:val="22"/>
          <w:szCs w:val="22"/>
        </w:rPr>
        <w:t>Counterterrorism and Counterproliferation</w:t>
      </w:r>
      <w:bookmarkEnd w:id="189"/>
      <w:bookmarkEnd w:id="191"/>
      <w:bookmarkEnd w:id="192"/>
    </w:p>
    <w:p w:rsidR="000863B1" w:rsidRPr="00AF0C81" w:rsidRDefault="000863B1" w:rsidP="000863B1">
      <w:pPr>
        <w:spacing w:after="0"/>
        <w:rPr>
          <w:color w:val="000000"/>
        </w:rPr>
      </w:pPr>
      <w:r w:rsidRPr="00AF0C81">
        <w:rPr>
          <w:color w:val="000000"/>
        </w:rPr>
        <w:t>The Counterterrorism and Counterproliferation (CT/CP) program (formerly National Security Applications (NSA)</w:t>
      </w:r>
      <w:r w:rsidR="00097D13" w:rsidRPr="00097D13">
        <w:rPr>
          <w:color w:val="000000"/>
        </w:rPr>
        <w:t xml:space="preserve"> </w:t>
      </w:r>
      <w:r w:rsidR="00097D13">
        <w:rPr>
          <w:color w:val="000000"/>
        </w:rPr>
        <w:t>, and a portion of the former NCTIR program</w:t>
      </w:r>
      <w:r w:rsidRPr="00AF0C81">
        <w:rPr>
          <w:color w:val="000000"/>
        </w:rPr>
        <w:t xml:space="preserve">) makes strategic investments in the national security science, technology and engineering capabilities and infrastructure base that are necessary to address current and future global </w:t>
      </w:r>
      <w:r>
        <w:rPr>
          <w:color w:val="000000"/>
        </w:rPr>
        <w:t xml:space="preserve">nuclear </w:t>
      </w:r>
      <w:r w:rsidR="00097D13">
        <w:rPr>
          <w:color w:val="000000"/>
        </w:rPr>
        <w:t>counterterrorism and counterproliferation</w:t>
      </w:r>
      <w:r w:rsidRPr="00AF0C81">
        <w:rPr>
          <w:color w:val="000000"/>
        </w:rPr>
        <w:t xml:space="preserve"> issues. The CT/CP budget is separated into its own budget line to highlight technical investments. This program integrates the management, development, and maintenance of CT/CP capabilities that are relied upon by agencies across the Federal government and provides transparency, alignment, and accountability into the investments made in workforce and infrastructure to preserve </w:t>
      </w:r>
      <w:r>
        <w:rPr>
          <w:color w:val="000000"/>
        </w:rPr>
        <w:t>nuclear</w:t>
      </w:r>
      <w:r w:rsidRPr="00AF0C81">
        <w:rPr>
          <w:color w:val="000000"/>
        </w:rPr>
        <w:t xml:space="preserve"> </w:t>
      </w:r>
      <w:r w:rsidR="00097D13">
        <w:rPr>
          <w:color w:val="000000"/>
        </w:rPr>
        <w:t>CT/CP</w:t>
      </w:r>
      <w:r w:rsidRPr="00AF0C81">
        <w:rPr>
          <w:color w:val="000000"/>
        </w:rPr>
        <w:t xml:space="preserve"> capabilities into the future.</w:t>
      </w:r>
    </w:p>
    <w:p w:rsidR="004B0117" w:rsidRPr="00AF0C81" w:rsidRDefault="004B0117" w:rsidP="0080071F">
      <w:pPr>
        <w:pStyle w:val="Heading2"/>
        <w:ind w:firstLine="720"/>
        <w:rPr>
          <w:rFonts w:asciiTheme="minorHAnsi" w:hAnsiTheme="minorHAnsi"/>
          <w:color w:val="17365D" w:themeColor="text2" w:themeShade="BF"/>
          <w:sz w:val="22"/>
          <w:szCs w:val="22"/>
        </w:rPr>
      </w:pPr>
      <w:bookmarkStart w:id="193" w:name="_Toc357755967"/>
      <w:bookmarkStart w:id="194" w:name="_Toc357763498"/>
      <w:r w:rsidRPr="00AF0C81">
        <w:rPr>
          <w:rFonts w:asciiTheme="minorHAnsi" w:hAnsiTheme="minorHAnsi"/>
          <w:color w:val="17365D" w:themeColor="text2" w:themeShade="BF"/>
          <w:sz w:val="22"/>
          <w:szCs w:val="22"/>
        </w:rPr>
        <w:t>Naval Reactors</w:t>
      </w:r>
      <w:bookmarkEnd w:id="193"/>
      <w:bookmarkEnd w:id="194"/>
    </w:p>
    <w:p w:rsidR="004B0117" w:rsidRPr="00AF0C81" w:rsidRDefault="004B0117" w:rsidP="004B0117">
      <w:pPr>
        <w:spacing w:after="0"/>
        <w:rPr>
          <w:color w:val="000000"/>
        </w:rPr>
      </w:pPr>
      <w:r w:rsidRPr="00AF0C81">
        <w:rPr>
          <w:color w:val="000000"/>
        </w:rPr>
        <w:t>Naval Reactors’ mission includes ensuring the safety of reactors and associated naval nuclear propulsion plants, and control of radiation and radioactivity associated with naval nuclear propulsion activities, including prescribing and enforcing standards and regulations for these areas as they affect the environment and the safety and health of workers, operators, and the general public. Naval Reactors maintains oversight of program support in areas such as security, nuclear safeguards and transportation, radiological controls, public information, procurement, logistics, and fiscal management.</w:t>
      </w:r>
    </w:p>
    <w:p w:rsidR="004B0117" w:rsidRPr="00AF0C81" w:rsidRDefault="004B0117" w:rsidP="0080071F">
      <w:pPr>
        <w:pStyle w:val="Heading2"/>
        <w:ind w:firstLine="720"/>
        <w:rPr>
          <w:rFonts w:asciiTheme="minorHAnsi" w:hAnsiTheme="minorHAnsi"/>
          <w:color w:val="17365D" w:themeColor="text2" w:themeShade="BF"/>
          <w:sz w:val="22"/>
          <w:szCs w:val="22"/>
        </w:rPr>
      </w:pPr>
      <w:bookmarkStart w:id="195" w:name="_Toc357755968"/>
      <w:bookmarkStart w:id="196" w:name="_Toc357763499"/>
      <w:r w:rsidRPr="00AF0C81">
        <w:rPr>
          <w:rFonts w:asciiTheme="minorHAnsi" w:hAnsiTheme="minorHAnsi"/>
          <w:color w:val="17365D" w:themeColor="text2" w:themeShade="BF"/>
          <w:sz w:val="22"/>
          <w:szCs w:val="22"/>
        </w:rPr>
        <w:t>NNSA Office of the Administrator</w:t>
      </w:r>
      <w:bookmarkEnd w:id="195"/>
      <w:bookmarkEnd w:id="196"/>
    </w:p>
    <w:p w:rsidR="004B0117" w:rsidRPr="00AF0C81" w:rsidRDefault="004B0117" w:rsidP="004B0117">
      <w:pPr>
        <w:spacing w:after="0"/>
        <w:rPr>
          <w:color w:val="000000"/>
        </w:rPr>
      </w:pPr>
      <w:r w:rsidRPr="00AF0C81">
        <w:rPr>
          <w:color w:val="000000"/>
        </w:rPr>
        <w:t>The mission of Office of the Administrator is to create a well-managed, inclusive, responsive, and accountable organization through the strategic management of human capital and acquisitions and integration of budget and performance data.</w:t>
      </w:r>
    </w:p>
    <w:p w:rsidR="00822988" w:rsidRPr="00AF0C81" w:rsidRDefault="00822988" w:rsidP="00822988">
      <w:pPr>
        <w:spacing w:after="0"/>
        <w:rPr>
          <w:color w:val="000000"/>
        </w:rPr>
      </w:pPr>
    </w:p>
    <w:tbl>
      <w:tblPr>
        <w:tblW w:w="86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7"/>
        <w:gridCol w:w="2520"/>
        <w:gridCol w:w="3453"/>
      </w:tblGrid>
      <w:tr w:rsidR="005161D1" w:rsidRPr="00AF0C81" w:rsidTr="00577A74">
        <w:trPr>
          <w:trHeight w:val="300"/>
          <w:tblHeader/>
        </w:trPr>
        <w:tc>
          <w:tcPr>
            <w:tcW w:w="2667" w:type="dxa"/>
            <w:shd w:val="clear" w:color="DBE5F1" w:fill="DBE5F1"/>
            <w:vAlign w:val="bottom"/>
            <w:hideMark/>
          </w:tcPr>
          <w:p w:rsidR="005161D1" w:rsidRPr="00AF0C81" w:rsidRDefault="005161D1" w:rsidP="005161D1">
            <w:pPr>
              <w:spacing w:after="0" w:line="240" w:lineRule="auto"/>
              <w:rPr>
                <w:rFonts w:eastAsia="Times New Roman" w:cs="Times New Roman"/>
                <w:b/>
                <w:bCs/>
                <w:color w:val="000000"/>
              </w:rPr>
            </w:pPr>
            <w:r w:rsidRPr="00AF0C81">
              <w:rPr>
                <w:rFonts w:eastAsia="Times New Roman" w:cs="Times New Roman"/>
                <w:b/>
                <w:bCs/>
                <w:color w:val="000000"/>
              </w:rPr>
              <w:t>Strategic Goal</w:t>
            </w:r>
          </w:p>
        </w:tc>
        <w:tc>
          <w:tcPr>
            <w:tcW w:w="2520" w:type="dxa"/>
            <w:shd w:val="clear" w:color="DBE5F1" w:fill="DBE5F1"/>
            <w:vAlign w:val="bottom"/>
            <w:hideMark/>
          </w:tcPr>
          <w:p w:rsidR="005161D1" w:rsidRPr="00AF0C81" w:rsidRDefault="005161D1" w:rsidP="005161D1">
            <w:pPr>
              <w:spacing w:after="0" w:line="240" w:lineRule="auto"/>
              <w:rPr>
                <w:rFonts w:eastAsia="Times New Roman" w:cs="Times New Roman"/>
                <w:b/>
                <w:bCs/>
                <w:color w:val="000000"/>
              </w:rPr>
            </w:pPr>
            <w:r w:rsidRPr="00AF0C81">
              <w:rPr>
                <w:rFonts w:eastAsia="Times New Roman" w:cs="Times New Roman"/>
                <w:b/>
                <w:bCs/>
                <w:color w:val="000000"/>
              </w:rPr>
              <w:t>Strategic Objective</w:t>
            </w:r>
          </w:p>
        </w:tc>
        <w:tc>
          <w:tcPr>
            <w:tcW w:w="3453" w:type="dxa"/>
            <w:shd w:val="clear" w:color="DBE5F1" w:fill="DBE5F1"/>
            <w:vAlign w:val="bottom"/>
            <w:hideMark/>
          </w:tcPr>
          <w:p w:rsidR="005161D1" w:rsidRPr="00AF0C81" w:rsidRDefault="00D60611" w:rsidP="005161D1">
            <w:pPr>
              <w:spacing w:after="0" w:line="240" w:lineRule="auto"/>
              <w:rPr>
                <w:rFonts w:eastAsia="Times New Roman" w:cs="Times New Roman"/>
                <w:b/>
                <w:bCs/>
                <w:color w:val="000000"/>
              </w:rPr>
            </w:pPr>
            <w:r w:rsidRPr="00AF0C81">
              <w:rPr>
                <w:rFonts w:eastAsia="Times New Roman" w:cs="Times New Roman"/>
                <w:b/>
                <w:bCs/>
                <w:color w:val="000000"/>
              </w:rPr>
              <w:t>Programs</w:t>
            </w:r>
          </w:p>
        </w:tc>
      </w:tr>
      <w:tr w:rsidR="005161D1" w:rsidRPr="00AF0C81" w:rsidTr="00577A74">
        <w:trPr>
          <w:trHeight w:val="300"/>
        </w:trPr>
        <w:tc>
          <w:tcPr>
            <w:tcW w:w="2667" w:type="dxa"/>
            <w:vMerge w:val="restart"/>
            <w:shd w:val="clear" w:color="auto" w:fill="auto"/>
            <w:hideMark/>
          </w:tcPr>
          <w:p w:rsidR="005161D1" w:rsidRPr="00AF0C81" w:rsidRDefault="005161D1" w:rsidP="005161D1">
            <w:pPr>
              <w:spacing w:after="0" w:line="240" w:lineRule="auto"/>
              <w:rPr>
                <w:rFonts w:eastAsia="Times New Roman" w:cs="Times New Roman"/>
                <w:b/>
                <w:bCs/>
                <w:color w:val="000000"/>
              </w:rPr>
            </w:pPr>
            <w:r w:rsidRPr="00AF0C81">
              <w:rPr>
                <w:rFonts w:eastAsia="Times New Roman" w:cs="Times New Roman"/>
                <w:b/>
                <w:bCs/>
                <w:color w:val="000000"/>
              </w:rPr>
              <w:t xml:space="preserve">3. Secure Our Nation:  </w:t>
            </w:r>
            <w:r w:rsidRPr="00AF0C81">
              <w:rPr>
                <w:rFonts w:eastAsia="Times New Roman" w:cs="Times New Roman"/>
                <w:color w:val="000000"/>
              </w:rPr>
              <w:t>Enhance nuclear security through defense, nonproliferation, and environmental efforts</w:t>
            </w:r>
          </w:p>
        </w:tc>
        <w:tc>
          <w:tcPr>
            <w:tcW w:w="2520" w:type="dxa"/>
            <w:vMerge w:val="restart"/>
            <w:shd w:val="clear" w:color="auto" w:fill="auto"/>
            <w:hideMark/>
          </w:tcPr>
          <w:p w:rsidR="005161D1" w:rsidRPr="00AF0C81" w:rsidRDefault="005161D1" w:rsidP="005161D1">
            <w:pPr>
              <w:spacing w:after="0" w:line="240" w:lineRule="auto"/>
              <w:rPr>
                <w:rFonts w:eastAsia="Times New Roman" w:cs="Times New Roman"/>
                <w:b/>
                <w:bCs/>
                <w:color w:val="000000"/>
              </w:rPr>
            </w:pPr>
            <w:r w:rsidRPr="00AF0C81">
              <w:rPr>
                <w:rFonts w:eastAsia="Times New Roman" w:cs="Times New Roman"/>
                <w:b/>
                <w:bCs/>
                <w:color w:val="000000"/>
              </w:rPr>
              <w:t>3A. Support the U.S. Nuclear Stockpile and Future Military Needs</w:t>
            </w:r>
          </w:p>
        </w:tc>
        <w:tc>
          <w:tcPr>
            <w:tcW w:w="3453" w:type="dxa"/>
            <w:shd w:val="clear" w:color="auto" w:fill="auto"/>
            <w:vAlign w:val="bottom"/>
            <w:hideMark/>
          </w:tcPr>
          <w:p w:rsidR="005161D1" w:rsidRPr="00AF0C81" w:rsidRDefault="005161D1" w:rsidP="005161D1">
            <w:pPr>
              <w:spacing w:after="0" w:line="240" w:lineRule="auto"/>
              <w:rPr>
                <w:rFonts w:eastAsia="Times New Roman" w:cs="Times New Roman"/>
                <w:color w:val="000000"/>
              </w:rPr>
            </w:pPr>
            <w:r w:rsidRPr="00AF0C81">
              <w:rPr>
                <w:rFonts w:eastAsia="Times New Roman" w:cs="Times New Roman"/>
                <w:color w:val="000000"/>
              </w:rPr>
              <w:t>Directed Stockpile Work</w:t>
            </w:r>
          </w:p>
        </w:tc>
      </w:tr>
      <w:tr w:rsidR="005161D1" w:rsidRPr="00AF0C81" w:rsidTr="00577A74">
        <w:trPr>
          <w:trHeight w:val="300"/>
        </w:trPr>
        <w:tc>
          <w:tcPr>
            <w:tcW w:w="2667"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2520"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3453" w:type="dxa"/>
            <w:shd w:val="clear" w:color="auto" w:fill="auto"/>
            <w:vAlign w:val="bottom"/>
            <w:hideMark/>
          </w:tcPr>
          <w:p w:rsidR="005161D1" w:rsidRPr="00AF0C81" w:rsidRDefault="005161D1" w:rsidP="005161D1">
            <w:pPr>
              <w:spacing w:after="0" w:line="240" w:lineRule="auto"/>
              <w:rPr>
                <w:rFonts w:eastAsia="Times New Roman" w:cs="Times New Roman"/>
                <w:color w:val="000000"/>
              </w:rPr>
            </w:pPr>
            <w:r w:rsidRPr="00AF0C81">
              <w:rPr>
                <w:rFonts w:eastAsia="Times New Roman" w:cs="Times New Roman"/>
                <w:color w:val="000000"/>
              </w:rPr>
              <w:t>Science Campaign</w:t>
            </w:r>
          </w:p>
        </w:tc>
      </w:tr>
      <w:tr w:rsidR="005161D1" w:rsidRPr="00AF0C81" w:rsidTr="00577A74">
        <w:trPr>
          <w:trHeight w:val="300"/>
        </w:trPr>
        <w:tc>
          <w:tcPr>
            <w:tcW w:w="2667"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2520"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3453" w:type="dxa"/>
            <w:shd w:val="clear" w:color="auto" w:fill="auto"/>
            <w:vAlign w:val="bottom"/>
            <w:hideMark/>
          </w:tcPr>
          <w:p w:rsidR="005161D1" w:rsidRPr="00AF0C81" w:rsidRDefault="005161D1" w:rsidP="005161D1">
            <w:pPr>
              <w:spacing w:after="0" w:line="240" w:lineRule="auto"/>
              <w:rPr>
                <w:rFonts w:eastAsia="Times New Roman" w:cs="Times New Roman"/>
                <w:color w:val="000000"/>
              </w:rPr>
            </w:pPr>
            <w:r w:rsidRPr="00AF0C81">
              <w:rPr>
                <w:rFonts w:eastAsia="Times New Roman" w:cs="Times New Roman"/>
                <w:color w:val="000000"/>
              </w:rPr>
              <w:t>Engineering Campaign</w:t>
            </w:r>
          </w:p>
        </w:tc>
      </w:tr>
      <w:tr w:rsidR="005161D1" w:rsidRPr="00AF0C81" w:rsidTr="00577A74">
        <w:trPr>
          <w:trHeight w:val="197"/>
        </w:trPr>
        <w:tc>
          <w:tcPr>
            <w:tcW w:w="2667"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2520"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3453" w:type="dxa"/>
            <w:shd w:val="clear" w:color="auto" w:fill="auto"/>
            <w:vAlign w:val="bottom"/>
            <w:hideMark/>
          </w:tcPr>
          <w:p w:rsidR="005161D1" w:rsidRPr="00AF0C81" w:rsidRDefault="005161D1" w:rsidP="005161D1">
            <w:pPr>
              <w:spacing w:after="0" w:line="240" w:lineRule="auto"/>
              <w:rPr>
                <w:rFonts w:eastAsia="Times New Roman" w:cs="Times New Roman"/>
                <w:color w:val="000000"/>
              </w:rPr>
            </w:pPr>
            <w:r w:rsidRPr="00AF0C81">
              <w:rPr>
                <w:rFonts w:eastAsia="Times New Roman" w:cs="Times New Roman"/>
                <w:color w:val="000000"/>
              </w:rPr>
              <w:t>Inertial Confinement Fusion Ignition and High Yield Campaign</w:t>
            </w:r>
          </w:p>
        </w:tc>
      </w:tr>
      <w:tr w:rsidR="005161D1" w:rsidRPr="00AF0C81" w:rsidTr="00577A74">
        <w:trPr>
          <w:trHeight w:val="300"/>
        </w:trPr>
        <w:tc>
          <w:tcPr>
            <w:tcW w:w="2667"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2520"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3453" w:type="dxa"/>
            <w:shd w:val="clear" w:color="auto" w:fill="auto"/>
            <w:vAlign w:val="bottom"/>
            <w:hideMark/>
          </w:tcPr>
          <w:p w:rsidR="005161D1" w:rsidRPr="00AF0C81" w:rsidRDefault="005161D1" w:rsidP="005161D1">
            <w:pPr>
              <w:spacing w:after="0" w:line="240" w:lineRule="auto"/>
              <w:rPr>
                <w:rFonts w:eastAsia="Times New Roman" w:cs="Times New Roman"/>
                <w:color w:val="000000"/>
              </w:rPr>
            </w:pPr>
            <w:r w:rsidRPr="00AF0C81">
              <w:rPr>
                <w:rFonts w:eastAsia="Times New Roman" w:cs="Times New Roman"/>
                <w:color w:val="000000"/>
              </w:rPr>
              <w:t>Advanced Simulation and Computing Campaign</w:t>
            </w:r>
          </w:p>
        </w:tc>
      </w:tr>
      <w:tr w:rsidR="005161D1" w:rsidRPr="00AF0C81" w:rsidTr="00577A74">
        <w:trPr>
          <w:trHeight w:val="300"/>
        </w:trPr>
        <w:tc>
          <w:tcPr>
            <w:tcW w:w="2667"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2520"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3453" w:type="dxa"/>
            <w:shd w:val="clear" w:color="auto" w:fill="auto"/>
            <w:vAlign w:val="bottom"/>
            <w:hideMark/>
          </w:tcPr>
          <w:p w:rsidR="005161D1" w:rsidRPr="00AF0C81" w:rsidRDefault="005161D1" w:rsidP="005161D1">
            <w:pPr>
              <w:spacing w:after="0" w:line="240" w:lineRule="auto"/>
              <w:rPr>
                <w:rFonts w:eastAsia="Times New Roman" w:cs="Times New Roman"/>
                <w:color w:val="000000"/>
              </w:rPr>
            </w:pPr>
            <w:r w:rsidRPr="00AF0C81">
              <w:rPr>
                <w:rFonts w:eastAsia="Times New Roman" w:cs="Times New Roman"/>
                <w:color w:val="000000"/>
              </w:rPr>
              <w:t>Readiness Campaign</w:t>
            </w:r>
          </w:p>
        </w:tc>
      </w:tr>
      <w:tr w:rsidR="005161D1" w:rsidRPr="00AF0C81" w:rsidTr="00577A74">
        <w:trPr>
          <w:trHeight w:val="300"/>
        </w:trPr>
        <w:tc>
          <w:tcPr>
            <w:tcW w:w="2667"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2520"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3453" w:type="dxa"/>
            <w:shd w:val="clear" w:color="auto" w:fill="auto"/>
            <w:vAlign w:val="bottom"/>
            <w:hideMark/>
          </w:tcPr>
          <w:p w:rsidR="005161D1" w:rsidRPr="00AF0C81" w:rsidRDefault="005161D1" w:rsidP="005161D1">
            <w:pPr>
              <w:spacing w:after="0" w:line="240" w:lineRule="auto"/>
              <w:rPr>
                <w:rFonts w:eastAsia="Times New Roman" w:cs="Times New Roman"/>
                <w:color w:val="000000"/>
              </w:rPr>
            </w:pPr>
            <w:r w:rsidRPr="00AF0C81">
              <w:rPr>
                <w:rFonts w:eastAsia="Times New Roman" w:cs="Times New Roman"/>
                <w:color w:val="000000"/>
              </w:rPr>
              <w:t>Nuclear Programs (formerly Readiness in Technical Base and Facilities)</w:t>
            </w:r>
          </w:p>
        </w:tc>
      </w:tr>
      <w:tr w:rsidR="005161D1" w:rsidRPr="00AF0C81" w:rsidTr="00577A74">
        <w:trPr>
          <w:trHeight w:val="300"/>
        </w:trPr>
        <w:tc>
          <w:tcPr>
            <w:tcW w:w="2667"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2520"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3453" w:type="dxa"/>
            <w:shd w:val="clear" w:color="auto" w:fill="auto"/>
            <w:vAlign w:val="bottom"/>
            <w:hideMark/>
          </w:tcPr>
          <w:p w:rsidR="005161D1" w:rsidRPr="00AF0C81" w:rsidRDefault="005161D1" w:rsidP="005161D1">
            <w:pPr>
              <w:spacing w:after="0" w:line="240" w:lineRule="auto"/>
              <w:rPr>
                <w:rFonts w:eastAsia="Times New Roman" w:cs="Times New Roman"/>
                <w:color w:val="000000"/>
              </w:rPr>
            </w:pPr>
            <w:r w:rsidRPr="00AF0C81">
              <w:rPr>
                <w:rFonts w:eastAsia="Times New Roman" w:cs="Times New Roman"/>
                <w:color w:val="000000"/>
              </w:rPr>
              <w:t>Secure Transportation Asset</w:t>
            </w:r>
          </w:p>
        </w:tc>
      </w:tr>
      <w:tr w:rsidR="005161D1" w:rsidRPr="00AF0C81" w:rsidTr="00577A74">
        <w:trPr>
          <w:trHeight w:val="600"/>
        </w:trPr>
        <w:tc>
          <w:tcPr>
            <w:tcW w:w="2667"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2520"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3453" w:type="dxa"/>
            <w:shd w:val="clear" w:color="auto" w:fill="auto"/>
            <w:vAlign w:val="bottom"/>
            <w:hideMark/>
          </w:tcPr>
          <w:p w:rsidR="005161D1" w:rsidRPr="00AF0C81" w:rsidRDefault="005161D1" w:rsidP="005161D1">
            <w:pPr>
              <w:spacing w:after="0" w:line="240" w:lineRule="auto"/>
              <w:rPr>
                <w:rFonts w:eastAsia="Times New Roman" w:cs="Times New Roman"/>
                <w:color w:val="000000"/>
              </w:rPr>
            </w:pPr>
            <w:r w:rsidRPr="00AF0C81">
              <w:rPr>
                <w:rFonts w:eastAsia="Times New Roman" w:cs="Times New Roman"/>
                <w:color w:val="000000"/>
              </w:rPr>
              <w:t>Facilities and Infrastructure Recapitalization Program</w:t>
            </w:r>
          </w:p>
        </w:tc>
      </w:tr>
      <w:tr w:rsidR="005161D1" w:rsidRPr="00AF0C81" w:rsidTr="00577A74">
        <w:trPr>
          <w:trHeight w:val="300"/>
        </w:trPr>
        <w:tc>
          <w:tcPr>
            <w:tcW w:w="2667"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2520"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3453" w:type="dxa"/>
            <w:shd w:val="clear" w:color="auto" w:fill="auto"/>
            <w:vAlign w:val="bottom"/>
            <w:hideMark/>
          </w:tcPr>
          <w:p w:rsidR="005161D1" w:rsidRPr="00AF0C81" w:rsidRDefault="005161D1" w:rsidP="005161D1">
            <w:pPr>
              <w:spacing w:after="0" w:line="240" w:lineRule="auto"/>
              <w:rPr>
                <w:rFonts w:eastAsia="Times New Roman" w:cs="Times New Roman"/>
                <w:color w:val="000000"/>
              </w:rPr>
            </w:pPr>
            <w:r w:rsidRPr="00AF0C81">
              <w:rPr>
                <w:rFonts w:eastAsia="Times New Roman" w:cs="Times New Roman"/>
                <w:color w:val="000000"/>
              </w:rPr>
              <w:t>Site Stewardship</w:t>
            </w:r>
          </w:p>
        </w:tc>
      </w:tr>
      <w:tr w:rsidR="005161D1" w:rsidRPr="00AF0C81" w:rsidTr="00577A74">
        <w:trPr>
          <w:trHeight w:val="300"/>
        </w:trPr>
        <w:tc>
          <w:tcPr>
            <w:tcW w:w="2667"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2520"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3453" w:type="dxa"/>
            <w:shd w:val="clear" w:color="auto" w:fill="auto"/>
            <w:vAlign w:val="bottom"/>
            <w:hideMark/>
          </w:tcPr>
          <w:p w:rsidR="005161D1" w:rsidRPr="00AF0C81" w:rsidRDefault="005161D1" w:rsidP="005161D1">
            <w:pPr>
              <w:spacing w:after="0" w:line="240" w:lineRule="auto"/>
              <w:rPr>
                <w:rFonts w:eastAsia="Times New Roman" w:cs="Times New Roman"/>
                <w:color w:val="000000"/>
              </w:rPr>
            </w:pPr>
            <w:r w:rsidRPr="00AF0C81">
              <w:rPr>
                <w:rFonts w:eastAsia="Times New Roman" w:cs="Times New Roman"/>
                <w:color w:val="000000"/>
              </w:rPr>
              <w:t>Defense Nuclear Security</w:t>
            </w:r>
          </w:p>
        </w:tc>
      </w:tr>
      <w:tr w:rsidR="005161D1" w:rsidRPr="00AF0C81" w:rsidTr="00577A74">
        <w:trPr>
          <w:trHeight w:val="300"/>
        </w:trPr>
        <w:tc>
          <w:tcPr>
            <w:tcW w:w="2667"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2520"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3453" w:type="dxa"/>
            <w:shd w:val="clear" w:color="auto" w:fill="auto"/>
            <w:vAlign w:val="bottom"/>
            <w:hideMark/>
          </w:tcPr>
          <w:p w:rsidR="005161D1" w:rsidRPr="00AF0C81" w:rsidRDefault="005161D1" w:rsidP="005161D1">
            <w:pPr>
              <w:spacing w:after="0" w:line="240" w:lineRule="auto"/>
              <w:rPr>
                <w:rFonts w:eastAsia="Times New Roman" w:cs="Times New Roman"/>
                <w:color w:val="000000"/>
              </w:rPr>
            </w:pPr>
            <w:r w:rsidRPr="00AF0C81">
              <w:rPr>
                <w:rFonts w:eastAsia="Times New Roman" w:cs="Times New Roman"/>
                <w:color w:val="000000"/>
              </w:rPr>
              <w:t>NNSA CIO Activities</w:t>
            </w:r>
          </w:p>
        </w:tc>
      </w:tr>
      <w:tr w:rsidR="005161D1" w:rsidRPr="00AF0C81" w:rsidTr="00577A74">
        <w:trPr>
          <w:trHeight w:val="300"/>
        </w:trPr>
        <w:tc>
          <w:tcPr>
            <w:tcW w:w="2667"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2520" w:type="dxa"/>
            <w:vMerge w:val="restart"/>
            <w:shd w:val="clear" w:color="auto" w:fill="auto"/>
            <w:hideMark/>
          </w:tcPr>
          <w:p w:rsidR="005161D1" w:rsidRPr="00AF0C81" w:rsidRDefault="005161D1" w:rsidP="005161D1">
            <w:pPr>
              <w:spacing w:after="0" w:line="240" w:lineRule="auto"/>
              <w:rPr>
                <w:rFonts w:eastAsia="Times New Roman" w:cs="Times New Roman"/>
                <w:b/>
                <w:bCs/>
                <w:color w:val="000000"/>
              </w:rPr>
            </w:pPr>
            <w:r w:rsidRPr="00AF0C81">
              <w:rPr>
                <w:rFonts w:eastAsia="Times New Roman" w:cs="Times New Roman"/>
                <w:b/>
                <w:bCs/>
                <w:color w:val="000000"/>
              </w:rPr>
              <w:t>3B. Reduce Global Nuclear Dangers</w:t>
            </w:r>
          </w:p>
        </w:tc>
        <w:tc>
          <w:tcPr>
            <w:tcW w:w="3453" w:type="dxa"/>
            <w:shd w:val="clear" w:color="auto" w:fill="auto"/>
            <w:vAlign w:val="bottom"/>
            <w:hideMark/>
          </w:tcPr>
          <w:p w:rsidR="005161D1" w:rsidRPr="00AF0C81" w:rsidRDefault="005161D1" w:rsidP="005161D1">
            <w:pPr>
              <w:spacing w:after="0" w:line="240" w:lineRule="auto"/>
              <w:rPr>
                <w:rFonts w:eastAsia="Times New Roman" w:cs="Times New Roman"/>
                <w:color w:val="000000"/>
              </w:rPr>
            </w:pPr>
            <w:r w:rsidRPr="00AF0C81">
              <w:rPr>
                <w:rFonts w:eastAsia="Times New Roman" w:cs="Times New Roman"/>
                <w:color w:val="000000"/>
              </w:rPr>
              <w:t>Global Threat Reduction Initiative</w:t>
            </w:r>
          </w:p>
        </w:tc>
      </w:tr>
      <w:tr w:rsidR="005161D1" w:rsidRPr="00AF0C81" w:rsidTr="00577A74">
        <w:trPr>
          <w:trHeight w:val="269"/>
        </w:trPr>
        <w:tc>
          <w:tcPr>
            <w:tcW w:w="2667"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2520"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3453" w:type="dxa"/>
            <w:shd w:val="clear" w:color="auto" w:fill="auto"/>
            <w:vAlign w:val="bottom"/>
            <w:hideMark/>
          </w:tcPr>
          <w:p w:rsidR="005161D1" w:rsidRPr="00AF0C81" w:rsidRDefault="005161D1" w:rsidP="005161D1">
            <w:pPr>
              <w:spacing w:after="0" w:line="240" w:lineRule="auto"/>
              <w:rPr>
                <w:rFonts w:eastAsia="Times New Roman" w:cs="Times New Roman"/>
                <w:color w:val="000000"/>
              </w:rPr>
            </w:pPr>
            <w:r w:rsidRPr="00AF0C81">
              <w:rPr>
                <w:rFonts w:eastAsia="Times New Roman" w:cs="Times New Roman"/>
                <w:color w:val="000000"/>
              </w:rPr>
              <w:t>International Material Protection and Cooperation</w:t>
            </w:r>
          </w:p>
        </w:tc>
      </w:tr>
      <w:tr w:rsidR="005161D1" w:rsidRPr="00AF0C81" w:rsidTr="00577A74">
        <w:trPr>
          <w:trHeight w:val="300"/>
        </w:trPr>
        <w:tc>
          <w:tcPr>
            <w:tcW w:w="2667"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2520"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3453" w:type="dxa"/>
            <w:shd w:val="clear" w:color="auto" w:fill="auto"/>
            <w:vAlign w:val="bottom"/>
            <w:hideMark/>
          </w:tcPr>
          <w:p w:rsidR="005161D1" w:rsidRPr="00AF0C81" w:rsidRDefault="005161D1" w:rsidP="005161D1">
            <w:pPr>
              <w:spacing w:after="0" w:line="240" w:lineRule="auto"/>
              <w:rPr>
                <w:rFonts w:eastAsia="Times New Roman" w:cs="Times New Roman"/>
                <w:color w:val="000000"/>
              </w:rPr>
            </w:pPr>
            <w:r w:rsidRPr="00AF0C81">
              <w:rPr>
                <w:rFonts w:eastAsia="Times New Roman" w:cs="Times New Roman"/>
                <w:color w:val="000000"/>
              </w:rPr>
              <w:t>Fissile Materials Disposition</w:t>
            </w:r>
          </w:p>
        </w:tc>
      </w:tr>
      <w:tr w:rsidR="005161D1" w:rsidRPr="00AF0C81" w:rsidTr="00577A74">
        <w:trPr>
          <w:trHeight w:val="300"/>
        </w:trPr>
        <w:tc>
          <w:tcPr>
            <w:tcW w:w="2667"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2520"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3453" w:type="dxa"/>
            <w:shd w:val="clear" w:color="auto" w:fill="auto"/>
            <w:vAlign w:val="bottom"/>
            <w:hideMark/>
          </w:tcPr>
          <w:p w:rsidR="005161D1" w:rsidRPr="00AF0C81" w:rsidRDefault="005161D1" w:rsidP="005161D1">
            <w:pPr>
              <w:spacing w:after="0" w:line="240" w:lineRule="auto"/>
              <w:rPr>
                <w:rFonts w:eastAsia="Times New Roman" w:cs="Times New Roman"/>
                <w:color w:val="000000"/>
              </w:rPr>
            </w:pPr>
            <w:r w:rsidRPr="00AF0C81">
              <w:rPr>
                <w:rFonts w:eastAsia="Times New Roman" w:cs="Times New Roman"/>
                <w:color w:val="000000"/>
              </w:rPr>
              <w:t>Nonproliferation and International Security</w:t>
            </w:r>
          </w:p>
        </w:tc>
      </w:tr>
      <w:tr w:rsidR="005161D1" w:rsidRPr="00AF0C81" w:rsidTr="00577A74">
        <w:trPr>
          <w:trHeight w:val="593"/>
        </w:trPr>
        <w:tc>
          <w:tcPr>
            <w:tcW w:w="2667"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2520"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3453" w:type="dxa"/>
            <w:shd w:val="clear" w:color="auto" w:fill="auto"/>
            <w:hideMark/>
          </w:tcPr>
          <w:p w:rsidR="005161D1" w:rsidRPr="00AF0C81" w:rsidRDefault="005161D1" w:rsidP="005161D1">
            <w:pPr>
              <w:spacing w:after="0" w:line="240" w:lineRule="auto"/>
              <w:rPr>
                <w:rFonts w:eastAsia="Times New Roman" w:cs="Times New Roman"/>
                <w:color w:val="000000"/>
              </w:rPr>
            </w:pPr>
            <w:r w:rsidRPr="00AF0C81">
              <w:rPr>
                <w:rFonts w:eastAsia="Times New Roman" w:cs="Times New Roman"/>
                <w:color w:val="000000"/>
              </w:rPr>
              <w:t>Defense Nuclear Nonproliferation R&amp;D</w:t>
            </w:r>
          </w:p>
          <w:p w:rsidR="005161D1" w:rsidRPr="00AF0C81" w:rsidRDefault="005161D1" w:rsidP="005161D1">
            <w:pPr>
              <w:spacing w:after="0" w:line="240" w:lineRule="auto"/>
              <w:rPr>
                <w:rFonts w:eastAsia="Times New Roman" w:cs="Times New Roman"/>
                <w:color w:val="000000"/>
              </w:rPr>
            </w:pPr>
            <w:r w:rsidRPr="00AF0C81">
              <w:rPr>
                <w:rFonts w:eastAsia="Times New Roman" w:cs="Times New Roman"/>
                <w:color w:val="000000"/>
              </w:rPr>
              <w:t>(formerly Nonproliferation and Verification R&amp;D)</w:t>
            </w:r>
          </w:p>
        </w:tc>
      </w:tr>
      <w:tr w:rsidR="005161D1" w:rsidRPr="00AF0C81" w:rsidTr="00577A74">
        <w:trPr>
          <w:trHeight w:val="600"/>
        </w:trPr>
        <w:tc>
          <w:tcPr>
            <w:tcW w:w="2667"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2520" w:type="dxa"/>
            <w:vMerge w:val="restart"/>
            <w:shd w:val="clear" w:color="auto" w:fill="auto"/>
            <w:hideMark/>
          </w:tcPr>
          <w:p w:rsidR="005161D1" w:rsidRPr="00AF0C81" w:rsidRDefault="005161D1" w:rsidP="005161D1">
            <w:pPr>
              <w:spacing w:after="0" w:line="240" w:lineRule="auto"/>
              <w:rPr>
                <w:rFonts w:eastAsia="Times New Roman" w:cs="Times New Roman"/>
                <w:b/>
                <w:bCs/>
                <w:color w:val="000000"/>
              </w:rPr>
            </w:pPr>
            <w:r w:rsidRPr="00AF0C81">
              <w:rPr>
                <w:rFonts w:eastAsia="Times New Roman" w:cs="Times New Roman"/>
                <w:b/>
                <w:bCs/>
                <w:color w:val="000000"/>
              </w:rPr>
              <w:t>3C. Apply Our Capabilities for Other Critical National Security Missions</w:t>
            </w:r>
          </w:p>
        </w:tc>
        <w:tc>
          <w:tcPr>
            <w:tcW w:w="3453" w:type="dxa"/>
            <w:shd w:val="clear" w:color="auto" w:fill="auto"/>
            <w:vAlign w:val="bottom"/>
            <w:hideMark/>
          </w:tcPr>
          <w:p w:rsidR="005161D1" w:rsidRPr="00AF0C81" w:rsidRDefault="005161D1" w:rsidP="005161D1">
            <w:pPr>
              <w:spacing w:after="0" w:line="240" w:lineRule="auto"/>
              <w:rPr>
                <w:rFonts w:eastAsia="Times New Roman" w:cs="Times New Roman"/>
                <w:color w:val="000000"/>
              </w:rPr>
            </w:pPr>
            <w:r w:rsidRPr="00AF0C81">
              <w:rPr>
                <w:rFonts w:eastAsia="Times New Roman" w:cs="Times New Roman"/>
                <w:color w:val="000000"/>
              </w:rPr>
              <w:t>Counterterrorism and Counterproliferation</w:t>
            </w:r>
          </w:p>
          <w:p w:rsidR="005161D1" w:rsidRPr="00AF0C81" w:rsidRDefault="005161D1" w:rsidP="005161D1">
            <w:pPr>
              <w:spacing w:after="0" w:line="240" w:lineRule="auto"/>
              <w:rPr>
                <w:rFonts w:eastAsia="Times New Roman" w:cs="Times New Roman"/>
                <w:color w:val="000000"/>
              </w:rPr>
            </w:pPr>
            <w:r w:rsidRPr="00AF0C81">
              <w:rPr>
                <w:rFonts w:eastAsia="Times New Roman" w:cs="Times New Roman"/>
                <w:color w:val="000000"/>
              </w:rPr>
              <w:t>(formerly National Security Applications)</w:t>
            </w:r>
          </w:p>
        </w:tc>
      </w:tr>
      <w:tr w:rsidR="005161D1" w:rsidRPr="00AF0C81" w:rsidTr="00577A74">
        <w:trPr>
          <w:trHeight w:val="300"/>
        </w:trPr>
        <w:tc>
          <w:tcPr>
            <w:tcW w:w="2667"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2520"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3453" w:type="dxa"/>
            <w:shd w:val="clear" w:color="auto" w:fill="auto"/>
            <w:vAlign w:val="bottom"/>
            <w:hideMark/>
          </w:tcPr>
          <w:p w:rsidR="005161D1" w:rsidRPr="00AF0C81" w:rsidRDefault="005161D1" w:rsidP="005161D1">
            <w:pPr>
              <w:spacing w:after="0" w:line="240" w:lineRule="auto"/>
              <w:rPr>
                <w:rFonts w:eastAsia="Times New Roman" w:cs="Times New Roman"/>
                <w:color w:val="000000"/>
              </w:rPr>
            </w:pPr>
            <w:r w:rsidRPr="00AF0C81">
              <w:rPr>
                <w:rFonts w:eastAsia="Times New Roman" w:cs="Times New Roman"/>
                <w:color w:val="000000"/>
              </w:rPr>
              <w:t>Nuclear Counterterrorism Incident Response</w:t>
            </w:r>
            <w:r w:rsidR="00367D33">
              <w:rPr>
                <w:rFonts w:eastAsia="Times New Roman" w:cs="Times New Roman"/>
                <w:color w:val="000000"/>
              </w:rPr>
              <w:t xml:space="preserve"> Program</w:t>
            </w:r>
          </w:p>
        </w:tc>
      </w:tr>
      <w:tr w:rsidR="005161D1" w:rsidRPr="00AF0C81" w:rsidTr="00577A74">
        <w:trPr>
          <w:trHeight w:val="300"/>
        </w:trPr>
        <w:tc>
          <w:tcPr>
            <w:tcW w:w="2667"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2520"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3453" w:type="dxa"/>
            <w:shd w:val="clear" w:color="auto" w:fill="auto"/>
            <w:vAlign w:val="bottom"/>
            <w:hideMark/>
          </w:tcPr>
          <w:p w:rsidR="005161D1" w:rsidRPr="00AF0C81" w:rsidRDefault="005161D1" w:rsidP="005161D1">
            <w:pPr>
              <w:spacing w:after="0" w:line="240" w:lineRule="auto"/>
              <w:rPr>
                <w:rFonts w:eastAsia="Times New Roman" w:cs="Times New Roman"/>
                <w:color w:val="000000"/>
              </w:rPr>
            </w:pPr>
            <w:r w:rsidRPr="00AF0C81">
              <w:rPr>
                <w:rFonts w:eastAsia="Times New Roman" w:cs="Times New Roman"/>
                <w:color w:val="000000"/>
              </w:rPr>
              <w:t>Naval Reactors</w:t>
            </w:r>
          </w:p>
        </w:tc>
      </w:tr>
      <w:tr w:rsidR="005161D1" w:rsidRPr="00AF0C81" w:rsidTr="00577A74">
        <w:trPr>
          <w:trHeight w:val="300"/>
        </w:trPr>
        <w:tc>
          <w:tcPr>
            <w:tcW w:w="2667" w:type="dxa"/>
            <w:vMerge/>
            <w:vAlign w:val="center"/>
            <w:hideMark/>
          </w:tcPr>
          <w:p w:rsidR="005161D1" w:rsidRPr="00AF0C81" w:rsidRDefault="005161D1" w:rsidP="005161D1">
            <w:pPr>
              <w:spacing w:after="0" w:line="240" w:lineRule="auto"/>
              <w:rPr>
                <w:rFonts w:eastAsia="Times New Roman" w:cs="Times New Roman"/>
                <w:b/>
                <w:bCs/>
                <w:color w:val="000000"/>
              </w:rPr>
            </w:pPr>
          </w:p>
        </w:tc>
        <w:tc>
          <w:tcPr>
            <w:tcW w:w="2520" w:type="dxa"/>
            <w:shd w:val="clear" w:color="auto" w:fill="auto"/>
            <w:vAlign w:val="bottom"/>
            <w:hideMark/>
          </w:tcPr>
          <w:p w:rsidR="005161D1" w:rsidRPr="00AF0C81" w:rsidRDefault="005161D1" w:rsidP="005161D1">
            <w:pPr>
              <w:spacing w:after="0" w:line="240" w:lineRule="auto"/>
              <w:rPr>
                <w:rFonts w:eastAsia="Times New Roman" w:cs="Times New Roman"/>
                <w:b/>
                <w:bCs/>
                <w:color w:val="000000"/>
              </w:rPr>
            </w:pPr>
            <w:r w:rsidRPr="00AF0C81">
              <w:rPr>
                <w:rFonts w:eastAsia="Times New Roman" w:cs="Times New Roman"/>
                <w:b/>
                <w:bCs/>
                <w:color w:val="000000"/>
              </w:rPr>
              <w:t>3A, 3B, and 3C</w:t>
            </w:r>
          </w:p>
        </w:tc>
        <w:tc>
          <w:tcPr>
            <w:tcW w:w="3453" w:type="dxa"/>
            <w:shd w:val="clear" w:color="auto" w:fill="auto"/>
            <w:vAlign w:val="bottom"/>
            <w:hideMark/>
          </w:tcPr>
          <w:p w:rsidR="005161D1" w:rsidRPr="00AF0C81" w:rsidRDefault="005161D1" w:rsidP="005161D1">
            <w:pPr>
              <w:spacing w:after="0" w:line="240" w:lineRule="auto"/>
              <w:rPr>
                <w:rFonts w:eastAsia="Times New Roman" w:cs="Times New Roman"/>
                <w:color w:val="000000"/>
              </w:rPr>
            </w:pPr>
            <w:r w:rsidRPr="00AF0C81">
              <w:rPr>
                <w:rFonts w:eastAsia="Times New Roman" w:cs="Times New Roman"/>
                <w:color w:val="000000"/>
              </w:rPr>
              <w:t>NNSA Office of the Administrator</w:t>
            </w:r>
          </w:p>
        </w:tc>
      </w:tr>
    </w:tbl>
    <w:p w:rsidR="0054380B" w:rsidRPr="00AF0C81" w:rsidRDefault="0054380B" w:rsidP="0054380B">
      <w:pPr>
        <w:pStyle w:val="Heading1"/>
        <w:spacing w:before="0"/>
        <w:rPr>
          <w:rFonts w:asciiTheme="minorHAnsi" w:hAnsiTheme="minorHAnsi"/>
          <w:color w:val="17365D" w:themeColor="text2" w:themeShade="BF"/>
          <w:sz w:val="22"/>
          <w:szCs w:val="22"/>
        </w:rPr>
      </w:pPr>
      <w:bookmarkStart w:id="197" w:name="_Toc347929435"/>
      <w:bookmarkStart w:id="198" w:name="_Toc357755969"/>
      <w:bookmarkStart w:id="199" w:name="_Toc357763500"/>
      <w:r w:rsidRPr="00AF0C81">
        <w:rPr>
          <w:rFonts w:asciiTheme="minorHAnsi" w:hAnsiTheme="minorHAnsi"/>
          <w:color w:val="17365D" w:themeColor="text2" w:themeShade="BF"/>
          <w:sz w:val="22"/>
          <w:szCs w:val="22"/>
        </w:rPr>
        <w:t>Environmental Management (EM)</w:t>
      </w:r>
      <w:bookmarkEnd w:id="197"/>
      <w:bookmarkEnd w:id="198"/>
      <w:bookmarkEnd w:id="199"/>
    </w:p>
    <w:tbl>
      <w:tblPr>
        <w:tblStyle w:val="LightShading1"/>
        <w:tblW w:w="0" w:type="auto"/>
        <w:tblInd w:w="468" w:type="dxa"/>
        <w:tblLook w:val="04A0"/>
      </w:tblPr>
      <w:tblGrid>
        <w:gridCol w:w="2724"/>
        <w:gridCol w:w="3192"/>
        <w:gridCol w:w="2724"/>
      </w:tblGrid>
      <w:tr w:rsidR="003560BA" w:rsidRPr="00AF0C81" w:rsidTr="003560BA">
        <w:trPr>
          <w:cnfStyle w:val="100000000000"/>
        </w:trPr>
        <w:tc>
          <w:tcPr>
            <w:cnfStyle w:val="001000000000"/>
            <w:tcW w:w="8640" w:type="dxa"/>
            <w:gridSpan w:val="3"/>
          </w:tcPr>
          <w:p w:rsidR="003560BA" w:rsidRPr="00AF0C81" w:rsidRDefault="003560BA" w:rsidP="003560BA">
            <w:pPr>
              <w:jc w:val="center"/>
            </w:pPr>
            <w:r w:rsidRPr="00AF0C81">
              <w:t>Total Budget Authority (in millions of dollars)</w:t>
            </w:r>
          </w:p>
        </w:tc>
      </w:tr>
      <w:tr w:rsidR="003560BA" w:rsidRPr="00AF0C81" w:rsidTr="003560BA">
        <w:trPr>
          <w:cnfStyle w:val="000000100000"/>
        </w:trPr>
        <w:tc>
          <w:tcPr>
            <w:cnfStyle w:val="001000000000"/>
            <w:tcW w:w="2724" w:type="dxa"/>
          </w:tcPr>
          <w:p w:rsidR="003560BA" w:rsidRPr="00AF0C81" w:rsidRDefault="003560BA" w:rsidP="003560BA">
            <w:pPr>
              <w:jc w:val="center"/>
            </w:pPr>
            <w:r w:rsidRPr="00AF0C81">
              <w:t>FY 2012 actual</w:t>
            </w:r>
          </w:p>
        </w:tc>
        <w:tc>
          <w:tcPr>
            <w:tcW w:w="3192" w:type="dxa"/>
          </w:tcPr>
          <w:p w:rsidR="003560BA" w:rsidRPr="00AF0C81" w:rsidRDefault="003560BA" w:rsidP="00612752">
            <w:pPr>
              <w:jc w:val="center"/>
              <w:cnfStyle w:val="000000100000"/>
              <w:rPr>
                <w:b/>
              </w:rPr>
            </w:pPr>
            <w:r w:rsidRPr="00AF0C81">
              <w:rPr>
                <w:b/>
              </w:rPr>
              <w:t xml:space="preserve">FY 2013 </w:t>
            </w:r>
            <w:r w:rsidR="00612752">
              <w:rPr>
                <w:b/>
              </w:rPr>
              <w:t>CR</w:t>
            </w:r>
          </w:p>
        </w:tc>
        <w:tc>
          <w:tcPr>
            <w:tcW w:w="2724" w:type="dxa"/>
          </w:tcPr>
          <w:p w:rsidR="003560BA" w:rsidRPr="00AF0C81" w:rsidRDefault="003560BA" w:rsidP="003560BA">
            <w:pPr>
              <w:jc w:val="center"/>
              <w:cnfStyle w:val="000000100000"/>
              <w:rPr>
                <w:b/>
              </w:rPr>
            </w:pPr>
            <w:r w:rsidRPr="00AF0C81">
              <w:rPr>
                <w:b/>
              </w:rPr>
              <w:t>FY 2014 est.</w:t>
            </w:r>
          </w:p>
        </w:tc>
      </w:tr>
      <w:tr w:rsidR="002B3E4E" w:rsidRPr="00AF0C81" w:rsidTr="003560BA">
        <w:tc>
          <w:tcPr>
            <w:cnfStyle w:val="001000000000"/>
            <w:tcW w:w="2724" w:type="dxa"/>
          </w:tcPr>
          <w:p w:rsidR="002B3E4E" w:rsidRPr="002B3E4E" w:rsidRDefault="000A3917">
            <w:pPr>
              <w:jc w:val="center"/>
              <w:rPr>
                <w:rFonts w:ascii="Calibri" w:hAnsi="Calibri"/>
                <w:b w:val="0"/>
                <w:color w:val="000000"/>
              </w:rPr>
            </w:pPr>
            <w:r w:rsidRPr="000A3917">
              <w:rPr>
                <w:rFonts w:ascii="Calibri" w:hAnsi="Calibri"/>
                <w:b w:val="0"/>
                <w:bCs w:val="0"/>
              </w:rPr>
              <w:t>5,710.4</w:t>
            </w:r>
          </w:p>
        </w:tc>
        <w:tc>
          <w:tcPr>
            <w:tcW w:w="3192" w:type="dxa"/>
          </w:tcPr>
          <w:p w:rsidR="002B3E4E" w:rsidRPr="002B3E4E" w:rsidRDefault="000A3917">
            <w:pPr>
              <w:jc w:val="center"/>
              <w:cnfStyle w:val="000000000000"/>
              <w:rPr>
                <w:rFonts w:ascii="Calibri" w:hAnsi="Calibri"/>
                <w:bCs/>
                <w:color w:val="000000"/>
              </w:rPr>
            </w:pPr>
            <w:r>
              <w:t>5,745.4</w:t>
            </w:r>
          </w:p>
        </w:tc>
        <w:tc>
          <w:tcPr>
            <w:tcW w:w="2724" w:type="dxa"/>
          </w:tcPr>
          <w:p w:rsidR="002B3E4E" w:rsidRPr="002B3E4E" w:rsidRDefault="000A3917">
            <w:pPr>
              <w:jc w:val="center"/>
              <w:cnfStyle w:val="000000000000"/>
              <w:rPr>
                <w:rFonts w:ascii="Calibri" w:hAnsi="Calibri"/>
                <w:bCs/>
                <w:color w:val="000000"/>
              </w:rPr>
            </w:pPr>
            <w:r>
              <w:t>5,621.7</w:t>
            </w:r>
          </w:p>
        </w:tc>
      </w:tr>
    </w:tbl>
    <w:p w:rsidR="003560BA" w:rsidRPr="00AF0C81" w:rsidRDefault="003560BA" w:rsidP="0054380B">
      <w:pPr>
        <w:spacing w:after="0"/>
        <w:rPr>
          <w:color w:val="000000"/>
        </w:rPr>
      </w:pPr>
    </w:p>
    <w:p w:rsidR="0054380B" w:rsidRPr="00AF0C81" w:rsidRDefault="0054380B" w:rsidP="0054380B">
      <w:pPr>
        <w:spacing w:after="0"/>
      </w:pPr>
      <w:r w:rsidRPr="00AF0C81">
        <w:rPr>
          <w:color w:val="000000"/>
        </w:rPr>
        <w:t xml:space="preserve">The mission of EM is to complete the safe cleanup of the environmental legacy brought about from five decades of nuclear weapons development and government-sponsored nuclear energy research.  </w:t>
      </w:r>
      <w:r w:rsidR="007F3100" w:rsidRPr="00AF0C81">
        <w:rPr>
          <w:color w:val="000000"/>
        </w:rPr>
        <w:t xml:space="preserve">The EM strategy is to work aggressively to reduce the footprint of our contaminated sites while bringing to bear the Department’s formidable research and development assets to develop and deploy transformational technologies that will both accelerate and lower the cost to disposition the Department’s highest curie materials that present high risk to public health and the environment. </w:t>
      </w:r>
      <w:r w:rsidRPr="00AF0C81">
        <w:rPr>
          <w:color w:val="000000"/>
        </w:rPr>
        <w:t xml:space="preserve">(EM website:  </w:t>
      </w:r>
      <w:hyperlink r:id="rId28" w:history="1">
        <w:r w:rsidRPr="00AF0C81">
          <w:rPr>
            <w:rStyle w:val="Hyperlink"/>
          </w:rPr>
          <w:t>http://www.em.doe.gov/Pages/EMHome.aspx</w:t>
        </w:r>
      </w:hyperlink>
      <w:r w:rsidRPr="00AF0C81">
        <w:t>)</w:t>
      </w:r>
    </w:p>
    <w:tbl>
      <w:tblPr>
        <w:tblW w:w="86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7"/>
        <w:gridCol w:w="2520"/>
        <w:gridCol w:w="3453"/>
      </w:tblGrid>
      <w:tr w:rsidR="005161D1" w:rsidRPr="00AF0C81" w:rsidTr="00577A74">
        <w:trPr>
          <w:trHeight w:val="300"/>
        </w:trPr>
        <w:tc>
          <w:tcPr>
            <w:tcW w:w="2667" w:type="dxa"/>
            <w:shd w:val="clear" w:color="DBE5F1" w:fill="DBE5F1"/>
            <w:vAlign w:val="bottom"/>
            <w:hideMark/>
          </w:tcPr>
          <w:p w:rsidR="005161D1" w:rsidRPr="00AF0C81" w:rsidRDefault="005161D1" w:rsidP="005161D1">
            <w:pPr>
              <w:spacing w:after="0" w:line="240" w:lineRule="auto"/>
              <w:rPr>
                <w:rFonts w:eastAsia="Times New Roman" w:cs="Times New Roman"/>
                <w:b/>
                <w:bCs/>
                <w:color w:val="000000"/>
              </w:rPr>
            </w:pPr>
            <w:r w:rsidRPr="00AF0C81">
              <w:rPr>
                <w:rFonts w:eastAsia="Times New Roman" w:cs="Times New Roman"/>
                <w:b/>
                <w:bCs/>
                <w:color w:val="000000"/>
              </w:rPr>
              <w:t>Strategic Goal</w:t>
            </w:r>
          </w:p>
        </w:tc>
        <w:tc>
          <w:tcPr>
            <w:tcW w:w="2520" w:type="dxa"/>
            <w:shd w:val="clear" w:color="DBE5F1" w:fill="DBE5F1"/>
            <w:vAlign w:val="bottom"/>
            <w:hideMark/>
          </w:tcPr>
          <w:p w:rsidR="005161D1" w:rsidRPr="00AF0C81" w:rsidRDefault="005161D1" w:rsidP="005161D1">
            <w:pPr>
              <w:spacing w:after="0" w:line="240" w:lineRule="auto"/>
              <w:rPr>
                <w:rFonts w:eastAsia="Times New Roman" w:cs="Times New Roman"/>
                <w:b/>
                <w:bCs/>
                <w:color w:val="000000"/>
              </w:rPr>
            </w:pPr>
            <w:r w:rsidRPr="00AF0C81">
              <w:rPr>
                <w:rFonts w:eastAsia="Times New Roman" w:cs="Times New Roman"/>
                <w:b/>
                <w:bCs/>
                <w:color w:val="000000"/>
              </w:rPr>
              <w:t>Strategic Objective</w:t>
            </w:r>
          </w:p>
        </w:tc>
        <w:tc>
          <w:tcPr>
            <w:tcW w:w="3453" w:type="dxa"/>
            <w:shd w:val="clear" w:color="DBE5F1" w:fill="DBE5F1"/>
            <w:vAlign w:val="bottom"/>
            <w:hideMark/>
          </w:tcPr>
          <w:p w:rsidR="005161D1" w:rsidRPr="00AF0C81" w:rsidRDefault="00D60611" w:rsidP="005161D1">
            <w:pPr>
              <w:spacing w:after="0" w:line="240" w:lineRule="auto"/>
              <w:rPr>
                <w:rFonts w:eastAsia="Times New Roman" w:cs="Times New Roman"/>
                <w:b/>
                <w:bCs/>
                <w:color w:val="000000"/>
              </w:rPr>
            </w:pPr>
            <w:r w:rsidRPr="00AF0C81">
              <w:rPr>
                <w:rFonts w:eastAsia="Times New Roman" w:cs="Times New Roman"/>
                <w:b/>
                <w:bCs/>
                <w:color w:val="000000"/>
              </w:rPr>
              <w:t>Programs</w:t>
            </w:r>
          </w:p>
        </w:tc>
      </w:tr>
      <w:tr w:rsidR="00413EB0" w:rsidRPr="00AF0C81" w:rsidTr="00577A74">
        <w:trPr>
          <w:trHeight w:val="1127"/>
        </w:trPr>
        <w:tc>
          <w:tcPr>
            <w:tcW w:w="2667" w:type="dxa"/>
            <w:shd w:val="clear" w:color="auto" w:fill="auto"/>
            <w:hideMark/>
          </w:tcPr>
          <w:p w:rsidR="00413EB0" w:rsidRPr="00AF0C81" w:rsidRDefault="00413EB0" w:rsidP="005161D1">
            <w:pPr>
              <w:spacing w:after="0" w:line="240" w:lineRule="auto"/>
              <w:rPr>
                <w:rFonts w:eastAsia="Times New Roman" w:cs="Times New Roman"/>
                <w:b/>
                <w:bCs/>
                <w:color w:val="000000"/>
              </w:rPr>
            </w:pPr>
            <w:r w:rsidRPr="00AF0C81">
              <w:rPr>
                <w:rFonts w:eastAsia="Times New Roman" w:cs="Times New Roman"/>
                <w:b/>
                <w:bCs/>
                <w:color w:val="000000"/>
              </w:rPr>
              <w:t xml:space="preserve">3. Secure Our Nation:  </w:t>
            </w:r>
            <w:r w:rsidRPr="00AF0C81">
              <w:rPr>
                <w:rFonts w:eastAsia="Times New Roman" w:cs="Times New Roman"/>
                <w:color w:val="000000"/>
              </w:rPr>
              <w:t>Enhance nuclear security through defense, nonproliferation, and environmental efforts</w:t>
            </w:r>
          </w:p>
        </w:tc>
        <w:tc>
          <w:tcPr>
            <w:tcW w:w="2520" w:type="dxa"/>
            <w:shd w:val="clear" w:color="auto" w:fill="auto"/>
            <w:hideMark/>
          </w:tcPr>
          <w:p w:rsidR="00413EB0" w:rsidRPr="00AF0C81" w:rsidRDefault="00413EB0" w:rsidP="005161D1">
            <w:pPr>
              <w:spacing w:after="0" w:line="240" w:lineRule="auto"/>
              <w:rPr>
                <w:rFonts w:eastAsia="Times New Roman" w:cs="Times New Roman"/>
                <w:b/>
                <w:bCs/>
                <w:color w:val="000000"/>
              </w:rPr>
            </w:pPr>
            <w:r w:rsidRPr="00AF0C81">
              <w:rPr>
                <w:rFonts w:eastAsia="Times New Roman" w:cs="Times New Roman"/>
                <w:b/>
                <w:bCs/>
                <w:color w:val="000000"/>
              </w:rPr>
              <w:t>3E. Complete Environmental Remediation of Our Legacy and Active Sites</w:t>
            </w:r>
          </w:p>
        </w:tc>
        <w:tc>
          <w:tcPr>
            <w:tcW w:w="3453" w:type="dxa"/>
            <w:shd w:val="clear" w:color="auto" w:fill="auto"/>
            <w:hideMark/>
          </w:tcPr>
          <w:p w:rsidR="00413EB0" w:rsidRPr="00AF0C81" w:rsidRDefault="00413EB0" w:rsidP="00413EB0">
            <w:pPr>
              <w:spacing w:after="0" w:line="240" w:lineRule="auto"/>
              <w:rPr>
                <w:rFonts w:eastAsia="Times New Roman" w:cs="Times New Roman"/>
                <w:color w:val="000000"/>
              </w:rPr>
            </w:pPr>
            <w:r w:rsidRPr="00AF0C81">
              <w:rPr>
                <w:rFonts w:eastAsia="Times New Roman" w:cs="Times New Roman"/>
                <w:color w:val="000000"/>
              </w:rPr>
              <w:t xml:space="preserve">Environmental Management </w:t>
            </w:r>
          </w:p>
        </w:tc>
      </w:tr>
    </w:tbl>
    <w:p w:rsidR="0054380B" w:rsidRDefault="0054380B" w:rsidP="0054380B">
      <w:pPr>
        <w:spacing w:after="0"/>
        <w:rPr>
          <w:rFonts w:eastAsia="Calibri"/>
        </w:rPr>
      </w:pPr>
    </w:p>
    <w:p w:rsidR="00D07302" w:rsidRPr="00AF0C81" w:rsidRDefault="00D07302" w:rsidP="0054380B">
      <w:pPr>
        <w:spacing w:after="0"/>
        <w:rPr>
          <w:rFonts w:eastAsia="Calibri"/>
        </w:rPr>
      </w:pPr>
    </w:p>
    <w:p w:rsidR="003560BA" w:rsidRPr="004F430B" w:rsidRDefault="0054380B" w:rsidP="003560BA">
      <w:pPr>
        <w:spacing w:after="0" w:line="240" w:lineRule="auto"/>
        <w:rPr>
          <w:b/>
        </w:rPr>
      </w:pPr>
      <w:bookmarkStart w:id="200" w:name="_Tank_Waste_Elimination"/>
      <w:bookmarkStart w:id="201" w:name="_Legacy_Management_(LM)"/>
      <w:bookmarkStart w:id="202" w:name="_Toc347929436"/>
      <w:bookmarkEnd w:id="200"/>
      <w:bookmarkEnd w:id="201"/>
      <w:r w:rsidRPr="004F430B">
        <w:rPr>
          <w:b/>
          <w:color w:val="17365D" w:themeColor="text2" w:themeShade="BF"/>
        </w:rPr>
        <w:t>Legacy Management (LM)</w:t>
      </w:r>
      <w:bookmarkEnd w:id="202"/>
      <w:r w:rsidR="009D3DDD" w:rsidRPr="004F430B">
        <w:rPr>
          <w:b/>
          <w:color w:val="17365D" w:themeColor="text2" w:themeShade="BF"/>
        </w:rPr>
        <w:t xml:space="preserve"> </w:t>
      </w:r>
    </w:p>
    <w:tbl>
      <w:tblPr>
        <w:tblStyle w:val="LightShading1"/>
        <w:tblW w:w="0" w:type="auto"/>
        <w:tblInd w:w="468" w:type="dxa"/>
        <w:tblLook w:val="04A0"/>
      </w:tblPr>
      <w:tblGrid>
        <w:gridCol w:w="2724"/>
        <w:gridCol w:w="3192"/>
        <w:gridCol w:w="2724"/>
      </w:tblGrid>
      <w:tr w:rsidR="003560BA" w:rsidRPr="00AF0C81" w:rsidTr="003560BA">
        <w:trPr>
          <w:cnfStyle w:val="100000000000"/>
        </w:trPr>
        <w:tc>
          <w:tcPr>
            <w:cnfStyle w:val="001000000000"/>
            <w:tcW w:w="8640" w:type="dxa"/>
            <w:gridSpan w:val="3"/>
          </w:tcPr>
          <w:p w:rsidR="003560BA" w:rsidRPr="00AF0C81" w:rsidRDefault="003560BA" w:rsidP="003560BA">
            <w:pPr>
              <w:jc w:val="center"/>
            </w:pPr>
            <w:r w:rsidRPr="00AF0C81">
              <w:t>Total Budget Authority (in millions of dollars)</w:t>
            </w:r>
          </w:p>
        </w:tc>
      </w:tr>
      <w:tr w:rsidR="003560BA" w:rsidRPr="00AF0C81" w:rsidTr="003560BA">
        <w:trPr>
          <w:cnfStyle w:val="000000100000"/>
        </w:trPr>
        <w:tc>
          <w:tcPr>
            <w:cnfStyle w:val="001000000000"/>
            <w:tcW w:w="2724" w:type="dxa"/>
          </w:tcPr>
          <w:p w:rsidR="003560BA" w:rsidRPr="00AF0C81" w:rsidRDefault="003560BA" w:rsidP="003560BA">
            <w:pPr>
              <w:jc w:val="center"/>
            </w:pPr>
            <w:r w:rsidRPr="00AF0C81">
              <w:t>FY 2012 actual</w:t>
            </w:r>
          </w:p>
        </w:tc>
        <w:tc>
          <w:tcPr>
            <w:tcW w:w="3192" w:type="dxa"/>
          </w:tcPr>
          <w:p w:rsidR="003560BA" w:rsidRPr="00AF0C81" w:rsidRDefault="003560BA" w:rsidP="00612752">
            <w:pPr>
              <w:jc w:val="center"/>
              <w:cnfStyle w:val="000000100000"/>
              <w:rPr>
                <w:b/>
              </w:rPr>
            </w:pPr>
            <w:r w:rsidRPr="00AF0C81">
              <w:rPr>
                <w:b/>
              </w:rPr>
              <w:t xml:space="preserve">FY 2013 </w:t>
            </w:r>
            <w:r w:rsidR="00612752">
              <w:rPr>
                <w:b/>
              </w:rPr>
              <w:t>CR</w:t>
            </w:r>
          </w:p>
        </w:tc>
        <w:tc>
          <w:tcPr>
            <w:tcW w:w="2724" w:type="dxa"/>
          </w:tcPr>
          <w:p w:rsidR="003560BA" w:rsidRPr="00AF0C81" w:rsidRDefault="003560BA" w:rsidP="003560BA">
            <w:pPr>
              <w:jc w:val="center"/>
              <w:cnfStyle w:val="000000100000"/>
              <w:rPr>
                <w:b/>
              </w:rPr>
            </w:pPr>
            <w:r w:rsidRPr="00AF0C81">
              <w:rPr>
                <w:b/>
              </w:rPr>
              <w:t>FY 2014 est.</w:t>
            </w:r>
          </w:p>
        </w:tc>
      </w:tr>
      <w:tr w:rsidR="003560BA" w:rsidRPr="00AF0C81" w:rsidTr="003560BA">
        <w:tc>
          <w:tcPr>
            <w:cnfStyle w:val="001000000000"/>
            <w:tcW w:w="2724" w:type="dxa"/>
          </w:tcPr>
          <w:p w:rsidR="003560BA" w:rsidRPr="00AF0C81" w:rsidRDefault="009D3DDD" w:rsidP="003560BA">
            <w:pPr>
              <w:jc w:val="center"/>
            </w:pPr>
            <w:r>
              <w:rPr>
                <w:b w:val="0"/>
              </w:rPr>
              <w:t>169.6</w:t>
            </w:r>
          </w:p>
        </w:tc>
        <w:tc>
          <w:tcPr>
            <w:tcW w:w="3192" w:type="dxa"/>
          </w:tcPr>
          <w:p w:rsidR="003560BA" w:rsidRPr="00AF0C81" w:rsidRDefault="00436B9D" w:rsidP="003560BA">
            <w:pPr>
              <w:jc w:val="center"/>
              <w:cnfStyle w:val="000000000000"/>
            </w:pPr>
            <w:r>
              <w:t>170.6</w:t>
            </w:r>
          </w:p>
        </w:tc>
        <w:tc>
          <w:tcPr>
            <w:tcW w:w="2724" w:type="dxa"/>
          </w:tcPr>
          <w:p w:rsidR="003560BA" w:rsidRPr="00AF0C81" w:rsidRDefault="00436B9D" w:rsidP="003560BA">
            <w:pPr>
              <w:jc w:val="center"/>
              <w:cnfStyle w:val="000000000000"/>
            </w:pPr>
            <w:r>
              <w:t>177.0</w:t>
            </w:r>
          </w:p>
        </w:tc>
      </w:tr>
    </w:tbl>
    <w:p w:rsidR="003560BA" w:rsidRPr="00AF0C81" w:rsidRDefault="003560BA" w:rsidP="0054380B">
      <w:pPr>
        <w:spacing w:after="0"/>
        <w:rPr>
          <w:rFonts w:eastAsia="Calibri" w:cs="Times New Roman"/>
        </w:rPr>
      </w:pPr>
    </w:p>
    <w:p w:rsidR="0054380B" w:rsidRPr="00AF0C81" w:rsidRDefault="0054380B" w:rsidP="0054380B">
      <w:pPr>
        <w:spacing w:after="0"/>
        <w:rPr>
          <w:rFonts w:eastAsia="Calibri" w:cs="Times New Roman"/>
        </w:rPr>
      </w:pPr>
      <w:r w:rsidRPr="00AF0C81">
        <w:rPr>
          <w:rFonts w:eastAsia="Calibri" w:cs="Times New Roman"/>
        </w:rPr>
        <w:t>The mission of</w:t>
      </w:r>
      <w:r w:rsidR="00125D76">
        <w:rPr>
          <w:rFonts w:eastAsia="Calibri" w:cs="Times New Roman"/>
        </w:rPr>
        <w:t xml:space="preserve"> LM</w:t>
      </w:r>
      <w:r w:rsidRPr="00AF0C81">
        <w:rPr>
          <w:rFonts w:eastAsia="Calibri" w:cs="Times New Roman"/>
        </w:rPr>
        <w:t xml:space="preserve"> is to fulfill the DOE’s post-closure responsibilities and ensure the future protection of human health and the environment.  As part of the mission, LM performs long-term surveillance and maintenance, which is the focus of LM’s performance measures.  (LM website:  </w:t>
      </w:r>
      <w:hyperlink r:id="rId29" w:history="1">
        <w:r w:rsidRPr="00AF0C81">
          <w:rPr>
            <w:rStyle w:val="Hyperlink"/>
            <w:rFonts w:eastAsia="Calibri" w:cs="Times New Roman"/>
          </w:rPr>
          <w:t>http://www.lm.doe.gov/</w:t>
        </w:r>
      </w:hyperlink>
      <w:r w:rsidRPr="00AF0C81">
        <w:rPr>
          <w:rFonts w:eastAsia="Calibri" w:cs="Times New Roman"/>
        </w:rPr>
        <w:t>)</w:t>
      </w:r>
    </w:p>
    <w:tbl>
      <w:tblPr>
        <w:tblW w:w="86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7"/>
        <w:gridCol w:w="2520"/>
        <w:gridCol w:w="3453"/>
      </w:tblGrid>
      <w:tr w:rsidR="005161D1" w:rsidRPr="00AF0C81" w:rsidTr="00577A74">
        <w:trPr>
          <w:trHeight w:val="300"/>
        </w:trPr>
        <w:tc>
          <w:tcPr>
            <w:tcW w:w="2667" w:type="dxa"/>
            <w:shd w:val="clear" w:color="DBE5F1" w:fill="DBE5F1"/>
            <w:vAlign w:val="bottom"/>
            <w:hideMark/>
          </w:tcPr>
          <w:p w:rsidR="005161D1" w:rsidRPr="00AF0C81" w:rsidRDefault="005161D1" w:rsidP="005161D1">
            <w:pPr>
              <w:spacing w:after="0" w:line="240" w:lineRule="auto"/>
              <w:rPr>
                <w:rFonts w:eastAsia="Times New Roman" w:cs="Times New Roman"/>
                <w:b/>
                <w:bCs/>
                <w:color w:val="000000"/>
              </w:rPr>
            </w:pPr>
            <w:r w:rsidRPr="00AF0C81">
              <w:rPr>
                <w:rFonts w:eastAsia="Times New Roman" w:cs="Times New Roman"/>
                <w:b/>
                <w:bCs/>
                <w:color w:val="000000"/>
              </w:rPr>
              <w:t>Strategic Goal</w:t>
            </w:r>
          </w:p>
        </w:tc>
        <w:tc>
          <w:tcPr>
            <w:tcW w:w="2520" w:type="dxa"/>
            <w:shd w:val="clear" w:color="DBE5F1" w:fill="DBE5F1"/>
            <w:vAlign w:val="bottom"/>
            <w:hideMark/>
          </w:tcPr>
          <w:p w:rsidR="005161D1" w:rsidRPr="00AF0C81" w:rsidRDefault="005161D1" w:rsidP="005161D1">
            <w:pPr>
              <w:spacing w:after="0" w:line="240" w:lineRule="auto"/>
              <w:rPr>
                <w:rFonts w:eastAsia="Times New Roman" w:cs="Times New Roman"/>
                <w:b/>
                <w:bCs/>
                <w:color w:val="000000"/>
              </w:rPr>
            </w:pPr>
            <w:r w:rsidRPr="00AF0C81">
              <w:rPr>
                <w:rFonts w:eastAsia="Times New Roman" w:cs="Times New Roman"/>
                <w:b/>
                <w:bCs/>
                <w:color w:val="000000"/>
              </w:rPr>
              <w:t>Strategic Objective</w:t>
            </w:r>
          </w:p>
        </w:tc>
        <w:tc>
          <w:tcPr>
            <w:tcW w:w="3453" w:type="dxa"/>
            <w:shd w:val="clear" w:color="DBE5F1" w:fill="DBE5F1"/>
            <w:vAlign w:val="bottom"/>
            <w:hideMark/>
          </w:tcPr>
          <w:p w:rsidR="005161D1" w:rsidRPr="00AF0C81" w:rsidRDefault="00D60611" w:rsidP="005161D1">
            <w:pPr>
              <w:spacing w:after="0" w:line="240" w:lineRule="auto"/>
              <w:rPr>
                <w:rFonts w:eastAsia="Times New Roman" w:cs="Times New Roman"/>
                <w:b/>
                <w:bCs/>
                <w:color w:val="000000"/>
              </w:rPr>
            </w:pPr>
            <w:r w:rsidRPr="00AF0C81">
              <w:rPr>
                <w:rFonts w:eastAsia="Times New Roman" w:cs="Times New Roman"/>
                <w:b/>
                <w:bCs/>
                <w:color w:val="000000"/>
              </w:rPr>
              <w:t>Programs</w:t>
            </w:r>
          </w:p>
        </w:tc>
      </w:tr>
      <w:tr w:rsidR="00413EB0" w:rsidRPr="00AF0C81" w:rsidTr="00577A74">
        <w:trPr>
          <w:trHeight w:val="1199"/>
        </w:trPr>
        <w:tc>
          <w:tcPr>
            <w:tcW w:w="2667" w:type="dxa"/>
            <w:shd w:val="clear" w:color="auto" w:fill="auto"/>
            <w:hideMark/>
          </w:tcPr>
          <w:p w:rsidR="00413EB0" w:rsidRPr="00AF0C81" w:rsidRDefault="00413EB0" w:rsidP="005161D1">
            <w:pPr>
              <w:spacing w:after="0" w:line="240" w:lineRule="auto"/>
              <w:rPr>
                <w:rFonts w:eastAsia="Times New Roman" w:cs="Times New Roman"/>
                <w:b/>
                <w:bCs/>
                <w:color w:val="000000"/>
              </w:rPr>
            </w:pPr>
            <w:r w:rsidRPr="00AF0C81">
              <w:rPr>
                <w:rFonts w:eastAsia="Times New Roman" w:cs="Times New Roman"/>
                <w:b/>
                <w:bCs/>
                <w:color w:val="000000"/>
              </w:rPr>
              <w:t xml:space="preserve">3. Secure Our Nation:  </w:t>
            </w:r>
            <w:r w:rsidRPr="00AF0C81">
              <w:rPr>
                <w:rFonts w:eastAsia="Times New Roman" w:cs="Times New Roman"/>
                <w:color w:val="000000"/>
              </w:rPr>
              <w:t>Enhance nuclear security through defense, nonproliferation, and environmental efforts</w:t>
            </w:r>
          </w:p>
        </w:tc>
        <w:tc>
          <w:tcPr>
            <w:tcW w:w="2520" w:type="dxa"/>
            <w:shd w:val="clear" w:color="auto" w:fill="auto"/>
            <w:hideMark/>
          </w:tcPr>
          <w:p w:rsidR="00413EB0" w:rsidRPr="00AF0C81" w:rsidRDefault="00413EB0" w:rsidP="005161D1">
            <w:pPr>
              <w:spacing w:after="0" w:line="240" w:lineRule="auto"/>
              <w:rPr>
                <w:rFonts w:eastAsia="Times New Roman" w:cs="Times New Roman"/>
                <w:b/>
                <w:bCs/>
                <w:color w:val="000000"/>
              </w:rPr>
            </w:pPr>
            <w:r w:rsidRPr="00AF0C81">
              <w:rPr>
                <w:rFonts w:eastAsia="Times New Roman" w:cs="Times New Roman"/>
                <w:b/>
                <w:bCs/>
                <w:color w:val="000000"/>
              </w:rPr>
              <w:t>3E. Complete Environmental Remediation of Our Legacy and Active Sites</w:t>
            </w:r>
          </w:p>
        </w:tc>
        <w:tc>
          <w:tcPr>
            <w:tcW w:w="3453" w:type="dxa"/>
            <w:shd w:val="clear" w:color="auto" w:fill="auto"/>
            <w:hideMark/>
          </w:tcPr>
          <w:p w:rsidR="00413EB0" w:rsidRPr="00AF0C81" w:rsidRDefault="00413EB0" w:rsidP="00413EB0">
            <w:pPr>
              <w:spacing w:after="0" w:line="240" w:lineRule="auto"/>
              <w:rPr>
                <w:rFonts w:eastAsia="Times New Roman" w:cs="Times New Roman"/>
                <w:color w:val="000000"/>
              </w:rPr>
            </w:pPr>
            <w:r w:rsidRPr="00AF0C81">
              <w:rPr>
                <w:rFonts w:eastAsia="Times New Roman" w:cs="Times New Roman"/>
                <w:color w:val="000000"/>
              </w:rPr>
              <w:t>Legacy Management</w:t>
            </w:r>
          </w:p>
        </w:tc>
      </w:tr>
    </w:tbl>
    <w:p w:rsidR="00AA60E0" w:rsidRDefault="00AA60E0" w:rsidP="00AE2A0F">
      <w:pPr>
        <w:pStyle w:val="Heading1"/>
        <w:rPr>
          <w:rFonts w:asciiTheme="minorHAnsi" w:hAnsiTheme="minorHAnsi"/>
          <w:color w:val="17365D" w:themeColor="text2" w:themeShade="BF"/>
          <w:sz w:val="22"/>
          <w:szCs w:val="22"/>
        </w:rPr>
      </w:pPr>
      <w:bookmarkStart w:id="203" w:name="_Toc357755970"/>
    </w:p>
    <w:p w:rsidR="00AA60E0" w:rsidRDefault="00AA60E0" w:rsidP="00AE2A0F">
      <w:pPr>
        <w:pStyle w:val="Heading1"/>
        <w:rPr>
          <w:rFonts w:asciiTheme="minorHAnsi" w:hAnsiTheme="minorHAnsi"/>
          <w:color w:val="17365D" w:themeColor="text2" w:themeShade="BF"/>
          <w:sz w:val="22"/>
          <w:szCs w:val="22"/>
        </w:rPr>
      </w:pPr>
    </w:p>
    <w:p w:rsidR="006F1E9F" w:rsidRPr="00FA7A56" w:rsidRDefault="009D1305" w:rsidP="00AE2A0F">
      <w:pPr>
        <w:pStyle w:val="Heading1"/>
        <w:rPr>
          <w:rFonts w:asciiTheme="minorHAnsi" w:hAnsiTheme="minorHAnsi"/>
          <w:color w:val="17365D" w:themeColor="text2" w:themeShade="BF"/>
          <w:sz w:val="22"/>
          <w:szCs w:val="22"/>
        </w:rPr>
      </w:pPr>
      <w:bookmarkStart w:id="204" w:name="_Toc357763501"/>
      <w:r w:rsidRPr="00FA7A56">
        <w:rPr>
          <w:rFonts w:asciiTheme="minorHAnsi" w:hAnsiTheme="minorHAnsi"/>
          <w:color w:val="17365D" w:themeColor="text2" w:themeShade="BF"/>
          <w:sz w:val="22"/>
          <w:szCs w:val="22"/>
        </w:rPr>
        <w:t xml:space="preserve">Departmental Administration:  </w:t>
      </w:r>
      <w:r w:rsidR="006F1E9F" w:rsidRPr="00FA7A56">
        <w:rPr>
          <w:rFonts w:asciiTheme="minorHAnsi" w:hAnsiTheme="minorHAnsi"/>
          <w:color w:val="17365D" w:themeColor="text2" w:themeShade="BF"/>
          <w:sz w:val="22"/>
          <w:szCs w:val="22"/>
        </w:rPr>
        <w:t>Support Offices</w:t>
      </w:r>
      <w:r w:rsidR="00EC6000" w:rsidRPr="00FA7A56">
        <w:rPr>
          <w:rFonts w:asciiTheme="minorHAnsi" w:hAnsiTheme="minorHAnsi"/>
          <w:color w:val="17365D" w:themeColor="text2" w:themeShade="BF"/>
          <w:sz w:val="22"/>
          <w:szCs w:val="22"/>
        </w:rPr>
        <w:t>/Corporate Management</w:t>
      </w:r>
      <w:bookmarkEnd w:id="203"/>
      <w:bookmarkEnd w:id="204"/>
    </w:p>
    <w:tbl>
      <w:tblPr>
        <w:tblStyle w:val="LightShading1"/>
        <w:tblW w:w="0" w:type="auto"/>
        <w:tblInd w:w="468" w:type="dxa"/>
        <w:tblLook w:val="04A0"/>
      </w:tblPr>
      <w:tblGrid>
        <w:gridCol w:w="2724"/>
        <w:gridCol w:w="3192"/>
        <w:gridCol w:w="2724"/>
      </w:tblGrid>
      <w:tr w:rsidR="003560BA" w:rsidRPr="00FA7A56" w:rsidTr="003560BA">
        <w:trPr>
          <w:cnfStyle w:val="100000000000"/>
        </w:trPr>
        <w:tc>
          <w:tcPr>
            <w:cnfStyle w:val="001000000000"/>
            <w:tcW w:w="8640" w:type="dxa"/>
            <w:gridSpan w:val="3"/>
          </w:tcPr>
          <w:p w:rsidR="003560BA" w:rsidRPr="00FA7A56" w:rsidRDefault="003560BA" w:rsidP="003577E1">
            <w:pPr>
              <w:jc w:val="center"/>
              <w:rPr>
                <w:b w:val="0"/>
                <w:bCs w:val="0"/>
                <w:color w:val="auto"/>
              </w:rPr>
            </w:pPr>
            <w:r w:rsidRPr="00FA7A56">
              <w:t>Total Budget Authority (in millions of dollars)</w:t>
            </w:r>
            <w:r w:rsidR="00EA3E44">
              <w:t>*</w:t>
            </w:r>
          </w:p>
        </w:tc>
      </w:tr>
      <w:tr w:rsidR="003560BA" w:rsidRPr="00FA7A56" w:rsidTr="003577E1">
        <w:trPr>
          <w:cnfStyle w:val="000000100000"/>
          <w:trHeight w:val="295"/>
        </w:trPr>
        <w:tc>
          <w:tcPr>
            <w:cnfStyle w:val="001000000000"/>
            <w:tcW w:w="2724" w:type="dxa"/>
          </w:tcPr>
          <w:p w:rsidR="003560BA" w:rsidRPr="00FA7A56" w:rsidRDefault="003560BA" w:rsidP="003577E1">
            <w:pPr>
              <w:jc w:val="center"/>
              <w:rPr>
                <w:b w:val="0"/>
                <w:bCs w:val="0"/>
                <w:color w:val="auto"/>
              </w:rPr>
            </w:pPr>
            <w:r w:rsidRPr="00FA7A56">
              <w:t>FY 2012 actual</w:t>
            </w:r>
          </w:p>
        </w:tc>
        <w:tc>
          <w:tcPr>
            <w:tcW w:w="3192" w:type="dxa"/>
          </w:tcPr>
          <w:p w:rsidR="003560BA" w:rsidRPr="00FA7A56" w:rsidRDefault="003560BA" w:rsidP="00612752">
            <w:pPr>
              <w:jc w:val="center"/>
              <w:cnfStyle w:val="000000100000"/>
              <w:rPr>
                <w:b/>
                <w:color w:val="auto"/>
              </w:rPr>
            </w:pPr>
            <w:r w:rsidRPr="00FA7A56">
              <w:rPr>
                <w:b/>
              </w:rPr>
              <w:t xml:space="preserve">FY 2013 </w:t>
            </w:r>
            <w:r w:rsidR="00612752">
              <w:rPr>
                <w:b/>
              </w:rPr>
              <w:t>CR</w:t>
            </w:r>
          </w:p>
        </w:tc>
        <w:tc>
          <w:tcPr>
            <w:tcW w:w="2724" w:type="dxa"/>
          </w:tcPr>
          <w:p w:rsidR="003560BA" w:rsidRPr="00FA7A56" w:rsidRDefault="003560BA" w:rsidP="003577E1">
            <w:pPr>
              <w:jc w:val="center"/>
              <w:cnfStyle w:val="000000100000"/>
              <w:rPr>
                <w:b/>
                <w:color w:val="auto"/>
              </w:rPr>
            </w:pPr>
            <w:r w:rsidRPr="00FA7A56">
              <w:rPr>
                <w:b/>
              </w:rPr>
              <w:t>FY 2014 est.</w:t>
            </w:r>
          </w:p>
        </w:tc>
      </w:tr>
      <w:tr w:rsidR="003560BA" w:rsidRPr="00FA7A56" w:rsidTr="003577E1">
        <w:trPr>
          <w:trHeight w:val="243"/>
        </w:trPr>
        <w:tc>
          <w:tcPr>
            <w:cnfStyle w:val="001000000000"/>
            <w:tcW w:w="2724" w:type="dxa"/>
          </w:tcPr>
          <w:p w:rsidR="003560BA" w:rsidRPr="00FA7A56" w:rsidRDefault="0001251A" w:rsidP="003577E1">
            <w:pPr>
              <w:jc w:val="center"/>
              <w:rPr>
                <w:b w:val="0"/>
                <w:bCs w:val="0"/>
                <w:color w:val="auto"/>
              </w:rPr>
            </w:pPr>
            <w:r>
              <w:t>821.8</w:t>
            </w:r>
          </w:p>
        </w:tc>
        <w:tc>
          <w:tcPr>
            <w:tcW w:w="3192" w:type="dxa"/>
          </w:tcPr>
          <w:p w:rsidR="003560BA" w:rsidRPr="00FA7A56" w:rsidRDefault="0001251A" w:rsidP="003577E1">
            <w:pPr>
              <w:jc w:val="center"/>
              <w:cnfStyle w:val="000000000000"/>
              <w:rPr>
                <w:color w:val="auto"/>
              </w:rPr>
            </w:pPr>
            <w:r>
              <w:t>826.8</w:t>
            </w:r>
          </w:p>
        </w:tc>
        <w:tc>
          <w:tcPr>
            <w:tcW w:w="2724" w:type="dxa"/>
          </w:tcPr>
          <w:p w:rsidR="003560BA" w:rsidRPr="00FA7A56" w:rsidRDefault="0001251A" w:rsidP="002549E3">
            <w:pPr>
              <w:jc w:val="center"/>
              <w:cnfStyle w:val="000000000000"/>
              <w:rPr>
                <w:color w:val="auto"/>
              </w:rPr>
            </w:pPr>
            <w:r>
              <w:t>732.6</w:t>
            </w:r>
          </w:p>
        </w:tc>
      </w:tr>
    </w:tbl>
    <w:p w:rsidR="00EA3E44" w:rsidRPr="00EA3E44" w:rsidRDefault="00EA3E44" w:rsidP="00EA3E44">
      <w:pPr>
        <w:pStyle w:val="NormalWeb"/>
        <w:spacing w:before="0" w:beforeAutospacing="0" w:after="0" w:afterAutospacing="0" w:line="276" w:lineRule="auto"/>
        <w:rPr>
          <w:rFonts w:asciiTheme="minorHAnsi" w:eastAsia="Calibri" w:hAnsiTheme="minorHAnsi"/>
          <w:sz w:val="18"/>
          <w:szCs w:val="18"/>
        </w:rPr>
      </w:pPr>
      <w:r>
        <w:rPr>
          <w:rFonts w:asciiTheme="minorHAnsi" w:eastAsia="Calibri" w:hAnsiTheme="minorHAnsi"/>
          <w:sz w:val="18"/>
          <w:szCs w:val="18"/>
        </w:rPr>
        <w:t xml:space="preserve">        </w:t>
      </w:r>
      <w:r w:rsidRPr="00EA3E44">
        <w:rPr>
          <w:rFonts w:asciiTheme="minorHAnsi" w:eastAsia="Calibri" w:hAnsiTheme="minorHAnsi"/>
          <w:sz w:val="18"/>
          <w:szCs w:val="18"/>
        </w:rPr>
        <w:t>*These funding levels are not fully comparable year-to-year due to budget structure changes.</w:t>
      </w:r>
    </w:p>
    <w:p w:rsidR="003560BA" w:rsidRPr="00FA7A56" w:rsidRDefault="003560BA" w:rsidP="006F1E9F">
      <w:pPr>
        <w:spacing w:after="0"/>
        <w:rPr>
          <w:rFonts w:eastAsia="Calibri" w:cs="Times New Roman"/>
        </w:rPr>
      </w:pPr>
    </w:p>
    <w:p w:rsidR="006F1E9F" w:rsidRPr="00FA7A56" w:rsidRDefault="009D1305" w:rsidP="00FA7A56">
      <w:pPr>
        <w:pStyle w:val="BodyText"/>
        <w:spacing w:line="276" w:lineRule="auto"/>
        <w:rPr>
          <w:rFonts w:asciiTheme="minorHAnsi" w:eastAsia="Calibri" w:hAnsiTheme="minorHAnsi"/>
          <w:sz w:val="22"/>
          <w:szCs w:val="22"/>
        </w:rPr>
      </w:pPr>
      <w:r w:rsidRPr="00FA7A56">
        <w:rPr>
          <w:rFonts w:asciiTheme="minorHAnsi" w:hAnsiTheme="minorHAnsi" w:cs="Arial"/>
          <w:i w:val="0"/>
          <w:sz w:val="22"/>
          <w:szCs w:val="22"/>
        </w:rPr>
        <w:t xml:space="preserve">The </w:t>
      </w:r>
      <w:r w:rsidRPr="00FA7A56">
        <w:rPr>
          <w:rFonts w:asciiTheme="minorHAnsi" w:hAnsiTheme="minorHAnsi" w:cs="Arial"/>
          <w:bCs/>
          <w:i w:val="0"/>
          <w:sz w:val="22"/>
          <w:szCs w:val="22"/>
        </w:rPr>
        <w:t>Departmental Administration</w:t>
      </w:r>
      <w:r w:rsidRPr="00FA7A56">
        <w:rPr>
          <w:rFonts w:asciiTheme="minorHAnsi" w:hAnsiTheme="minorHAnsi" w:cs="Arial"/>
          <w:i w:val="0"/>
          <w:sz w:val="22"/>
          <w:szCs w:val="22"/>
        </w:rPr>
        <w:t xml:space="preserve"> (DA) account includes 10 DOE-wide corporate management organizations which support headquarters operations in human resources, administration, accounting, budgeting, program analysis, contract and project management, information management, cybersecurity, legal services, life-cycle asset management, workforce diversity, Indian energy policy and programs, minority economic impact, policy, international affairs, congressional and intergovernmental liaison, ombudsman services, public affairs and the O</w:t>
      </w:r>
      <w:r w:rsidRPr="00FA7A56">
        <w:rPr>
          <w:rFonts w:asciiTheme="minorHAnsi" w:hAnsiTheme="minorHAnsi" w:cs="Arial"/>
          <w:bCs/>
          <w:i w:val="0"/>
          <w:sz w:val="22"/>
          <w:szCs w:val="22"/>
        </w:rPr>
        <w:t>ffice of the Secretary</w:t>
      </w:r>
      <w:r w:rsidRPr="00FA7A56">
        <w:rPr>
          <w:rFonts w:asciiTheme="minorHAnsi" w:hAnsiTheme="minorHAnsi" w:cs="Arial"/>
          <w:i w:val="0"/>
          <w:sz w:val="22"/>
          <w:szCs w:val="22"/>
        </w:rPr>
        <w:t xml:space="preserve">.  </w:t>
      </w:r>
      <w:r w:rsidRPr="00FA7A56">
        <w:rPr>
          <w:rFonts w:asciiTheme="minorHAnsi" w:hAnsiTheme="minorHAnsi"/>
          <w:i w:val="0"/>
          <w:sz w:val="22"/>
          <w:szCs w:val="22"/>
        </w:rPr>
        <w:t xml:space="preserve">The Departmental Administration offices provide essential services to its mission programs, as well as serve the Secretary of Energy and protect taxpayer interests.  </w:t>
      </w:r>
      <w:r w:rsidR="001C5505" w:rsidRPr="00FA7A56">
        <w:rPr>
          <w:rFonts w:asciiTheme="minorHAnsi" w:eastAsia="Calibri" w:hAnsiTheme="minorHAnsi"/>
          <w:i w:val="0"/>
          <w:sz w:val="22"/>
          <w:szCs w:val="22"/>
        </w:rPr>
        <w:t xml:space="preserve">While activities are varied among DOE Support Offices, the common </w:t>
      </w:r>
      <w:r w:rsidR="005865C7" w:rsidRPr="00FA7A56">
        <w:rPr>
          <w:rFonts w:asciiTheme="minorHAnsi" w:eastAsia="Calibri" w:hAnsiTheme="minorHAnsi"/>
          <w:i w:val="0"/>
          <w:sz w:val="22"/>
          <w:szCs w:val="22"/>
        </w:rPr>
        <w:t xml:space="preserve">focus is the </w:t>
      </w:r>
      <w:r w:rsidR="001C5505" w:rsidRPr="00FA7A56">
        <w:rPr>
          <w:rFonts w:asciiTheme="minorHAnsi" w:hAnsiTheme="minorHAnsi"/>
          <w:i w:val="0"/>
          <w:sz w:val="22"/>
          <w:szCs w:val="22"/>
        </w:rPr>
        <w:t xml:space="preserve">safe, secure, efficient, and effective </w:t>
      </w:r>
      <w:r w:rsidR="005865C7" w:rsidRPr="00FA7A56">
        <w:rPr>
          <w:rFonts w:asciiTheme="minorHAnsi" w:hAnsiTheme="minorHAnsi"/>
          <w:i w:val="0"/>
          <w:sz w:val="22"/>
          <w:szCs w:val="22"/>
        </w:rPr>
        <w:t xml:space="preserve">execution of the Department’s </w:t>
      </w:r>
      <w:r w:rsidR="001C5505" w:rsidRPr="00FA7A56">
        <w:rPr>
          <w:rFonts w:asciiTheme="minorHAnsi" w:hAnsiTheme="minorHAnsi"/>
          <w:i w:val="0"/>
          <w:sz w:val="22"/>
          <w:szCs w:val="22"/>
        </w:rPr>
        <w:t>mission</w:t>
      </w:r>
      <w:r w:rsidR="005865C7" w:rsidRPr="00FA7A56">
        <w:rPr>
          <w:rFonts w:asciiTheme="minorHAnsi" w:eastAsia="Calibri" w:hAnsiTheme="minorHAnsi"/>
          <w:i w:val="0"/>
          <w:sz w:val="22"/>
          <w:szCs w:val="22"/>
        </w:rPr>
        <w:t>.</w:t>
      </w:r>
      <w:r w:rsidR="006F1E9F" w:rsidRPr="00FA7A56">
        <w:rPr>
          <w:rFonts w:asciiTheme="minorHAnsi" w:eastAsia="Calibri" w:hAnsiTheme="minorHAnsi"/>
          <w:i w:val="0"/>
          <w:sz w:val="22"/>
          <w:szCs w:val="22"/>
        </w:rPr>
        <w:t xml:space="preserve"> </w:t>
      </w:r>
      <w:r w:rsidR="006F1E9F" w:rsidRPr="00FA7A56">
        <w:rPr>
          <w:rFonts w:asciiTheme="minorHAnsi" w:eastAsia="Calibri" w:hAnsiTheme="minorHAnsi"/>
          <w:sz w:val="22"/>
          <w:szCs w:val="22"/>
        </w:rPr>
        <w:t xml:space="preserve"> (</w:t>
      </w:r>
      <w:hyperlink r:id="rId30" w:history="1">
        <w:r w:rsidR="006F1E9F" w:rsidRPr="00FA7A56">
          <w:rPr>
            <w:rStyle w:val="Hyperlink"/>
            <w:rFonts w:eastAsia="Calibri"/>
            <w:sz w:val="22"/>
            <w:szCs w:val="22"/>
          </w:rPr>
          <w:t>http://www.doe.gov/</w:t>
        </w:r>
      </w:hyperlink>
      <w:r w:rsidR="006F1E9F" w:rsidRPr="00FA7A56">
        <w:rPr>
          <w:rFonts w:asciiTheme="minorHAnsi" w:eastAsia="Calibri" w:hAnsiTheme="minorHAnsi"/>
          <w:sz w:val="22"/>
          <w:szCs w:val="22"/>
        </w:rPr>
        <w:t>)</w:t>
      </w:r>
    </w:p>
    <w:tbl>
      <w:tblPr>
        <w:tblW w:w="86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7"/>
        <w:gridCol w:w="2520"/>
        <w:gridCol w:w="3453"/>
      </w:tblGrid>
      <w:tr w:rsidR="00347887" w:rsidRPr="00FA7A56" w:rsidTr="00577A74">
        <w:trPr>
          <w:trHeight w:val="350"/>
        </w:trPr>
        <w:tc>
          <w:tcPr>
            <w:tcW w:w="2667" w:type="dxa"/>
            <w:shd w:val="clear" w:color="DBE5F1" w:fill="DBE5F1"/>
            <w:vAlign w:val="bottom"/>
            <w:hideMark/>
          </w:tcPr>
          <w:p w:rsidR="00347887" w:rsidRPr="00FA7A56" w:rsidRDefault="00347887" w:rsidP="003560BA">
            <w:pPr>
              <w:spacing w:after="0" w:line="240" w:lineRule="auto"/>
              <w:rPr>
                <w:rFonts w:eastAsia="Times New Roman" w:cs="Times New Roman"/>
                <w:b/>
                <w:bCs/>
                <w:color w:val="000000"/>
              </w:rPr>
            </w:pPr>
            <w:r w:rsidRPr="00FA7A56">
              <w:rPr>
                <w:rFonts w:eastAsia="Times New Roman" w:cs="Times New Roman"/>
                <w:b/>
                <w:bCs/>
                <w:color w:val="000000"/>
              </w:rPr>
              <w:t>Strategic Goal</w:t>
            </w:r>
          </w:p>
        </w:tc>
        <w:tc>
          <w:tcPr>
            <w:tcW w:w="2520" w:type="dxa"/>
            <w:shd w:val="clear" w:color="DBE5F1" w:fill="DBE5F1"/>
            <w:vAlign w:val="bottom"/>
            <w:hideMark/>
          </w:tcPr>
          <w:p w:rsidR="00347887" w:rsidRPr="00FA7A56" w:rsidRDefault="00347887" w:rsidP="003560BA">
            <w:pPr>
              <w:spacing w:after="0" w:line="240" w:lineRule="auto"/>
              <w:rPr>
                <w:rFonts w:eastAsia="Times New Roman" w:cs="Times New Roman"/>
                <w:b/>
                <w:bCs/>
                <w:color w:val="000000"/>
              </w:rPr>
            </w:pPr>
            <w:r w:rsidRPr="00FA7A56">
              <w:rPr>
                <w:rFonts w:eastAsia="Times New Roman" w:cs="Times New Roman"/>
                <w:b/>
                <w:bCs/>
                <w:color w:val="000000"/>
              </w:rPr>
              <w:t>Strategic Objective</w:t>
            </w:r>
          </w:p>
        </w:tc>
        <w:tc>
          <w:tcPr>
            <w:tcW w:w="3453" w:type="dxa"/>
            <w:shd w:val="clear" w:color="DBE5F1" w:fill="DBE5F1"/>
            <w:vAlign w:val="bottom"/>
            <w:hideMark/>
          </w:tcPr>
          <w:p w:rsidR="00347887" w:rsidRPr="00FA7A56" w:rsidRDefault="00D60611" w:rsidP="003560BA">
            <w:pPr>
              <w:spacing w:after="0" w:line="240" w:lineRule="auto"/>
              <w:rPr>
                <w:rFonts w:eastAsia="Times New Roman" w:cs="Times New Roman"/>
                <w:b/>
                <w:bCs/>
                <w:color w:val="000000"/>
              </w:rPr>
            </w:pPr>
            <w:r w:rsidRPr="00FA7A56">
              <w:rPr>
                <w:rFonts w:eastAsia="Times New Roman" w:cs="Times New Roman"/>
                <w:b/>
                <w:bCs/>
                <w:color w:val="000000"/>
              </w:rPr>
              <w:t>Programs</w:t>
            </w:r>
          </w:p>
        </w:tc>
      </w:tr>
      <w:tr w:rsidR="009D3DDD" w:rsidRPr="00FA7A56" w:rsidTr="00577A74">
        <w:trPr>
          <w:trHeight w:val="260"/>
        </w:trPr>
        <w:tc>
          <w:tcPr>
            <w:tcW w:w="2667" w:type="dxa"/>
            <w:vMerge w:val="restart"/>
            <w:shd w:val="clear" w:color="auto" w:fill="auto"/>
            <w:hideMark/>
          </w:tcPr>
          <w:p w:rsidR="009D3DDD" w:rsidRPr="00FA7A56" w:rsidRDefault="009D3DDD" w:rsidP="003560BA">
            <w:pPr>
              <w:spacing w:after="0" w:line="240" w:lineRule="auto"/>
              <w:rPr>
                <w:rFonts w:eastAsia="Times New Roman" w:cs="Times New Roman"/>
                <w:b/>
                <w:bCs/>
                <w:color w:val="000000"/>
              </w:rPr>
            </w:pPr>
            <w:r w:rsidRPr="00FA7A56">
              <w:rPr>
                <w:rFonts w:eastAsia="Times New Roman" w:cs="Times New Roman"/>
                <w:b/>
                <w:bCs/>
                <w:color w:val="000000"/>
              </w:rPr>
              <w:t xml:space="preserve">4. Management and Operational Excellence:  </w:t>
            </w:r>
            <w:r w:rsidRPr="00FA7A56">
              <w:rPr>
                <w:rFonts w:eastAsia="Times New Roman" w:cs="Times New Roman"/>
                <w:color w:val="000000"/>
              </w:rPr>
              <w:t>Establish an operational and adaptable framework that combines the best wisdom of all Department stakeholders to maximize mission success</w:t>
            </w:r>
          </w:p>
        </w:tc>
        <w:tc>
          <w:tcPr>
            <w:tcW w:w="2520" w:type="dxa"/>
            <w:vMerge w:val="restart"/>
            <w:shd w:val="clear" w:color="auto" w:fill="auto"/>
            <w:hideMark/>
          </w:tcPr>
          <w:p w:rsidR="009D3DDD" w:rsidRPr="00FA7A56" w:rsidRDefault="009D3DDD" w:rsidP="003560BA">
            <w:pPr>
              <w:spacing w:after="0" w:line="240" w:lineRule="auto"/>
              <w:rPr>
                <w:rFonts w:eastAsia="Times New Roman" w:cs="Times New Roman"/>
                <w:b/>
                <w:bCs/>
                <w:color w:val="000000"/>
              </w:rPr>
            </w:pPr>
            <w:r w:rsidRPr="00FA7A56">
              <w:rPr>
                <w:rFonts w:eastAsia="Times New Roman" w:cs="Times New Roman"/>
                <w:b/>
                <w:bCs/>
                <w:color w:val="000000"/>
              </w:rPr>
              <w:t>4A. Achieve Operational and Technical Excellence</w:t>
            </w:r>
          </w:p>
        </w:tc>
        <w:tc>
          <w:tcPr>
            <w:tcW w:w="3453" w:type="dxa"/>
            <w:shd w:val="clear" w:color="auto" w:fill="auto"/>
            <w:hideMark/>
          </w:tcPr>
          <w:p w:rsidR="009D3DDD" w:rsidRPr="00FA7A56" w:rsidRDefault="009D3DDD" w:rsidP="009D3DDD">
            <w:pPr>
              <w:spacing w:after="0" w:line="240" w:lineRule="auto"/>
              <w:rPr>
                <w:rFonts w:eastAsia="Times New Roman" w:cs="Times New Roman"/>
                <w:color w:val="000000"/>
              </w:rPr>
            </w:pPr>
            <w:r w:rsidRPr="00FA7A56">
              <w:rPr>
                <w:rFonts w:eastAsia="Times New Roman" w:cs="Times New Roman"/>
                <w:color w:val="000000"/>
              </w:rPr>
              <w:t xml:space="preserve">Departmental Administration </w:t>
            </w:r>
          </w:p>
          <w:p w:rsidR="009D3DDD" w:rsidRPr="00FA7A56" w:rsidRDefault="009D3DDD" w:rsidP="009D3DDD">
            <w:pPr>
              <w:spacing w:after="0" w:line="240" w:lineRule="auto"/>
              <w:rPr>
                <w:rFonts w:eastAsia="Times New Roman" w:cs="Times New Roman"/>
                <w:color w:val="000000"/>
              </w:rPr>
            </w:pPr>
          </w:p>
        </w:tc>
      </w:tr>
      <w:tr w:rsidR="00347887" w:rsidRPr="00FA7A56" w:rsidTr="00577A74">
        <w:trPr>
          <w:trHeight w:val="300"/>
        </w:trPr>
        <w:tc>
          <w:tcPr>
            <w:tcW w:w="2667" w:type="dxa"/>
            <w:vMerge/>
            <w:vAlign w:val="center"/>
            <w:hideMark/>
          </w:tcPr>
          <w:p w:rsidR="00347887" w:rsidRPr="00FA7A56" w:rsidRDefault="00347887" w:rsidP="003560BA">
            <w:pPr>
              <w:spacing w:after="0" w:line="240" w:lineRule="auto"/>
              <w:rPr>
                <w:rFonts w:eastAsia="Times New Roman" w:cs="Times New Roman"/>
                <w:b/>
                <w:bCs/>
                <w:color w:val="000000"/>
              </w:rPr>
            </w:pPr>
          </w:p>
        </w:tc>
        <w:tc>
          <w:tcPr>
            <w:tcW w:w="2520" w:type="dxa"/>
            <w:vMerge/>
            <w:vAlign w:val="center"/>
            <w:hideMark/>
          </w:tcPr>
          <w:p w:rsidR="00347887" w:rsidRPr="00FA7A56" w:rsidRDefault="00347887" w:rsidP="003560BA">
            <w:pPr>
              <w:spacing w:after="0" w:line="240" w:lineRule="auto"/>
              <w:rPr>
                <w:rFonts w:eastAsia="Times New Roman" w:cs="Times New Roman"/>
                <w:b/>
                <w:bCs/>
                <w:color w:val="000000"/>
              </w:rPr>
            </w:pPr>
          </w:p>
        </w:tc>
        <w:tc>
          <w:tcPr>
            <w:tcW w:w="3453" w:type="dxa"/>
            <w:shd w:val="clear" w:color="auto" w:fill="auto"/>
            <w:vAlign w:val="bottom"/>
          </w:tcPr>
          <w:p w:rsidR="00347887" w:rsidRPr="00FA7A56" w:rsidRDefault="00347887" w:rsidP="003560BA">
            <w:pPr>
              <w:spacing w:after="0" w:line="240" w:lineRule="auto"/>
              <w:rPr>
                <w:rFonts w:eastAsia="Times New Roman" w:cs="Times New Roman"/>
                <w:color w:val="000000"/>
              </w:rPr>
            </w:pPr>
            <w:r w:rsidRPr="00FA7A56">
              <w:rPr>
                <w:rFonts w:eastAsia="Times New Roman" w:cs="Times New Roman"/>
                <w:color w:val="000000"/>
              </w:rPr>
              <w:t>Hearings and Appeals</w:t>
            </w:r>
          </w:p>
        </w:tc>
      </w:tr>
      <w:tr w:rsidR="009D3DDD" w:rsidRPr="00FA7A56" w:rsidTr="00577A74">
        <w:trPr>
          <w:trHeight w:val="305"/>
        </w:trPr>
        <w:tc>
          <w:tcPr>
            <w:tcW w:w="2667" w:type="dxa"/>
            <w:vMerge/>
            <w:vAlign w:val="center"/>
            <w:hideMark/>
          </w:tcPr>
          <w:p w:rsidR="009D3DDD" w:rsidRPr="00FA7A56" w:rsidRDefault="009D3DDD" w:rsidP="003560BA">
            <w:pPr>
              <w:spacing w:after="0" w:line="240" w:lineRule="auto"/>
              <w:rPr>
                <w:rFonts w:eastAsia="Times New Roman" w:cs="Times New Roman"/>
                <w:b/>
                <w:bCs/>
                <w:color w:val="000000"/>
              </w:rPr>
            </w:pPr>
          </w:p>
        </w:tc>
        <w:tc>
          <w:tcPr>
            <w:tcW w:w="2520" w:type="dxa"/>
            <w:vMerge w:val="restart"/>
            <w:shd w:val="clear" w:color="auto" w:fill="auto"/>
            <w:hideMark/>
          </w:tcPr>
          <w:p w:rsidR="009D3DDD" w:rsidRPr="00FA7A56" w:rsidRDefault="009D3DDD" w:rsidP="003560BA">
            <w:pPr>
              <w:spacing w:after="0" w:line="240" w:lineRule="auto"/>
              <w:rPr>
                <w:rFonts w:eastAsia="Times New Roman" w:cs="Times New Roman"/>
                <w:b/>
                <w:bCs/>
                <w:color w:val="000000"/>
              </w:rPr>
            </w:pPr>
            <w:r w:rsidRPr="00FA7A56">
              <w:rPr>
                <w:rFonts w:eastAsia="Times New Roman" w:cs="Times New Roman"/>
                <w:b/>
                <w:bCs/>
                <w:color w:val="000000"/>
              </w:rPr>
              <w:t>4B. Implement a Performance-Based Culture</w:t>
            </w:r>
          </w:p>
        </w:tc>
        <w:tc>
          <w:tcPr>
            <w:tcW w:w="3453" w:type="dxa"/>
            <w:shd w:val="clear" w:color="auto" w:fill="auto"/>
          </w:tcPr>
          <w:p w:rsidR="009D3DDD" w:rsidRPr="00FA7A56" w:rsidRDefault="009D3DDD" w:rsidP="009D3DDD">
            <w:pPr>
              <w:spacing w:after="0" w:line="240" w:lineRule="auto"/>
              <w:rPr>
                <w:rFonts w:eastAsia="Times New Roman" w:cs="Times New Roman"/>
                <w:color w:val="000000"/>
              </w:rPr>
            </w:pPr>
            <w:r>
              <w:rPr>
                <w:rFonts w:eastAsia="Times New Roman" w:cs="Times New Roman"/>
                <w:color w:val="000000"/>
              </w:rPr>
              <w:t>Departmental Administration</w:t>
            </w:r>
          </w:p>
        </w:tc>
      </w:tr>
      <w:tr w:rsidR="009D3DDD" w:rsidRPr="00FA7A56" w:rsidTr="00577A74">
        <w:trPr>
          <w:trHeight w:val="260"/>
        </w:trPr>
        <w:tc>
          <w:tcPr>
            <w:tcW w:w="2667" w:type="dxa"/>
            <w:vMerge/>
            <w:vAlign w:val="center"/>
            <w:hideMark/>
          </w:tcPr>
          <w:p w:rsidR="009D3DDD" w:rsidRPr="00FA7A56" w:rsidRDefault="009D3DDD" w:rsidP="003560BA">
            <w:pPr>
              <w:spacing w:after="0" w:line="240" w:lineRule="auto"/>
              <w:rPr>
                <w:rFonts w:eastAsia="Times New Roman" w:cs="Times New Roman"/>
                <w:b/>
                <w:bCs/>
                <w:color w:val="000000"/>
              </w:rPr>
            </w:pPr>
          </w:p>
        </w:tc>
        <w:tc>
          <w:tcPr>
            <w:tcW w:w="2520" w:type="dxa"/>
            <w:vMerge/>
            <w:vAlign w:val="center"/>
            <w:hideMark/>
          </w:tcPr>
          <w:p w:rsidR="009D3DDD" w:rsidRPr="00FA7A56" w:rsidRDefault="009D3DDD" w:rsidP="003560BA">
            <w:pPr>
              <w:spacing w:after="0" w:line="240" w:lineRule="auto"/>
              <w:rPr>
                <w:rFonts w:eastAsia="Times New Roman" w:cs="Times New Roman"/>
                <w:b/>
                <w:bCs/>
                <w:color w:val="000000"/>
              </w:rPr>
            </w:pPr>
          </w:p>
        </w:tc>
        <w:tc>
          <w:tcPr>
            <w:tcW w:w="3453" w:type="dxa"/>
            <w:shd w:val="clear" w:color="auto" w:fill="auto"/>
          </w:tcPr>
          <w:p w:rsidR="009D3DDD" w:rsidRPr="00FA7A56" w:rsidRDefault="009D3DDD" w:rsidP="009D3DDD">
            <w:pPr>
              <w:spacing w:after="0" w:line="240" w:lineRule="auto"/>
              <w:rPr>
                <w:rFonts w:eastAsia="Times New Roman" w:cs="Times New Roman"/>
                <w:color w:val="000000"/>
              </w:rPr>
            </w:pPr>
            <w:r w:rsidRPr="00FA7A56">
              <w:rPr>
                <w:rFonts w:eastAsia="Times New Roman" w:cs="Times New Roman"/>
                <w:color w:val="000000"/>
              </w:rPr>
              <w:t>Health, Safety and Security</w:t>
            </w:r>
          </w:p>
        </w:tc>
      </w:tr>
      <w:tr w:rsidR="00347887" w:rsidRPr="00AF0C81" w:rsidTr="00577A74">
        <w:trPr>
          <w:trHeight w:val="70"/>
        </w:trPr>
        <w:tc>
          <w:tcPr>
            <w:tcW w:w="2667" w:type="dxa"/>
            <w:vMerge/>
            <w:vAlign w:val="center"/>
            <w:hideMark/>
          </w:tcPr>
          <w:p w:rsidR="00347887" w:rsidRPr="00FA7A56" w:rsidRDefault="00347887" w:rsidP="003560BA">
            <w:pPr>
              <w:spacing w:after="0" w:line="240" w:lineRule="auto"/>
              <w:rPr>
                <w:rFonts w:eastAsia="Times New Roman" w:cs="Times New Roman"/>
                <w:b/>
                <w:bCs/>
                <w:color w:val="000000"/>
              </w:rPr>
            </w:pPr>
          </w:p>
        </w:tc>
        <w:tc>
          <w:tcPr>
            <w:tcW w:w="2520" w:type="dxa"/>
            <w:vMerge/>
            <w:vAlign w:val="center"/>
            <w:hideMark/>
          </w:tcPr>
          <w:p w:rsidR="00347887" w:rsidRPr="00FA7A56" w:rsidRDefault="00347887" w:rsidP="003560BA">
            <w:pPr>
              <w:spacing w:after="0" w:line="240" w:lineRule="auto"/>
              <w:rPr>
                <w:rFonts w:eastAsia="Times New Roman" w:cs="Times New Roman"/>
                <w:b/>
                <w:bCs/>
                <w:color w:val="000000"/>
              </w:rPr>
            </w:pPr>
          </w:p>
        </w:tc>
        <w:tc>
          <w:tcPr>
            <w:tcW w:w="3453" w:type="dxa"/>
            <w:shd w:val="clear" w:color="auto" w:fill="auto"/>
            <w:hideMark/>
          </w:tcPr>
          <w:p w:rsidR="00347887" w:rsidRPr="00AF0C81" w:rsidRDefault="00347887" w:rsidP="00436B9D">
            <w:pPr>
              <w:spacing w:after="0" w:line="240" w:lineRule="auto"/>
              <w:rPr>
                <w:rFonts w:eastAsia="Times New Roman" w:cs="Times New Roman"/>
                <w:color w:val="000000"/>
              </w:rPr>
            </w:pPr>
            <w:r w:rsidRPr="00FA7A56">
              <w:rPr>
                <w:rFonts w:eastAsia="Times New Roman" w:cs="Times New Roman"/>
                <w:color w:val="000000"/>
              </w:rPr>
              <w:t>Inspector General</w:t>
            </w:r>
          </w:p>
        </w:tc>
      </w:tr>
    </w:tbl>
    <w:p w:rsidR="001F4497" w:rsidRPr="00AF0C81" w:rsidRDefault="001F4497" w:rsidP="00AE2FB2">
      <w:pPr>
        <w:spacing w:after="0"/>
      </w:pPr>
    </w:p>
    <w:p w:rsidR="009F1265" w:rsidRPr="00AF0C81" w:rsidRDefault="009F1265" w:rsidP="006F1E9F">
      <w:pPr>
        <w:pStyle w:val="Heading1"/>
        <w:spacing w:before="0"/>
        <w:rPr>
          <w:rFonts w:asciiTheme="minorHAnsi" w:hAnsiTheme="minorHAnsi"/>
          <w:color w:val="4F81BD" w:themeColor="accent1"/>
          <w:sz w:val="22"/>
          <w:szCs w:val="22"/>
        </w:rPr>
        <w:sectPr w:rsidR="009F1265" w:rsidRPr="00AF0C81" w:rsidSect="001A5EE3">
          <w:footerReference w:type="default" r:id="rId31"/>
          <w:pgSz w:w="12240" w:h="15840"/>
          <w:pgMar w:top="1440" w:right="1440" w:bottom="1440" w:left="1440" w:header="720" w:footer="720" w:gutter="0"/>
          <w:cols w:space="720"/>
          <w:docGrid w:linePitch="360"/>
        </w:sectPr>
      </w:pPr>
    </w:p>
    <w:p w:rsidR="006F1E9F" w:rsidRPr="00AF0C81" w:rsidRDefault="006F1E9F" w:rsidP="006F1E9F">
      <w:pPr>
        <w:pStyle w:val="Heading1"/>
        <w:spacing w:before="0"/>
        <w:rPr>
          <w:rFonts w:asciiTheme="minorHAnsi" w:hAnsiTheme="minorHAnsi"/>
          <w:color w:val="17365D" w:themeColor="text2" w:themeShade="BF"/>
          <w:sz w:val="22"/>
          <w:szCs w:val="22"/>
        </w:rPr>
      </w:pPr>
      <w:bookmarkStart w:id="205" w:name="_Toc357755971"/>
      <w:bookmarkStart w:id="206" w:name="_Toc357763502"/>
      <w:r w:rsidRPr="00AF0C81">
        <w:rPr>
          <w:rFonts w:asciiTheme="minorHAnsi" w:hAnsiTheme="minorHAnsi"/>
          <w:color w:val="17365D" w:themeColor="text2" w:themeShade="BF"/>
          <w:sz w:val="22"/>
          <w:szCs w:val="22"/>
        </w:rPr>
        <w:t>Agency Priority Goals and Cross Agency Priority Goals</w:t>
      </w:r>
      <w:bookmarkEnd w:id="205"/>
      <w:bookmarkEnd w:id="206"/>
    </w:p>
    <w:p w:rsidR="006F1E9F" w:rsidRPr="00AF0C81" w:rsidRDefault="00E23CA7" w:rsidP="00E23CA7">
      <w:pPr>
        <w:autoSpaceDE w:val="0"/>
        <w:autoSpaceDN w:val="0"/>
        <w:adjustRightInd w:val="0"/>
        <w:spacing w:after="0"/>
        <w:rPr>
          <w:rFonts w:cs="Times New Roman PS Std"/>
          <w:iCs/>
          <w:color w:val="000000"/>
        </w:rPr>
      </w:pPr>
      <w:r w:rsidRPr="00AF0C81">
        <w:t xml:space="preserve">The GPRA Modernization Act of 2010 set a process for agencies to focus on a limited number of near-term priority goals.  So, in addition to the </w:t>
      </w:r>
      <w:r w:rsidR="006F1E9F" w:rsidRPr="00AF0C81">
        <w:rPr>
          <w:rFonts w:cs="Times New Roman PS Std"/>
          <w:color w:val="000000"/>
        </w:rPr>
        <w:t xml:space="preserve">almost 200 </w:t>
      </w:r>
      <w:r w:rsidR="00C9112F" w:rsidRPr="00AF0C81">
        <w:rPr>
          <w:rFonts w:cs="Times New Roman PS Std"/>
          <w:color w:val="000000"/>
        </w:rPr>
        <w:t xml:space="preserve">performance </w:t>
      </w:r>
      <w:r w:rsidR="006F1E9F" w:rsidRPr="00AF0C81">
        <w:rPr>
          <w:rFonts w:cs="Times New Roman PS Std"/>
          <w:color w:val="000000"/>
        </w:rPr>
        <w:t xml:space="preserve">measures DOE </w:t>
      </w:r>
      <w:r w:rsidRPr="00AF0C81">
        <w:rPr>
          <w:rFonts w:cs="Times New Roman PS Std"/>
          <w:color w:val="000000"/>
        </w:rPr>
        <w:t xml:space="preserve">monitors </w:t>
      </w:r>
      <w:r w:rsidR="006F1E9F" w:rsidRPr="00AF0C81">
        <w:rPr>
          <w:rFonts w:cs="Times New Roman PS Std"/>
          <w:color w:val="000000"/>
        </w:rPr>
        <w:t>internally</w:t>
      </w:r>
      <w:r w:rsidRPr="00AF0C81">
        <w:rPr>
          <w:rFonts w:cs="Times New Roman PS Std"/>
          <w:color w:val="000000"/>
        </w:rPr>
        <w:t xml:space="preserve">, </w:t>
      </w:r>
      <w:r w:rsidR="006F1E9F" w:rsidRPr="00AF0C81">
        <w:rPr>
          <w:rFonts w:cs="Times New Roman PS Std"/>
          <w:color w:val="000000"/>
        </w:rPr>
        <w:t xml:space="preserve">DOE </w:t>
      </w:r>
      <w:r w:rsidR="0054380B" w:rsidRPr="00AF0C81">
        <w:rPr>
          <w:rFonts w:cs="Times New Roman PS Std"/>
          <w:color w:val="000000"/>
        </w:rPr>
        <w:t>supports</w:t>
      </w:r>
      <w:r w:rsidRPr="00AF0C81">
        <w:rPr>
          <w:rFonts w:cs="Times New Roman PS Std"/>
          <w:color w:val="000000"/>
        </w:rPr>
        <w:t xml:space="preserve"> </w:t>
      </w:r>
      <w:r w:rsidR="001C5505" w:rsidRPr="00AF0C81">
        <w:rPr>
          <w:rFonts w:cs="Times New Roman PS Std"/>
          <w:color w:val="000000"/>
        </w:rPr>
        <w:t>8</w:t>
      </w:r>
      <w:r w:rsidR="0054380B" w:rsidRPr="00AF0C81">
        <w:rPr>
          <w:rFonts w:cs="Times New Roman PS Std"/>
          <w:color w:val="000000"/>
        </w:rPr>
        <w:t xml:space="preserve"> Agency</w:t>
      </w:r>
      <w:r w:rsidR="006F1E9F" w:rsidRPr="00AF0C81">
        <w:rPr>
          <w:rFonts w:cs="Times New Roman PS Std"/>
          <w:color w:val="000000"/>
        </w:rPr>
        <w:t xml:space="preserve"> Priority Goals (APGs). </w:t>
      </w:r>
      <w:r w:rsidRPr="00AF0C81">
        <w:rPr>
          <w:rFonts w:cs="Times New Roman PS Std"/>
          <w:iCs/>
          <w:color w:val="000000"/>
        </w:rPr>
        <w:t>For contributions to our Agency Priority Goals</w:t>
      </w:r>
      <w:r w:rsidRPr="00AF0C81">
        <w:rPr>
          <w:rFonts w:cs="Times New Roman PS Std"/>
          <w:color w:val="000000"/>
        </w:rPr>
        <w:t>, p</w:t>
      </w:r>
      <w:r w:rsidR="006F1E9F" w:rsidRPr="00AF0C81">
        <w:rPr>
          <w:rFonts w:cs="Times New Roman PS Std"/>
          <w:iCs/>
          <w:color w:val="000000"/>
        </w:rPr>
        <w:t>lease refer to www.Performance.gov</w:t>
      </w:r>
      <w:r w:rsidR="00BB12F3" w:rsidRPr="00AF0C81">
        <w:rPr>
          <w:rFonts w:cs="Times New Roman PS Std"/>
          <w:iCs/>
          <w:color w:val="000000"/>
        </w:rPr>
        <w:t>.</w:t>
      </w:r>
      <w:r w:rsidR="006F1E9F" w:rsidRPr="00AF0C81">
        <w:rPr>
          <w:rFonts w:cs="Times New Roman PS Std"/>
          <w:iCs/>
          <w:color w:val="000000"/>
        </w:rPr>
        <w:t xml:space="preserve"> </w:t>
      </w:r>
    </w:p>
    <w:p w:rsidR="006F1E9F" w:rsidRPr="00AF0C81" w:rsidRDefault="006F1E9F" w:rsidP="006F1E9F">
      <w:pPr>
        <w:autoSpaceDE w:val="0"/>
        <w:autoSpaceDN w:val="0"/>
        <w:adjustRightInd w:val="0"/>
        <w:spacing w:after="0" w:line="240" w:lineRule="auto"/>
        <w:rPr>
          <w:rFonts w:cs="Times New Roman PS Std"/>
          <w:iCs/>
          <w:color w:val="000000"/>
        </w:rPr>
      </w:pPr>
    </w:p>
    <w:tbl>
      <w:tblPr>
        <w:tblW w:w="5000" w:type="pct"/>
        <w:tblLook w:val="04A0"/>
      </w:tblPr>
      <w:tblGrid>
        <w:gridCol w:w="1603"/>
        <w:gridCol w:w="4140"/>
        <w:gridCol w:w="3550"/>
        <w:gridCol w:w="2619"/>
        <w:gridCol w:w="2704"/>
      </w:tblGrid>
      <w:tr w:rsidR="00B11F3E" w:rsidRPr="00B11F3E" w:rsidTr="00BD6682">
        <w:trPr>
          <w:cantSplit/>
          <w:trHeight w:val="975"/>
          <w:tblHeader/>
        </w:trPr>
        <w:tc>
          <w:tcPr>
            <w:tcW w:w="548" w:type="pct"/>
            <w:tcBorders>
              <w:top w:val="single" w:sz="8" w:space="0" w:color="auto"/>
              <w:left w:val="single" w:sz="8" w:space="0" w:color="auto"/>
              <w:bottom w:val="single" w:sz="8" w:space="0" w:color="auto"/>
              <w:right w:val="single" w:sz="8" w:space="0" w:color="auto"/>
            </w:tcBorders>
            <w:shd w:val="clear" w:color="000000" w:fill="D8D8D8"/>
            <w:hideMark/>
          </w:tcPr>
          <w:p w:rsidR="00B11F3E" w:rsidRPr="00B11F3E" w:rsidRDefault="00B11F3E" w:rsidP="00B11F3E">
            <w:pPr>
              <w:spacing w:after="0" w:line="240" w:lineRule="auto"/>
              <w:rPr>
                <w:rFonts w:ascii="Calibri" w:eastAsia="Times New Roman" w:hAnsi="Calibri" w:cs="Times New Roman"/>
                <w:b/>
                <w:bCs/>
                <w:color w:val="000000"/>
              </w:rPr>
            </w:pPr>
            <w:r w:rsidRPr="00B11F3E">
              <w:rPr>
                <w:rFonts w:ascii="Calibri" w:eastAsia="Times New Roman" w:hAnsi="Calibri" w:cs="Times New Roman"/>
                <w:b/>
                <w:bCs/>
                <w:color w:val="000000"/>
              </w:rPr>
              <w:t>Agency Priority Goal Short Name</w:t>
            </w:r>
          </w:p>
        </w:tc>
        <w:tc>
          <w:tcPr>
            <w:tcW w:w="1416" w:type="pct"/>
            <w:tcBorders>
              <w:top w:val="single" w:sz="8" w:space="0" w:color="auto"/>
              <w:left w:val="nil"/>
              <w:bottom w:val="single" w:sz="8" w:space="0" w:color="auto"/>
              <w:right w:val="single" w:sz="8" w:space="0" w:color="auto"/>
            </w:tcBorders>
            <w:shd w:val="clear" w:color="000000" w:fill="D8D8D8"/>
            <w:hideMark/>
          </w:tcPr>
          <w:p w:rsidR="00B11F3E" w:rsidRPr="00B11F3E" w:rsidRDefault="00B11F3E" w:rsidP="00B11F3E">
            <w:pPr>
              <w:spacing w:after="0" w:line="240" w:lineRule="auto"/>
              <w:rPr>
                <w:rFonts w:ascii="Calibri" w:eastAsia="Times New Roman" w:hAnsi="Calibri" w:cs="Times New Roman"/>
                <w:b/>
                <w:bCs/>
                <w:color w:val="000000"/>
              </w:rPr>
            </w:pPr>
            <w:r w:rsidRPr="00B11F3E">
              <w:rPr>
                <w:rFonts w:ascii="Calibri" w:eastAsia="Times New Roman" w:hAnsi="Calibri" w:cs="Times New Roman"/>
                <w:b/>
                <w:bCs/>
                <w:color w:val="000000"/>
              </w:rPr>
              <w:t>Agency Priority Goal Statement</w:t>
            </w:r>
          </w:p>
        </w:tc>
        <w:tc>
          <w:tcPr>
            <w:tcW w:w="1214" w:type="pct"/>
            <w:tcBorders>
              <w:top w:val="single" w:sz="8" w:space="0" w:color="auto"/>
              <w:left w:val="nil"/>
              <w:bottom w:val="single" w:sz="8" w:space="0" w:color="auto"/>
              <w:right w:val="single" w:sz="8" w:space="0" w:color="auto"/>
            </w:tcBorders>
            <w:shd w:val="clear" w:color="000000" w:fill="D8D8D8"/>
            <w:hideMark/>
          </w:tcPr>
          <w:p w:rsidR="00B11F3E" w:rsidRPr="00B11F3E" w:rsidRDefault="00B11F3E" w:rsidP="00B11F3E">
            <w:pPr>
              <w:spacing w:after="0" w:line="240" w:lineRule="auto"/>
              <w:rPr>
                <w:rFonts w:ascii="Calibri" w:eastAsia="Times New Roman" w:hAnsi="Calibri" w:cs="Times New Roman"/>
                <w:b/>
                <w:bCs/>
                <w:color w:val="000000"/>
              </w:rPr>
            </w:pPr>
            <w:r w:rsidRPr="00B11F3E">
              <w:rPr>
                <w:rFonts w:ascii="Calibri" w:eastAsia="Times New Roman" w:hAnsi="Calibri" w:cs="Times New Roman"/>
                <w:b/>
                <w:bCs/>
                <w:color w:val="000000"/>
              </w:rPr>
              <w:t>GPRA Unit or Office Responsible for the Agency Priority Goal</w:t>
            </w:r>
          </w:p>
        </w:tc>
        <w:tc>
          <w:tcPr>
            <w:tcW w:w="896" w:type="pct"/>
            <w:tcBorders>
              <w:top w:val="single" w:sz="8" w:space="0" w:color="auto"/>
              <w:left w:val="nil"/>
              <w:bottom w:val="single" w:sz="8" w:space="0" w:color="auto"/>
              <w:right w:val="single" w:sz="8" w:space="0" w:color="auto"/>
            </w:tcBorders>
            <w:shd w:val="clear" w:color="000000" w:fill="D8D8D8"/>
            <w:hideMark/>
          </w:tcPr>
          <w:p w:rsidR="00B11F3E" w:rsidRPr="00B11F3E" w:rsidRDefault="00B11F3E" w:rsidP="00B11F3E">
            <w:pPr>
              <w:spacing w:after="0" w:line="240" w:lineRule="auto"/>
              <w:rPr>
                <w:rFonts w:ascii="Calibri" w:eastAsia="Times New Roman" w:hAnsi="Calibri" w:cs="Times New Roman"/>
                <w:b/>
                <w:bCs/>
                <w:color w:val="000000"/>
              </w:rPr>
            </w:pPr>
            <w:r w:rsidRPr="00B11F3E">
              <w:rPr>
                <w:rFonts w:ascii="Calibri" w:eastAsia="Times New Roman" w:hAnsi="Calibri" w:cs="Times New Roman"/>
                <w:b/>
                <w:bCs/>
                <w:color w:val="000000"/>
              </w:rPr>
              <w:t>Strategic Goal Supported by the Agency Priority Goal</w:t>
            </w:r>
          </w:p>
        </w:tc>
        <w:tc>
          <w:tcPr>
            <w:tcW w:w="925" w:type="pct"/>
            <w:tcBorders>
              <w:top w:val="single" w:sz="8" w:space="0" w:color="auto"/>
              <w:left w:val="nil"/>
              <w:bottom w:val="single" w:sz="8" w:space="0" w:color="auto"/>
              <w:right w:val="single" w:sz="8" w:space="0" w:color="auto"/>
            </w:tcBorders>
            <w:shd w:val="clear" w:color="000000" w:fill="D8D8D8"/>
            <w:hideMark/>
          </w:tcPr>
          <w:p w:rsidR="00B11F3E" w:rsidRPr="00B11F3E" w:rsidRDefault="00B11F3E" w:rsidP="00B11F3E">
            <w:pPr>
              <w:spacing w:after="0" w:line="240" w:lineRule="auto"/>
              <w:rPr>
                <w:rFonts w:ascii="Calibri" w:eastAsia="Times New Roman" w:hAnsi="Calibri" w:cs="Times New Roman"/>
                <w:b/>
                <w:bCs/>
                <w:color w:val="000000"/>
              </w:rPr>
            </w:pPr>
            <w:r w:rsidRPr="00B11F3E">
              <w:rPr>
                <w:rFonts w:ascii="Calibri" w:eastAsia="Times New Roman" w:hAnsi="Calibri" w:cs="Times New Roman"/>
                <w:b/>
                <w:bCs/>
                <w:color w:val="000000"/>
              </w:rPr>
              <w:t>Strategic Objective supported by the Agency Priority Goal</w:t>
            </w:r>
          </w:p>
        </w:tc>
      </w:tr>
      <w:tr w:rsidR="00B11F3E" w:rsidRPr="00B11F3E" w:rsidTr="00BD6682">
        <w:trPr>
          <w:trHeight w:val="315"/>
        </w:trPr>
        <w:tc>
          <w:tcPr>
            <w:tcW w:w="548" w:type="pct"/>
            <w:vMerge w:val="restart"/>
            <w:tcBorders>
              <w:top w:val="nil"/>
              <w:left w:val="single" w:sz="8" w:space="0" w:color="auto"/>
              <w:bottom w:val="single" w:sz="8" w:space="0" w:color="000000"/>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rPr>
            </w:pPr>
            <w:r w:rsidRPr="00612752">
              <w:rPr>
                <w:rFonts w:ascii="Calibri" w:eastAsia="Times New Roman" w:hAnsi="Calibri" w:cs="Times New Roman"/>
              </w:rPr>
              <w:t>Nuclear Weapons</w:t>
            </w:r>
          </w:p>
        </w:tc>
        <w:tc>
          <w:tcPr>
            <w:tcW w:w="1416" w:type="pct"/>
            <w:vMerge w:val="restart"/>
            <w:tcBorders>
              <w:top w:val="nil"/>
              <w:left w:val="single" w:sz="8" w:space="0" w:color="auto"/>
              <w:bottom w:val="single" w:sz="8" w:space="0" w:color="000000"/>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color w:val="000000"/>
              </w:rPr>
            </w:pPr>
            <w:r w:rsidRPr="00B11F3E">
              <w:rPr>
                <w:rFonts w:ascii="Calibri" w:eastAsia="Times New Roman" w:hAnsi="Calibri" w:cs="Times New Roman"/>
                <w:color w:val="000000"/>
              </w:rPr>
              <w:t>Maintain the U.S. nuclear weapons stockpile and dismantle excess nuclear weapons to meet National nuclear security requirements as assigned by the President through the Nuclear Posture Review.  Each year through 2013 and into the future, maintain 100% of warheads in the stockpile that are safe, secure, reliable, and available to the President for deployment.</w:t>
            </w:r>
          </w:p>
        </w:tc>
        <w:tc>
          <w:tcPr>
            <w:tcW w:w="1214" w:type="pct"/>
            <w:tcBorders>
              <w:top w:val="nil"/>
              <w:left w:val="nil"/>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rPr>
            </w:pPr>
            <w:r w:rsidRPr="00B11F3E">
              <w:rPr>
                <w:rFonts w:ascii="Calibri" w:eastAsia="Times New Roman" w:hAnsi="Calibri" w:cs="Times New Roman"/>
              </w:rPr>
              <w:t>Directed Stockpile Work</w:t>
            </w:r>
          </w:p>
        </w:tc>
        <w:tc>
          <w:tcPr>
            <w:tcW w:w="896" w:type="pct"/>
            <w:vMerge w:val="restart"/>
            <w:tcBorders>
              <w:top w:val="nil"/>
              <w:left w:val="single" w:sz="8" w:space="0" w:color="auto"/>
              <w:bottom w:val="single" w:sz="8" w:space="0" w:color="000000"/>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color w:val="000000"/>
              </w:rPr>
            </w:pPr>
            <w:r w:rsidRPr="00B11F3E">
              <w:rPr>
                <w:rFonts w:ascii="Calibri" w:eastAsia="Times New Roman" w:hAnsi="Calibri" w:cs="Times New Roman"/>
                <w:color w:val="000000"/>
              </w:rPr>
              <w:t>Strategic Goal 3. Secure our Nation: Enhance nuclear security through defense, nonproliferation, and environmental efforts.</w:t>
            </w:r>
          </w:p>
        </w:tc>
        <w:tc>
          <w:tcPr>
            <w:tcW w:w="925" w:type="pct"/>
            <w:vMerge w:val="restart"/>
            <w:tcBorders>
              <w:top w:val="nil"/>
              <w:left w:val="single" w:sz="8" w:space="0" w:color="auto"/>
              <w:bottom w:val="single" w:sz="8" w:space="0" w:color="000000"/>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color w:val="000000"/>
              </w:rPr>
            </w:pPr>
            <w:r w:rsidRPr="00B11F3E">
              <w:rPr>
                <w:rFonts w:ascii="Calibri" w:eastAsia="Times New Roman" w:hAnsi="Calibri" w:cs="Times New Roman"/>
                <w:color w:val="000000"/>
              </w:rPr>
              <w:t>Objective 3.1. Support the U.S. Nuclear Stockpile and Future Military Needs</w:t>
            </w:r>
          </w:p>
        </w:tc>
      </w:tr>
      <w:tr w:rsidR="00B11F3E" w:rsidRPr="00B11F3E" w:rsidTr="00BD6682">
        <w:trPr>
          <w:trHeight w:val="315"/>
        </w:trPr>
        <w:tc>
          <w:tcPr>
            <w:tcW w:w="548" w:type="pct"/>
            <w:vMerge/>
            <w:tcBorders>
              <w:top w:val="nil"/>
              <w:left w:val="single" w:sz="8" w:space="0" w:color="auto"/>
              <w:bottom w:val="single" w:sz="8" w:space="0" w:color="000000"/>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rPr>
            </w:pPr>
          </w:p>
        </w:tc>
        <w:tc>
          <w:tcPr>
            <w:tcW w:w="1416" w:type="pct"/>
            <w:vMerge/>
            <w:tcBorders>
              <w:top w:val="nil"/>
              <w:left w:val="single" w:sz="8" w:space="0" w:color="auto"/>
              <w:bottom w:val="single" w:sz="8" w:space="0" w:color="000000"/>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color w:val="000000"/>
              </w:rPr>
            </w:pPr>
          </w:p>
        </w:tc>
        <w:tc>
          <w:tcPr>
            <w:tcW w:w="1214" w:type="pct"/>
            <w:tcBorders>
              <w:top w:val="nil"/>
              <w:left w:val="nil"/>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rPr>
            </w:pPr>
            <w:r w:rsidRPr="00B11F3E">
              <w:rPr>
                <w:rFonts w:ascii="Calibri" w:eastAsia="Times New Roman" w:hAnsi="Calibri" w:cs="Times New Roman"/>
              </w:rPr>
              <w:t>Science Campaign (contributing)</w:t>
            </w:r>
          </w:p>
        </w:tc>
        <w:tc>
          <w:tcPr>
            <w:tcW w:w="896" w:type="pct"/>
            <w:vMerge/>
            <w:tcBorders>
              <w:top w:val="nil"/>
              <w:left w:val="single" w:sz="8" w:space="0" w:color="auto"/>
              <w:bottom w:val="single" w:sz="8" w:space="0" w:color="000000"/>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color w:val="000000"/>
              </w:rPr>
            </w:pPr>
          </w:p>
        </w:tc>
        <w:tc>
          <w:tcPr>
            <w:tcW w:w="925" w:type="pct"/>
            <w:vMerge/>
            <w:tcBorders>
              <w:top w:val="nil"/>
              <w:left w:val="single" w:sz="8" w:space="0" w:color="auto"/>
              <w:bottom w:val="single" w:sz="8" w:space="0" w:color="000000"/>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color w:val="000000"/>
              </w:rPr>
            </w:pPr>
          </w:p>
        </w:tc>
      </w:tr>
      <w:tr w:rsidR="00B11F3E" w:rsidRPr="00B11F3E" w:rsidTr="00BD6682">
        <w:trPr>
          <w:trHeight w:val="315"/>
        </w:trPr>
        <w:tc>
          <w:tcPr>
            <w:tcW w:w="548" w:type="pct"/>
            <w:vMerge/>
            <w:tcBorders>
              <w:top w:val="nil"/>
              <w:left w:val="single" w:sz="8" w:space="0" w:color="auto"/>
              <w:bottom w:val="single" w:sz="8" w:space="0" w:color="000000"/>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rPr>
            </w:pPr>
          </w:p>
        </w:tc>
        <w:tc>
          <w:tcPr>
            <w:tcW w:w="1416" w:type="pct"/>
            <w:vMerge/>
            <w:tcBorders>
              <w:top w:val="nil"/>
              <w:left w:val="single" w:sz="8" w:space="0" w:color="auto"/>
              <w:bottom w:val="single" w:sz="8" w:space="0" w:color="000000"/>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color w:val="000000"/>
              </w:rPr>
            </w:pPr>
          </w:p>
        </w:tc>
        <w:tc>
          <w:tcPr>
            <w:tcW w:w="1214" w:type="pct"/>
            <w:tcBorders>
              <w:top w:val="nil"/>
              <w:left w:val="nil"/>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rPr>
            </w:pPr>
            <w:r w:rsidRPr="00B11F3E">
              <w:rPr>
                <w:rFonts w:ascii="Calibri" w:eastAsia="Times New Roman" w:hAnsi="Calibri" w:cs="Times New Roman"/>
              </w:rPr>
              <w:t>Engineering Campaign (contributing)</w:t>
            </w:r>
          </w:p>
        </w:tc>
        <w:tc>
          <w:tcPr>
            <w:tcW w:w="896" w:type="pct"/>
            <w:vMerge/>
            <w:tcBorders>
              <w:top w:val="nil"/>
              <w:left w:val="single" w:sz="8" w:space="0" w:color="auto"/>
              <w:bottom w:val="single" w:sz="8" w:space="0" w:color="000000"/>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color w:val="000000"/>
              </w:rPr>
            </w:pPr>
          </w:p>
        </w:tc>
        <w:tc>
          <w:tcPr>
            <w:tcW w:w="925" w:type="pct"/>
            <w:vMerge/>
            <w:tcBorders>
              <w:top w:val="nil"/>
              <w:left w:val="single" w:sz="8" w:space="0" w:color="auto"/>
              <w:bottom w:val="single" w:sz="8" w:space="0" w:color="000000"/>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color w:val="000000"/>
              </w:rPr>
            </w:pPr>
          </w:p>
        </w:tc>
      </w:tr>
      <w:tr w:rsidR="00B11F3E" w:rsidRPr="00B11F3E" w:rsidTr="00BD6682">
        <w:trPr>
          <w:trHeight w:val="615"/>
        </w:trPr>
        <w:tc>
          <w:tcPr>
            <w:tcW w:w="548" w:type="pct"/>
            <w:vMerge/>
            <w:tcBorders>
              <w:top w:val="nil"/>
              <w:left w:val="single" w:sz="8" w:space="0" w:color="auto"/>
              <w:bottom w:val="single" w:sz="8" w:space="0" w:color="000000"/>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rPr>
            </w:pPr>
          </w:p>
        </w:tc>
        <w:tc>
          <w:tcPr>
            <w:tcW w:w="1416" w:type="pct"/>
            <w:vMerge/>
            <w:tcBorders>
              <w:top w:val="nil"/>
              <w:left w:val="single" w:sz="8" w:space="0" w:color="auto"/>
              <w:bottom w:val="single" w:sz="8" w:space="0" w:color="000000"/>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color w:val="000000"/>
              </w:rPr>
            </w:pPr>
          </w:p>
        </w:tc>
        <w:tc>
          <w:tcPr>
            <w:tcW w:w="1214" w:type="pct"/>
            <w:tcBorders>
              <w:top w:val="nil"/>
              <w:left w:val="nil"/>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rPr>
            </w:pPr>
            <w:r w:rsidRPr="00B11F3E">
              <w:rPr>
                <w:rFonts w:ascii="Calibri" w:eastAsia="Times New Roman" w:hAnsi="Calibri" w:cs="Times New Roman"/>
              </w:rPr>
              <w:t>Advanced Simulation and Computing Campaign (contributing)</w:t>
            </w:r>
          </w:p>
        </w:tc>
        <w:tc>
          <w:tcPr>
            <w:tcW w:w="896" w:type="pct"/>
            <w:vMerge/>
            <w:tcBorders>
              <w:top w:val="nil"/>
              <w:left w:val="single" w:sz="8" w:space="0" w:color="auto"/>
              <w:bottom w:val="single" w:sz="8" w:space="0" w:color="000000"/>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color w:val="000000"/>
              </w:rPr>
            </w:pPr>
          </w:p>
        </w:tc>
        <w:tc>
          <w:tcPr>
            <w:tcW w:w="925" w:type="pct"/>
            <w:vMerge/>
            <w:tcBorders>
              <w:top w:val="nil"/>
              <w:left w:val="single" w:sz="8" w:space="0" w:color="auto"/>
              <w:bottom w:val="single" w:sz="8" w:space="0" w:color="000000"/>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color w:val="000000"/>
              </w:rPr>
            </w:pPr>
          </w:p>
        </w:tc>
      </w:tr>
      <w:tr w:rsidR="00B11F3E" w:rsidRPr="00B11F3E" w:rsidTr="00BD6682">
        <w:trPr>
          <w:trHeight w:val="675"/>
        </w:trPr>
        <w:tc>
          <w:tcPr>
            <w:tcW w:w="548" w:type="pct"/>
            <w:vMerge/>
            <w:tcBorders>
              <w:top w:val="nil"/>
              <w:left w:val="single" w:sz="8" w:space="0" w:color="auto"/>
              <w:bottom w:val="single" w:sz="8" w:space="0" w:color="000000"/>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rPr>
            </w:pPr>
          </w:p>
        </w:tc>
        <w:tc>
          <w:tcPr>
            <w:tcW w:w="1416" w:type="pct"/>
            <w:vMerge/>
            <w:tcBorders>
              <w:top w:val="nil"/>
              <w:left w:val="single" w:sz="8" w:space="0" w:color="auto"/>
              <w:bottom w:val="single" w:sz="8" w:space="0" w:color="000000"/>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color w:val="000000"/>
              </w:rPr>
            </w:pPr>
          </w:p>
        </w:tc>
        <w:tc>
          <w:tcPr>
            <w:tcW w:w="1214" w:type="pct"/>
            <w:tcBorders>
              <w:top w:val="nil"/>
              <w:left w:val="nil"/>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rPr>
            </w:pPr>
            <w:r w:rsidRPr="00B11F3E">
              <w:rPr>
                <w:rFonts w:ascii="Calibri" w:eastAsia="Times New Roman" w:hAnsi="Calibri" w:cs="Times New Roman"/>
              </w:rPr>
              <w:t>Inertial Confinement Fusion Ignition and High Yield Campaign (contributing)</w:t>
            </w:r>
          </w:p>
        </w:tc>
        <w:tc>
          <w:tcPr>
            <w:tcW w:w="896" w:type="pct"/>
            <w:vMerge/>
            <w:tcBorders>
              <w:top w:val="nil"/>
              <w:left w:val="single" w:sz="8" w:space="0" w:color="auto"/>
              <w:bottom w:val="single" w:sz="8" w:space="0" w:color="000000"/>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color w:val="000000"/>
              </w:rPr>
            </w:pPr>
          </w:p>
        </w:tc>
        <w:tc>
          <w:tcPr>
            <w:tcW w:w="925" w:type="pct"/>
            <w:vMerge/>
            <w:tcBorders>
              <w:top w:val="nil"/>
              <w:left w:val="single" w:sz="8" w:space="0" w:color="auto"/>
              <w:bottom w:val="single" w:sz="8" w:space="0" w:color="000000"/>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color w:val="000000"/>
              </w:rPr>
            </w:pPr>
          </w:p>
        </w:tc>
      </w:tr>
      <w:tr w:rsidR="00B11F3E" w:rsidRPr="00B11F3E" w:rsidTr="00BD6682">
        <w:trPr>
          <w:trHeight w:val="315"/>
        </w:trPr>
        <w:tc>
          <w:tcPr>
            <w:tcW w:w="548" w:type="pct"/>
            <w:vMerge/>
            <w:tcBorders>
              <w:top w:val="nil"/>
              <w:left w:val="single" w:sz="8" w:space="0" w:color="auto"/>
              <w:bottom w:val="single" w:sz="8" w:space="0" w:color="000000"/>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rPr>
            </w:pPr>
          </w:p>
        </w:tc>
        <w:tc>
          <w:tcPr>
            <w:tcW w:w="1416" w:type="pct"/>
            <w:vMerge/>
            <w:tcBorders>
              <w:top w:val="nil"/>
              <w:left w:val="single" w:sz="8" w:space="0" w:color="auto"/>
              <w:bottom w:val="single" w:sz="8" w:space="0" w:color="000000"/>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color w:val="000000"/>
              </w:rPr>
            </w:pPr>
          </w:p>
        </w:tc>
        <w:tc>
          <w:tcPr>
            <w:tcW w:w="1214" w:type="pct"/>
            <w:tcBorders>
              <w:top w:val="nil"/>
              <w:left w:val="nil"/>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rPr>
            </w:pPr>
            <w:r w:rsidRPr="00B11F3E">
              <w:rPr>
                <w:rFonts w:ascii="Calibri" w:eastAsia="Times New Roman" w:hAnsi="Calibri" w:cs="Times New Roman"/>
              </w:rPr>
              <w:t>Readiness Campaign (contributing)</w:t>
            </w:r>
          </w:p>
        </w:tc>
        <w:tc>
          <w:tcPr>
            <w:tcW w:w="896" w:type="pct"/>
            <w:vMerge/>
            <w:tcBorders>
              <w:top w:val="nil"/>
              <w:left w:val="single" w:sz="8" w:space="0" w:color="auto"/>
              <w:bottom w:val="single" w:sz="8" w:space="0" w:color="000000"/>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color w:val="000000"/>
              </w:rPr>
            </w:pPr>
          </w:p>
        </w:tc>
        <w:tc>
          <w:tcPr>
            <w:tcW w:w="925" w:type="pct"/>
            <w:vMerge/>
            <w:tcBorders>
              <w:top w:val="nil"/>
              <w:left w:val="single" w:sz="8" w:space="0" w:color="auto"/>
              <w:bottom w:val="single" w:sz="8" w:space="0" w:color="000000"/>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color w:val="000000"/>
              </w:rPr>
            </w:pPr>
          </w:p>
        </w:tc>
      </w:tr>
      <w:tr w:rsidR="00B11F3E" w:rsidRPr="00B11F3E" w:rsidTr="00BD6682">
        <w:trPr>
          <w:trHeight w:val="615"/>
        </w:trPr>
        <w:tc>
          <w:tcPr>
            <w:tcW w:w="548" w:type="pct"/>
            <w:vMerge/>
            <w:tcBorders>
              <w:top w:val="nil"/>
              <w:left w:val="single" w:sz="8" w:space="0" w:color="auto"/>
              <w:bottom w:val="single" w:sz="8" w:space="0" w:color="000000"/>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rPr>
            </w:pPr>
          </w:p>
        </w:tc>
        <w:tc>
          <w:tcPr>
            <w:tcW w:w="1416" w:type="pct"/>
            <w:vMerge/>
            <w:tcBorders>
              <w:top w:val="nil"/>
              <w:left w:val="single" w:sz="8" w:space="0" w:color="auto"/>
              <w:bottom w:val="single" w:sz="8" w:space="0" w:color="000000"/>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color w:val="000000"/>
              </w:rPr>
            </w:pPr>
          </w:p>
        </w:tc>
        <w:tc>
          <w:tcPr>
            <w:tcW w:w="1214" w:type="pct"/>
            <w:tcBorders>
              <w:top w:val="nil"/>
              <w:left w:val="nil"/>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rPr>
            </w:pPr>
            <w:r w:rsidRPr="00B11F3E">
              <w:rPr>
                <w:rFonts w:ascii="Calibri" w:eastAsia="Times New Roman" w:hAnsi="Calibri" w:cs="Times New Roman"/>
              </w:rPr>
              <w:t>Nuclear Programs (Readiness in Technical Base and Facilities) (contributing)</w:t>
            </w:r>
          </w:p>
        </w:tc>
        <w:tc>
          <w:tcPr>
            <w:tcW w:w="896" w:type="pct"/>
            <w:vMerge/>
            <w:tcBorders>
              <w:top w:val="nil"/>
              <w:left w:val="single" w:sz="8" w:space="0" w:color="auto"/>
              <w:bottom w:val="single" w:sz="8" w:space="0" w:color="000000"/>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color w:val="000000"/>
              </w:rPr>
            </w:pPr>
          </w:p>
        </w:tc>
        <w:tc>
          <w:tcPr>
            <w:tcW w:w="925" w:type="pct"/>
            <w:vMerge/>
            <w:tcBorders>
              <w:top w:val="nil"/>
              <w:left w:val="single" w:sz="8" w:space="0" w:color="auto"/>
              <w:bottom w:val="single" w:sz="8" w:space="0" w:color="000000"/>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color w:val="000000"/>
              </w:rPr>
            </w:pPr>
          </w:p>
        </w:tc>
      </w:tr>
      <w:tr w:rsidR="00B11F3E" w:rsidRPr="00B11F3E" w:rsidTr="00BD6682">
        <w:trPr>
          <w:trHeight w:val="315"/>
        </w:trPr>
        <w:tc>
          <w:tcPr>
            <w:tcW w:w="548" w:type="pct"/>
            <w:vMerge/>
            <w:tcBorders>
              <w:top w:val="nil"/>
              <w:left w:val="single" w:sz="8" w:space="0" w:color="auto"/>
              <w:bottom w:val="single" w:sz="8" w:space="0" w:color="000000"/>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rPr>
            </w:pPr>
          </w:p>
        </w:tc>
        <w:tc>
          <w:tcPr>
            <w:tcW w:w="1416" w:type="pct"/>
            <w:vMerge/>
            <w:tcBorders>
              <w:top w:val="nil"/>
              <w:left w:val="single" w:sz="8" w:space="0" w:color="auto"/>
              <w:bottom w:val="single" w:sz="8" w:space="0" w:color="000000"/>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color w:val="000000"/>
              </w:rPr>
            </w:pPr>
          </w:p>
        </w:tc>
        <w:tc>
          <w:tcPr>
            <w:tcW w:w="1214" w:type="pct"/>
            <w:tcBorders>
              <w:top w:val="nil"/>
              <w:left w:val="nil"/>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rPr>
            </w:pPr>
            <w:r w:rsidRPr="00B11F3E">
              <w:rPr>
                <w:rFonts w:ascii="Calibri" w:eastAsia="Times New Roman" w:hAnsi="Calibri" w:cs="Times New Roman"/>
              </w:rPr>
              <w:t>Secure Transportation Asset (contributing)</w:t>
            </w:r>
          </w:p>
        </w:tc>
        <w:tc>
          <w:tcPr>
            <w:tcW w:w="896" w:type="pct"/>
            <w:vMerge/>
            <w:tcBorders>
              <w:top w:val="nil"/>
              <w:left w:val="single" w:sz="8" w:space="0" w:color="auto"/>
              <w:bottom w:val="single" w:sz="8" w:space="0" w:color="000000"/>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color w:val="000000"/>
              </w:rPr>
            </w:pPr>
          </w:p>
        </w:tc>
        <w:tc>
          <w:tcPr>
            <w:tcW w:w="925" w:type="pct"/>
            <w:vMerge/>
            <w:tcBorders>
              <w:top w:val="nil"/>
              <w:left w:val="single" w:sz="8" w:space="0" w:color="auto"/>
              <w:bottom w:val="single" w:sz="8" w:space="0" w:color="000000"/>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color w:val="000000"/>
              </w:rPr>
            </w:pPr>
          </w:p>
        </w:tc>
      </w:tr>
      <w:tr w:rsidR="00B11F3E" w:rsidRPr="00B11F3E" w:rsidTr="00BD6682">
        <w:trPr>
          <w:trHeight w:val="900"/>
        </w:trPr>
        <w:tc>
          <w:tcPr>
            <w:tcW w:w="548" w:type="pct"/>
            <w:vMerge w:val="restart"/>
            <w:tcBorders>
              <w:top w:val="nil"/>
              <w:left w:val="single" w:sz="8" w:space="0" w:color="auto"/>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rPr>
            </w:pPr>
            <w:r w:rsidRPr="00612752">
              <w:rPr>
                <w:rFonts w:ascii="Calibri" w:eastAsia="Times New Roman" w:hAnsi="Calibri" w:cs="Times New Roman"/>
              </w:rPr>
              <w:t>Secure Nuclear Materials</w:t>
            </w:r>
          </w:p>
        </w:tc>
        <w:tc>
          <w:tcPr>
            <w:tcW w:w="1416" w:type="pct"/>
            <w:vMerge w:val="restart"/>
            <w:tcBorders>
              <w:top w:val="nil"/>
              <w:left w:val="single" w:sz="8" w:space="0" w:color="auto"/>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color w:val="000000"/>
              </w:rPr>
            </w:pPr>
            <w:r w:rsidRPr="00B11F3E">
              <w:rPr>
                <w:rFonts w:ascii="Calibri" w:eastAsia="Times New Roman" w:hAnsi="Calibri" w:cs="Times New Roman"/>
                <w:color w:val="000000"/>
              </w:rPr>
              <w:t>Make significant progress toward securing the most vulnerable nuclear materials worldwide within four years.  By December 31, 2013, remove or dispose of a cumulative total of 4,353 kg of vulnerable nuclear material (highly enriched uranium and plutonium), and complete material protection, control and accounting (MPC&amp;A) upgrades on a cumulative total of 229 buildings containing weapons usable material. </w:t>
            </w:r>
          </w:p>
        </w:tc>
        <w:tc>
          <w:tcPr>
            <w:tcW w:w="1214" w:type="pct"/>
            <w:tcBorders>
              <w:top w:val="nil"/>
              <w:left w:val="nil"/>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rPr>
            </w:pPr>
            <w:r w:rsidRPr="00B11F3E">
              <w:rPr>
                <w:rFonts w:ascii="Calibri" w:eastAsia="Times New Roman" w:hAnsi="Calibri" w:cs="Times New Roman"/>
              </w:rPr>
              <w:t>Global Threat Reduction Initiative</w:t>
            </w:r>
          </w:p>
        </w:tc>
        <w:tc>
          <w:tcPr>
            <w:tcW w:w="896" w:type="pct"/>
            <w:vMerge w:val="restart"/>
            <w:tcBorders>
              <w:top w:val="nil"/>
              <w:left w:val="single" w:sz="8" w:space="0" w:color="auto"/>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color w:val="000000"/>
              </w:rPr>
            </w:pPr>
            <w:r w:rsidRPr="00B11F3E">
              <w:rPr>
                <w:rFonts w:ascii="Calibri" w:eastAsia="Times New Roman" w:hAnsi="Calibri" w:cs="Times New Roman"/>
                <w:color w:val="000000"/>
              </w:rPr>
              <w:t>Strategic Goal 3. Secure our Nation: Enhance nuclear security through defense, nonproliferation, and environmental efforts.</w:t>
            </w:r>
          </w:p>
        </w:tc>
        <w:tc>
          <w:tcPr>
            <w:tcW w:w="925" w:type="pct"/>
            <w:vMerge w:val="restart"/>
            <w:tcBorders>
              <w:top w:val="nil"/>
              <w:left w:val="single" w:sz="8" w:space="0" w:color="auto"/>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color w:val="000000"/>
              </w:rPr>
            </w:pPr>
            <w:r w:rsidRPr="00B11F3E">
              <w:rPr>
                <w:rFonts w:ascii="Calibri" w:eastAsia="Times New Roman" w:hAnsi="Calibri" w:cs="Times New Roman"/>
                <w:color w:val="000000"/>
              </w:rPr>
              <w:t>Objective 3.2. Reduce Global Nuclear Dangers</w:t>
            </w:r>
          </w:p>
        </w:tc>
      </w:tr>
      <w:tr w:rsidR="00B11F3E" w:rsidRPr="00B11F3E" w:rsidTr="00BD6682">
        <w:trPr>
          <w:trHeight w:val="1005"/>
        </w:trPr>
        <w:tc>
          <w:tcPr>
            <w:tcW w:w="548" w:type="pct"/>
            <w:vMerge/>
            <w:tcBorders>
              <w:top w:val="nil"/>
              <w:left w:val="single" w:sz="8" w:space="0" w:color="auto"/>
              <w:bottom w:val="single" w:sz="8" w:space="0" w:color="auto"/>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rPr>
            </w:pPr>
          </w:p>
        </w:tc>
        <w:tc>
          <w:tcPr>
            <w:tcW w:w="1416" w:type="pct"/>
            <w:vMerge/>
            <w:tcBorders>
              <w:top w:val="nil"/>
              <w:left w:val="single" w:sz="8" w:space="0" w:color="auto"/>
              <w:bottom w:val="single" w:sz="8" w:space="0" w:color="auto"/>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color w:val="000000"/>
              </w:rPr>
            </w:pPr>
          </w:p>
        </w:tc>
        <w:tc>
          <w:tcPr>
            <w:tcW w:w="1214" w:type="pct"/>
            <w:tcBorders>
              <w:top w:val="nil"/>
              <w:left w:val="nil"/>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rPr>
            </w:pPr>
            <w:r w:rsidRPr="00B11F3E">
              <w:rPr>
                <w:rFonts w:ascii="Calibri" w:eastAsia="Times New Roman" w:hAnsi="Calibri" w:cs="Times New Roman"/>
              </w:rPr>
              <w:t>International Material Protection and Cooperation</w:t>
            </w:r>
          </w:p>
        </w:tc>
        <w:tc>
          <w:tcPr>
            <w:tcW w:w="896" w:type="pct"/>
            <w:vMerge/>
            <w:tcBorders>
              <w:top w:val="nil"/>
              <w:left w:val="single" w:sz="8" w:space="0" w:color="auto"/>
              <w:bottom w:val="single" w:sz="8" w:space="0" w:color="auto"/>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color w:val="000000"/>
              </w:rPr>
            </w:pPr>
          </w:p>
        </w:tc>
        <w:tc>
          <w:tcPr>
            <w:tcW w:w="925" w:type="pct"/>
            <w:vMerge/>
            <w:tcBorders>
              <w:top w:val="nil"/>
              <w:left w:val="single" w:sz="8" w:space="0" w:color="auto"/>
              <w:bottom w:val="single" w:sz="8" w:space="0" w:color="auto"/>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color w:val="000000"/>
              </w:rPr>
            </w:pPr>
          </w:p>
        </w:tc>
      </w:tr>
      <w:tr w:rsidR="00B11F3E" w:rsidRPr="00B11F3E" w:rsidTr="00BD6682">
        <w:trPr>
          <w:trHeight w:val="915"/>
        </w:trPr>
        <w:tc>
          <w:tcPr>
            <w:tcW w:w="548" w:type="pct"/>
            <w:tcBorders>
              <w:top w:val="nil"/>
              <w:left w:val="single" w:sz="8" w:space="0" w:color="auto"/>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rPr>
            </w:pPr>
            <w:r w:rsidRPr="00B11F3E">
              <w:rPr>
                <w:rFonts w:ascii="Calibri" w:eastAsia="Times New Roman" w:hAnsi="Calibri" w:cs="Times New Roman"/>
              </w:rPr>
              <w:t>Legacy Waste</w:t>
            </w:r>
          </w:p>
        </w:tc>
        <w:tc>
          <w:tcPr>
            <w:tcW w:w="1416" w:type="pct"/>
            <w:tcBorders>
              <w:top w:val="nil"/>
              <w:left w:val="nil"/>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color w:val="000000"/>
              </w:rPr>
            </w:pPr>
            <w:r w:rsidRPr="00B11F3E">
              <w:rPr>
                <w:rFonts w:ascii="Calibri" w:eastAsia="Times New Roman" w:hAnsi="Calibri" w:cs="Times New Roman"/>
                <w:color w:val="000000"/>
              </w:rPr>
              <w:t>Reduce the Department's Cold War legacy environmental footprint. By September 30, 2013, achieve a 71% reduction in DOE’s cold war environmental footprint.</w:t>
            </w:r>
          </w:p>
        </w:tc>
        <w:tc>
          <w:tcPr>
            <w:tcW w:w="1214" w:type="pct"/>
            <w:tcBorders>
              <w:top w:val="nil"/>
              <w:left w:val="nil"/>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rPr>
            </w:pPr>
            <w:r w:rsidRPr="00B11F3E">
              <w:rPr>
                <w:rFonts w:ascii="Calibri" w:eastAsia="Times New Roman" w:hAnsi="Calibri" w:cs="Times New Roman"/>
              </w:rPr>
              <w:t>Office of Environmental Management</w:t>
            </w:r>
          </w:p>
        </w:tc>
        <w:tc>
          <w:tcPr>
            <w:tcW w:w="896" w:type="pct"/>
            <w:tcBorders>
              <w:top w:val="nil"/>
              <w:left w:val="nil"/>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color w:val="000000"/>
              </w:rPr>
            </w:pPr>
            <w:r w:rsidRPr="00B11F3E">
              <w:rPr>
                <w:rFonts w:ascii="Calibri" w:eastAsia="Times New Roman" w:hAnsi="Calibri" w:cs="Times New Roman"/>
                <w:color w:val="000000"/>
              </w:rPr>
              <w:t>Strategic Goal 3. Secure our Nation: Enhance nuclear security through defense, nonproliferation, and environmental efforts.</w:t>
            </w:r>
          </w:p>
        </w:tc>
        <w:tc>
          <w:tcPr>
            <w:tcW w:w="925" w:type="pct"/>
            <w:tcBorders>
              <w:top w:val="nil"/>
              <w:left w:val="nil"/>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color w:val="000000"/>
              </w:rPr>
            </w:pPr>
            <w:r w:rsidRPr="00B11F3E">
              <w:rPr>
                <w:rFonts w:ascii="Calibri" w:eastAsia="Times New Roman" w:hAnsi="Calibri" w:cs="Times New Roman"/>
                <w:color w:val="000000"/>
              </w:rPr>
              <w:t>Objective 3.5. Complete Environmental Remediation of Our Legacy and Active Sites</w:t>
            </w:r>
          </w:p>
        </w:tc>
      </w:tr>
      <w:tr w:rsidR="00B11F3E" w:rsidRPr="00B11F3E" w:rsidTr="00BD6682">
        <w:trPr>
          <w:trHeight w:val="1815"/>
        </w:trPr>
        <w:tc>
          <w:tcPr>
            <w:tcW w:w="548" w:type="pct"/>
            <w:tcBorders>
              <w:top w:val="nil"/>
              <w:left w:val="single" w:sz="8" w:space="0" w:color="auto"/>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rPr>
            </w:pPr>
            <w:r w:rsidRPr="00B11F3E">
              <w:rPr>
                <w:rFonts w:ascii="Calibri" w:eastAsia="Times New Roman" w:hAnsi="Calibri" w:cs="Times New Roman"/>
              </w:rPr>
              <w:t>Science Facilities</w:t>
            </w:r>
          </w:p>
        </w:tc>
        <w:tc>
          <w:tcPr>
            <w:tcW w:w="1416" w:type="pct"/>
            <w:tcBorders>
              <w:top w:val="nil"/>
              <w:left w:val="nil"/>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color w:val="000000"/>
              </w:rPr>
            </w:pPr>
            <w:r w:rsidRPr="00B11F3E">
              <w:rPr>
                <w:rFonts w:ascii="Calibri" w:eastAsia="Times New Roman" w:hAnsi="Calibri" w:cs="Times New Roman"/>
                <w:color w:val="000000"/>
              </w:rPr>
              <w:t>Prioritization of scientific facilities to ensure optimal benefit from Federal investments.  By September 30, 2013, formulate a 10-year prioritization of scientific facilities across the Office of Science based on (1) the ability of the facility to contribute to world-leading science, (2) the readiness of the facility for construction, and (3) an estimated construction and operations cost of the facility.</w:t>
            </w:r>
          </w:p>
        </w:tc>
        <w:tc>
          <w:tcPr>
            <w:tcW w:w="1214" w:type="pct"/>
            <w:tcBorders>
              <w:top w:val="nil"/>
              <w:left w:val="nil"/>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rPr>
            </w:pPr>
            <w:r w:rsidRPr="00B11F3E">
              <w:rPr>
                <w:rFonts w:ascii="Calibri" w:eastAsia="Times New Roman" w:hAnsi="Calibri" w:cs="Times New Roman"/>
              </w:rPr>
              <w:t>Office of Science</w:t>
            </w:r>
          </w:p>
        </w:tc>
        <w:tc>
          <w:tcPr>
            <w:tcW w:w="896" w:type="pct"/>
            <w:tcBorders>
              <w:top w:val="nil"/>
              <w:left w:val="nil"/>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color w:val="000000"/>
              </w:rPr>
            </w:pPr>
            <w:r w:rsidRPr="00B11F3E">
              <w:rPr>
                <w:rFonts w:ascii="Calibri" w:eastAsia="Times New Roman" w:hAnsi="Calibri" w:cs="Times New Roman"/>
                <w:color w:val="000000"/>
              </w:rPr>
              <w:t>Strategic Goal 2. The Science and Engineering Enterprise: Maintain a vibrant U.S. effort in science and engineering as a cornerstone of our economic prosperity with clear leadership in strategic areas.</w:t>
            </w:r>
          </w:p>
        </w:tc>
        <w:tc>
          <w:tcPr>
            <w:tcW w:w="925" w:type="pct"/>
            <w:tcBorders>
              <w:top w:val="nil"/>
              <w:left w:val="nil"/>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color w:val="000000"/>
              </w:rPr>
            </w:pPr>
            <w:r w:rsidRPr="00B11F3E">
              <w:rPr>
                <w:rFonts w:ascii="Calibri" w:eastAsia="Times New Roman" w:hAnsi="Calibri" w:cs="Times New Roman"/>
                <w:color w:val="000000"/>
              </w:rPr>
              <w:t>The APG is linked directly to the strategic goal.  It is not linked at the strategic objective level.</w:t>
            </w:r>
          </w:p>
        </w:tc>
      </w:tr>
      <w:tr w:rsidR="00B11F3E" w:rsidRPr="00B11F3E" w:rsidTr="00BD6682">
        <w:trPr>
          <w:trHeight w:val="2115"/>
        </w:trPr>
        <w:tc>
          <w:tcPr>
            <w:tcW w:w="548" w:type="pct"/>
            <w:tcBorders>
              <w:top w:val="nil"/>
              <w:left w:val="single" w:sz="8" w:space="0" w:color="auto"/>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rPr>
            </w:pPr>
            <w:r w:rsidRPr="00B11F3E">
              <w:rPr>
                <w:rFonts w:ascii="Calibri" w:eastAsia="Times New Roman" w:hAnsi="Calibri" w:cs="Times New Roman"/>
              </w:rPr>
              <w:t>SunShot</w:t>
            </w:r>
          </w:p>
        </w:tc>
        <w:tc>
          <w:tcPr>
            <w:tcW w:w="1416" w:type="pct"/>
            <w:tcBorders>
              <w:top w:val="nil"/>
              <w:left w:val="nil"/>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color w:val="000000"/>
              </w:rPr>
            </w:pPr>
            <w:r w:rsidRPr="00B11F3E">
              <w:rPr>
                <w:rFonts w:ascii="Calibri" w:eastAsia="Times New Roman" w:hAnsi="Calibri" w:cs="Times New Roman"/>
                <w:color w:val="000000"/>
              </w:rPr>
              <w:t>Make solar energy as cheap as traditional sources of electricity.  By the end of the decade, drive the cost of solar electricity down to: $1/W at utility scale; $1.25/W at commercial scale; and $1.50/W at residential scale.  By December 2013, demonstrate a prototype thin film or film silicon module with an efficiency of greater than 21% and a balance-of-system with a 50% reduction in the permitting and installation costs to $1.50/W.</w:t>
            </w:r>
          </w:p>
        </w:tc>
        <w:tc>
          <w:tcPr>
            <w:tcW w:w="1214" w:type="pct"/>
            <w:tcBorders>
              <w:top w:val="nil"/>
              <w:left w:val="nil"/>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rPr>
            </w:pPr>
            <w:r w:rsidRPr="00B11F3E">
              <w:rPr>
                <w:rFonts w:ascii="Calibri" w:eastAsia="Times New Roman" w:hAnsi="Calibri" w:cs="Times New Roman"/>
              </w:rPr>
              <w:t>Solar Energy</w:t>
            </w:r>
          </w:p>
        </w:tc>
        <w:tc>
          <w:tcPr>
            <w:tcW w:w="896" w:type="pct"/>
            <w:tcBorders>
              <w:top w:val="nil"/>
              <w:left w:val="nil"/>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color w:val="000000"/>
              </w:rPr>
            </w:pPr>
            <w:r w:rsidRPr="00B11F3E">
              <w:rPr>
                <w:rFonts w:ascii="Calibri" w:eastAsia="Times New Roman" w:hAnsi="Calibri" w:cs="Times New Roman"/>
                <w:color w:val="000000"/>
              </w:rPr>
              <w:t>Strategic Goal 1. Transform our Energy Systems: Catalyze the timely, material, and efficient transformation of the nation's energy system and secure U.S. leadership in clean energy technologies.</w:t>
            </w:r>
          </w:p>
        </w:tc>
        <w:tc>
          <w:tcPr>
            <w:tcW w:w="925" w:type="pct"/>
            <w:tcBorders>
              <w:top w:val="nil"/>
              <w:left w:val="nil"/>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color w:val="000000"/>
              </w:rPr>
            </w:pPr>
            <w:r w:rsidRPr="00B11F3E">
              <w:rPr>
                <w:rFonts w:ascii="Calibri" w:eastAsia="Times New Roman" w:hAnsi="Calibri" w:cs="Times New Roman"/>
                <w:color w:val="000000"/>
              </w:rPr>
              <w:t xml:space="preserve">Objective 1.1. Deploy the Technologies We Have; </w:t>
            </w:r>
            <w:r w:rsidRPr="00B11F3E">
              <w:rPr>
                <w:rFonts w:ascii="Calibri" w:eastAsia="Times New Roman" w:hAnsi="Calibri" w:cs="Times New Roman"/>
                <w:color w:val="000000"/>
              </w:rPr>
              <w:br/>
            </w:r>
            <w:r w:rsidRPr="00B11F3E">
              <w:rPr>
                <w:rFonts w:ascii="Calibri" w:eastAsia="Times New Roman" w:hAnsi="Calibri" w:cs="Times New Roman"/>
                <w:color w:val="000000"/>
              </w:rPr>
              <w:br/>
              <w:t>Objective 1.2. Discover the New Solutions We Need</w:t>
            </w:r>
          </w:p>
        </w:tc>
      </w:tr>
      <w:tr w:rsidR="00B11F3E" w:rsidRPr="00B11F3E" w:rsidTr="00BD6682">
        <w:trPr>
          <w:trHeight w:val="2115"/>
        </w:trPr>
        <w:tc>
          <w:tcPr>
            <w:tcW w:w="548" w:type="pct"/>
            <w:tcBorders>
              <w:top w:val="nil"/>
              <w:left w:val="single" w:sz="8" w:space="0" w:color="auto"/>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rPr>
            </w:pPr>
            <w:r w:rsidRPr="00B11F3E">
              <w:rPr>
                <w:rFonts w:ascii="Calibri" w:eastAsia="Times New Roman" w:hAnsi="Calibri" w:cs="Times New Roman"/>
              </w:rPr>
              <w:t>Battery Performance</w:t>
            </w:r>
          </w:p>
        </w:tc>
        <w:tc>
          <w:tcPr>
            <w:tcW w:w="1416" w:type="pct"/>
            <w:tcBorders>
              <w:top w:val="nil"/>
              <w:left w:val="nil"/>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color w:val="000000"/>
              </w:rPr>
            </w:pPr>
            <w:r w:rsidRPr="00B11F3E">
              <w:rPr>
                <w:rFonts w:ascii="Calibri" w:eastAsia="Times New Roman" w:hAnsi="Calibri" w:cs="Times New Roman"/>
                <w:color w:val="000000"/>
              </w:rPr>
              <w:t>Reduce the cost of batteries for electric drive vehicles to help increase the market for Plug-In Hybrids and All-Electric Vehicles and thereby reduce petroleum use and greenhouse gas emissions. By October 2013, demonstrate a prototype Plug-In Hybrid battery technology that is capable of achieving a cost of $400/kWhr (useable energy) during high volume manufacturing (100,000 packs per year) compared to a 2008 baseline of $1000/kWhr.</w:t>
            </w:r>
          </w:p>
        </w:tc>
        <w:tc>
          <w:tcPr>
            <w:tcW w:w="1214" w:type="pct"/>
            <w:tcBorders>
              <w:top w:val="nil"/>
              <w:left w:val="nil"/>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rPr>
            </w:pPr>
            <w:r w:rsidRPr="00B11F3E">
              <w:rPr>
                <w:rFonts w:ascii="Calibri" w:eastAsia="Times New Roman" w:hAnsi="Calibri" w:cs="Times New Roman"/>
              </w:rPr>
              <w:t>Vehicle Technologies</w:t>
            </w:r>
          </w:p>
        </w:tc>
        <w:tc>
          <w:tcPr>
            <w:tcW w:w="896" w:type="pct"/>
            <w:tcBorders>
              <w:top w:val="nil"/>
              <w:left w:val="nil"/>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color w:val="000000"/>
              </w:rPr>
            </w:pPr>
            <w:r w:rsidRPr="00B11F3E">
              <w:rPr>
                <w:rFonts w:ascii="Calibri" w:eastAsia="Times New Roman" w:hAnsi="Calibri" w:cs="Times New Roman"/>
                <w:color w:val="000000"/>
              </w:rPr>
              <w:t>Strategic Goal 1. Transform our Energy Systems: Catalyze the timely, material, and efficient transformation of the nation's energy system and secure U.S. leadership in clean energy technologies.</w:t>
            </w:r>
          </w:p>
        </w:tc>
        <w:tc>
          <w:tcPr>
            <w:tcW w:w="925" w:type="pct"/>
            <w:tcBorders>
              <w:top w:val="nil"/>
              <w:left w:val="nil"/>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color w:val="000000"/>
              </w:rPr>
            </w:pPr>
            <w:r w:rsidRPr="00B11F3E">
              <w:rPr>
                <w:rFonts w:ascii="Calibri" w:eastAsia="Times New Roman" w:hAnsi="Calibri" w:cs="Times New Roman"/>
                <w:color w:val="000000"/>
              </w:rPr>
              <w:t>Objective 1.2. Discover the New Solutions We Need</w:t>
            </w:r>
          </w:p>
        </w:tc>
      </w:tr>
      <w:tr w:rsidR="00B11F3E" w:rsidRPr="00B11F3E" w:rsidTr="00BD6682">
        <w:trPr>
          <w:trHeight w:val="1515"/>
        </w:trPr>
        <w:tc>
          <w:tcPr>
            <w:tcW w:w="548" w:type="pct"/>
            <w:tcBorders>
              <w:top w:val="nil"/>
              <w:left w:val="single" w:sz="8" w:space="0" w:color="auto"/>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rPr>
            </w:pPr>
            <w:r w:rsidRPr="00B11F3E">
              <w:rPr>
                <w:rFonts w:ascii="Calibri" w:eastAsia="Times New Roman" w:hAnsi="Calibri" w:cs="Times New Roman"/>
              </w:rPr>
              <w:t>Appliance Standards</w:t>
            </w:r>
          </w:p>
        </w:tc>
        <w:tc>
          <w:tcPr>
            <w:tcW w:w="1416" w:type="pct"/>
            <w:tcBorders>
              <w:top w:val="nil"/>
              <w:left w:val="nil"/>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color w:val="000000"/>
              </w:rPr>
            </w:pPr>
            <w:r w:rsidRPr="00B11F3E">
              <w:rPr>
                <w:rFonts w:ascii="Calibri" w:eastAsia="Times New Roman" w:hAnsi="Calibri" w:cs="Times New Roman"/>
                <w:color w:val="000000"/>
              </w:rPr>
              <w:t>Reduce consumer energy use and costs for household appliances. By December 31, 2013, issue at least 9 new energy conservation standards to deliver net consumer savings of hundreds of billions of dollars over 30 years and require efficient products across domestic and international manufacturers.</w:t>
            </w:r>
          </w:p>
        </w:tc>
        <w:tc>
          <w:tcPr>
            <w:tcW w:w="1214" w:type="pct"/>
            <w:tcBorders>
              <w:top w:val="nil"/>
              <w:left w:val="nil"/>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rPr>
            </w:pPr>
            <w:r w:rsidRPr="00B11F3E">
              <w:rPr>
                <w:rFonts w:ascii="Calibri" w:eastAsia="Times New Roman" w:hAnsi="Calibri" w:cs="Times New Roman"/>
              </w:rPr>
              <w:t>Building Technologies</w:t>
            </w:r>
          </w:p>
        </w:tc>
        <w:tc>
          <w:tcPr>
            <w:tcW w:w="896" w:type="pct"/>
            <w:tcBorders>
              <w:top w:val="nil"/>
              <w:left w:val="nil"/>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color w:val="000000"/>
              </w:rPr>
            </w:pPr>
            <w:r w:rsidRPr="00B11F3E">
              <w:rPr>
                <w:rFonts w:ascii="Calibri" w:eastAsia="Times New Roman" w:hAnsi="Calibri" w:cs="Times New Roman"/>
                <w:color w:val="000000"/>
              </w:rPr>
              <w:t>Strategic Goal 1. Transform our Energy Systems: Catalyze the timely, material, and efficient transformation of the nation's energy system and secure U.S. leadership in clean energy technologies.</w:t>
            </w:r>
          </w:p>
        </w:tc>
        <w:tc>
          <w:tcPr>
            <w:tcW w:w="925" w:type="pct"/>
            <w:tcBorders>
              <w:top w:val="nil"/>
              <w:left w:val="nil"/>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color w:val="000000"/>
              </w:rPr>
            </w:pPr>
            <w:r w:rsidRPr="00B11F3E">
              <w:rPr>
                <w:rFonts w:ascii="Calibri" w:eastAsia="Times New Roman" w:hAnsi="Calibri" w:cs="Times New Roman"/>
                <w:color w:val="000000"/>
              </w:rPr>
              <w:t>Objective 1.1. Deploy the Technologies We Have</w:t>
            </w:r>
          </w:p>
        </w:tc>
      </w:tr>
      <w:tr w:rsidR="00B11F3E" w:rsidRPr="00B11F3E" w:rsidTr="00BD6682">
        <w:trPr>
          <w:trHeight w:val="1215"/>
        </w:trPr>
        <w:tc>
          <w:tcPr>
            <w:tcW w:w="548" w:type="pct"/>
            <w:vMerge w:val="restart"/>
            <w:tcBorders>
              <w:top w:val="nil"/>
              <w:left w:val="single" w:sz="8" w:space="0" w:color="auto"/>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rPr>
            </w:pPr>
            <w:r w:rsidRPr="00B11F3E">
              <w:rPr>
                <w:rFonts w:ascii="Calibri" w:eastAsia="Times New Roman" w:hAnsi="Calibri" w:cs="Times New Roman"/>
              </w:rPr>
              <w:t>Weatherization Retrofits</w:t>
            </w:r>
          </w:p>
        </w:tc>
        <w:tc>
          <w:tcPr>
            <w:tcW w:w="1416" w:type="pct"/>
            <w:vMerge w:val="restart"/>
            <w:tcBorders>
              <w:top w:val="nil"/>
              <w:left w:val="single" w:sz="8" w:space="0" w:color="auto"/>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color w:val="000000"/>
              </w:rPr>
            </w:pPr>
            <w:r w:rsidRPr="00B11F3E">
              <w:rPr>
                <w:rFonts w:ascii="Calibri" w:eastAsia="Times New Roman" w:hAnsi="Calibri" w:cs="Times New Roman"/>
                <w:color w:val="000000"/>
              </w:rPr>
              <w:t>Save low-income families money and energy through weatherization retrofits. From FY2010 through FY2013, in collaboration with HUD, enable the cost-effective energy retrofits of a total of 1.2 million housing units, of which more than 75% are low income.</w:t>
            </w:r>
          </w:p>
        </w:tc>
        <w:tc>
          <w:tcPr>
            <w:tcW w:w="1214" w:type="pct"/>
            <w:tcBorders>
              <w:top w:val="nil"/>
              <w:left w:val="nil"/>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rPr>
            </w:pPr>
            <w:r w:rsidRPr="00B11F3E">
              <w:rPr>
                <w:rFonts w:ascii="Calibri" w:eastAsia="Times New Roman" w:hAnsi="Calibri" w:cs="Times New Roman"/>
              </w:rPr>
              <w:t>Weatherization and Intergovernmental Program</w:t>
            </w:r>
          </w:p>
        </w:tc>
        <w:tc>
          <w:tcPr>
            <w:tcW w:w="896" w:type="pct"/>
            <w:vMerge w:val="restart"/>
            <w:tcBorders>
              <w:top w:val="nil"/>
              <w:left w:val="single" w:sz="8" w:space="0" w:color="auto"/>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color w:val="000000"/>
              </w:rPr>
            </w:pPr>
            <w:r w:rsidRPr="00B11F3E">
              <w:rPr>
                <w:rFonts w:ascii="Calibri" w:eastAsia="Times New Roman" w:hAnsi="Calibri" w:cs="Times New Roman"/>
                <w:color w:val="000000"/>
              </w:rPr>
              <w:t>Strategic Goal 1. Transform our Energy Systems: Catalyze the timely, material, and efficient transformation of the nation's energy system and secure U.S. leadership in clean energy technologies.</w:t>
            </w:r>
          </w:p>
        </w:tc>
        <w:tc>
          <w:tcPr>
            <w:tcW w:w="925" w:type="pct"/>
            <w:vMerge w:val="restart"/>
            <w:tcBorders>
              <w:top w:val="nil"/>
              <w:left w:val="single" w:sz="8" w:space="0" w:color="auto"/>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color w:val="000000"/>
              </w:rPr>
            </w:pPr>
            <w:r w:rsidRPr="00B11F3E">
              <w:rPr>
                <w:rFonts w:ascii="Calibri" w:eastAsia="Times New Roman" w:hAnsi="Calibri" w:cs="Times New Roman"/>
                <w:color w:val="000000"/>
              </w:rPr>
              <w:t>Objective 1.1. Deploy the Technologies We Have</w:t>
            </w:r>
          </w:p>
        </w:tc>
      </w:tr>
      <w:tr w:rsidR="00B11F3E" w:rsidRPr="00B11F3E" w:rsidTr="00BD6682">
        <w:trPr>
          <w:trHeight w:val="705"/>
        </w:trPr>
        <w:tc>
          <w:tcPr>
            <w:tcW w:w="548" w:type="pct"/>
            <w:vMerge/>
            <w:tcBorders>
              <w:top w:val="nil"/>
              <w:left w:val="single" w:sz="8" w:space="0" w:color="auto"/>
              <w:bottom w:val="single" w:sz="8" w:space="0" w:color="auto"/>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rPr>
            </w:pPr>
          </w:p>
        </w:tc>
        <w:tc>
          <w:tcPr>
            <w:tcW w:w="1416" w:type="pct"/>
            <w:vMerge/>
            <w:tcBorders>
              <w:top w:val="nil"/>
              <w:left w:val="single" w:sz="8" w:space="0" w:color="auto"/>
              <w:bottom w:val="single" w:sz="8" w:space="0" w:color="auto"/>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color w:val="000000"/>
              </w:rPr>
            </w:pPr>
          </w:p>
        </w:tc>
        <w:tc>
          <w:tcPr>
            <w:tcW w:w="1214" w:type="pct"/>
            <w:tcBorders>
              <w:top w:val="nil"/>
              <w:left w:val="nil"/>
              <w:bottom w:val="single" w:sz="8" w:space="0" w:color="auto"/>
              <w:right w:val="single" w:sz="8" w:space="0" w:color="auto"/>
            </w:tcBorders>
            <w:shd w:val="clear" w:color="auto" w:fill="auto"/>
            <w:hideMark/>
          </w:tcPr>
          <w:p w:rsidR="00B11F3E" w:rsidRPr="00B11F3E" w:rsidRDefault="00B11F3E" w:rsidP="00B11F3E">
            <w:pPr>
              <w:spacing w:after="0" w:line="240" w:lineRule="auto"/>
              <w:rPr>
                <w:rFonts w:ascii="Calibri" w:eastAsia="Times New Roman" w:hAnsi="Calibri" w:cs="Times New Roman"/>
              </w:rPr>
            </w:pPr>
            <w:r w:rsidRPr="00B11F3E">
              <w:rPr>
                <w:rFonts w:ascii="Calibri" w:eastAsia="Times New Roman" w:hAnsi="Calibri" w:cs="Times New Roman"/>
              </w:rPr>
              <w:t>Building Technologies (contributing)</w:t>
            </w:r>
          </w:p>
        </w:tc>
        <w:tc>
          <w:tcPr>
            <w:tcW w:w="896" w:type="pct"/>
            <w:vMerge/>
            <w:tcBorders>
              <w:top w:val="nil"/>
              <w:left w:val="single" w:sz="8" w:space="0" w:color="auto"/>
              <w:bottom w:val="single" w:sz="8" w:space="0" w:color="auto"/>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color w:val="000000"/>
              </w:rPr>
            </w:pPr>
          </w:p>
        </w:tc>
        <w:tc>
          <w:tcPr>
            <w:tcW w:w="925" w:type="pct"/>
            <w:vMerge/>
            <w:tcBorders>
              <w:top w:val="nil"/>
              <w:left w:val="single" w:sz="8" w:space="0" w:color="auto"/>
              <w:bottom w:val="single" w:sz="8" w:space="0" w:color="auto"/>
              <w:right w:val="single" w:sz="8" w:space="0" w:color="auto"/>
            </w:tcBorders>
            <w:vAlign w:val="center"/>
            <w:hideMark/>
          </w:tcPr>
          <w:p w:rsidR="00B11F3E" w:rsidRPr="00B11F3E" w:rsidRDefault="00B11F3E" w:rsidP="00B11F3E">
            <w:pPr>
              <w:spacing w:after="0" w:line="240" w:lineRule="auto"/>
              <w:rPr>
                <w:rFonts w:ascii="Calibri" w:eastAsia="Times New Roman" w:hAnsi="Calibri" w:cs="Times New Roman"/>
                <w:color w:val="000000"/>
              </w:rPr>
            </w:pPr>
          </w:p>
        </w:tc>
      </w:tr>
    </w:tbl>
    <w:p w:rsidR="009F1265" w:rsidRPr="00AF0C81" w:rsidRDefault="009F1265" w:rsidP="0090240F">
      <w:pPr>
        <w:autoSpaceDE w:val="0"/>
        <w:autoSpaceDN w:val="0"/>
        <w:adjustRightInd w:val="0"/>
        <w:spacing w:after="0" w:line="240" w:lineRule="auto"/>
        <w:rPr>
          <w:rFonts w:eastAsia="Calibri" w:cs="Times New Roman"/>
        </w:rPr>
        <w:sectPr w:rsidR="009F1265" w:rsidRPr="00AF0C81" w:rsidSect="009F1265">
          <w:pgSz w:w="15840" w:h="12240" w:orient="landscape"/>
          <w:pgMar w:top="720" w:right="720" w:bottom="1008" w:left="720" w:header="720" w:footer="720" w:gutter="0"/>
          <w:cols w:space="720"/>
          <w:docGrid w:linePitch="360"/>
        </w:sectPr>
      </w:pPr>
    </w:p>
    <w:p w:rsidR="00C9112F" w:rsidRPr="00AF0C81" w:rsidRDefault="0090240F" w:rsidP="0099557D">
      <w:pPr>
        <w:autoSpaceDE w:val="0"/>
        <w:autoSpaceDN w:val="0"/>
        <w:adjustRightInd w:val="0"/>
        <w:spacing w:after="0" w:line="240" w:lineRule="auto"/>
        <w:ind w:left="720"/>
        <w:rPr>
          <w:rFonts w:cs="Times New Roman PS Std"/>
          <w:iCs/>
          <w:color w:val="000000"/>
        </w:rPr>
      </w:pPr>
      <w:r w:rsidRPr="00AF0C81">
        <w:rPr>
          <w:rFonts w:eastAsia="Calibri" w:cs="Times New Roman"/>
        </w:rPr>
        <w:t xml:space="preserve">The GPRA Modernization Act of 2010 also called for the creation of federal priority goals that would be managed across agencies.  The administration identified 14 cross-agency priority (CAP) goals in the FY 2013 President’s Budget.  The implementation of these goals is led by White House offices, the Office of Management and Budget, and interagency councils.  </w:t>
      </w:r>
      <w:r w:rsidRPr="00AF0C81">
        <w:rPr>
          <w:rFonts w:cs="Times New Roman PS Std"/>
          <w:iCs/>
          <w:color w:val="000000"/>
        </w:rPr>
        <w:t>Please refer to www.Performance.gov for</w:t>
      </w:r>
      <w:r w:rsidR="00C9112F" w:rsidRPr="00AF0C81">
        <w:rPr>
          <w:rFonts w:cs="Times New Roman PS Std"/>
          <w:iCs/>
          <w:color w:val="000000"/>
        </w:rPr>
        <w:t xml:space="preserve"> </w:t>
      </w:r>
      <w:r w:rsidR="00BB12F3" w:rsidRPr="00AF0C81">
        <w:rPr>
          <w:rFonts w:cs="Times New Roman PS Std"/>
          <w:iCs/>
          <w:color w:val="000000"/>
        </w:rPr>
        <w:t>DOE’s</w:t>
      </w:r>
      <w:r w:rsidR="00C9112F" w:rsidRPr="00AF0C81">
        <w:rPr>
          <w:rFonts w:cs="Times New Roman PS Std"/>
          <w:iCs/>
          <w:color w:val="000000"/>
        </w:rPr>
        <w:t xml:space="preserve"> contributions to CAP</w:t>
      </w:r>
      <w:r w:rsidRPr="00AF0C81">
        <w:rPr>
          <w:rFonts w:cs="Times New Roman PS Std"/>
          <w:iCs/>
          <w:color w:val="000000"/>
        </w:rPr>
        <w:t xml:space="preserve"> Goals. </w:t>
      </w:r>
    </w:p>
    <w:p w:rsidR="00C9112F" w:rsidRPr="00AF0C81" w:rsidRDefault="00C9112F" w:rsidP="0099557D">
      <w:pPr>
        <w:autoSpaceDE w:val="0"/>
        <w:autoSpaceDN w:val="0"/>
        <w:adjustRightInd w:val="0"/>
        <w:spacing w:after="0" w:line="240" w:lineRule="auto"/>
        <w:ind w:left="720"/>
        <w:rPr>
          <w:rFonts w:cs="Times New Roman PS Std"/>
          <w:iCs/>
          <w:color w:val="000000"/>
        </w:rPr>
      </w:pPr>
    </w:p>
    <w:p w:rsidR="0090240F" w:rsidRPr="00AF0C81" w:rsidRDefault="00C9112F" w:rsidP="0099557D">
      <w:pPr>
        <w:autoSpaceDE w:val="0"/>
        <w:autoSpaceDN w:val="0"/>
        <w:adjustRightInd w:val="0"/>
        <w:spacing w:after="0" w:line="240" w:lineRule="auto"/>
        <w:ind w:left="720"/>
        <w:rPr>
          <w:rFonts w:eastAsia="Calibri" w:cs="Times New Roman"/>
        </w:rPr>
      </w:pPr>
      <w:r w:rsidRPr="00AF0C81">
        <w:rPr>
          <w:rFonts w:cs="Times New Roman PS Std"/>
          <w:iCs/>
          <w:color w:val="000000"/>
        </w:rPr>
        <w:t xml:space="preserve">DOE </w:t>
      </w:r>
      <w:r w:rsidR="0090240F" w:rsidRPr="00AF0C81">
        <w:rPr>
          <w:rFonts w:cs="Times New Roman PS Std"/>
          <w:iCs/>
          <w:color w:val="000000"/>
        </w:rPr>
        <w:t>currently contributes to the following CAP Goals:</w:t>
      </w:r>
      <w:r w:rsidRPr="00AF0C81">
        <w:rPr>
          <w:rFonts w:cs="Times New Roman PS Std"/>
          <w:iCs/>
          <w:color w:val="000000"/>
        </w:rPr>
        <w:t xml:space="preserve">  t</w:t>
      </w:r>
      <w:r w:rsidR="0090240F" w:rsidRPr="00AF0C81">
        <w:rPr>
          <w:rFonts w:eastAsia="Calibri" w:cs="Times New Roman"/>
        </w:rPr>
        <w:t xml:space="preserve">he Department of Energy plays a direct role with </w:t>
      </w:r>
      <w:r w:rsidR="00312058">
        <w:rPr>
          <w:rFonts w:eastAsia="Calibri" w:cs="Times New Roman"/>
        </w:rPr>
        <w:t>three</w:t>
      </w:r>
      <w:r w:rsidR="00312058" w:rsidRPr="00AF0C81">
        <w:rPr>
          <w:rFonts w:eastAsia="Calibri" w:cs="Times New Roman"/>
        </w:rPr>
        <w:t xml:space="preserve"> </w:t>
      </w:r>
      <w:r w:rsidR="0090240F" w:rsidRPr="00AF0C81">
        <w:rPr>
          <w:rFonts w:eastAsia="Calibri" w:cs="Times New Roman"/>
        </w:rPr>
        <w:t>outcome-</w:t>
      </w:r>
      <w:r w:rsidR="00F26CF7">
        <w:rPr>
          <w:rFonts w:eastAsia="Calibri" w:cs="Times New Roman"/>
        </w:rPr>
        <w:t>oriented</w:t>
      </w:r>
      <w:r w:rsidR="0090240F" w:rsidRPr="00AF0C81">
        <w:rPr>
          <w:rFonts w:eastAsia="Calibri" w:cs="Times New Roman"/>
        </w:rPr>
        <w:t xml:space="preserve">, cross-agency priority goals and a supporting role with </w:t>
      </w:r>
      <w:r w:rsidR="00F26CF7">
        <w:rPr>
          <w:rFonts w:eastAsia="Calibri" w:cs="Times New Roman"/>
        </w:rPr>
        <w:t>six</w:t>
      </w:r>
      <w:r w:rsidR="0090240F" w:rsidRPr="00AF0C81">
        <w:rPr>
          <w:rFonts w:eastAsia="Calibri" w:cs="Times New Roman"/>
        </w:rPr>
        <w:t xml:space="preserve"> management-focused goals, as follows:</w:t>
      </w:r>
    </w:p>
    <w:p w:rsidR="0090240F" w:rsidRPr="0099557D" w:rsidRDefault="00F26CF7" w:rsidP="0099557D">
      <w:pPr>
        <w:pStyle w:val="ListParagraph"/>
        <w:numPr>
          <w:ilvl w:val="0"/>
          <w:numId w:val="20"/>
        </w:numPr>
        <w:spacing w:after="0"/>
        <w:ind w:right="1512"/>
        <w:rPr>
          <w:rFonts w:eastAsia="Calibri" w:cs="Times New Roman"/>
        </w:rPr>
      </w:pPr>
      <w:r w:rsidRPr="0099557D">
        <w:rPr>
          <w:rFonts w:eastAsia="Calibri" w:cs="Times New Roman"/>
        </w:rPr>
        <w:t>Energy Efficiency: “</w:t>
      </w:r>
      <w:r w:rsidR="0090240F" w:rsidRPr="0099557D">
        <w:rPr>
          <w:rFonts w:eastAsia="Calibri" w:cs="Times New Roman"/>
        </w:rPr>
        <w:t>Reduce energy intensity (energy demand/$ real Gross Domestic Product) 50% by 2035 (2010 base year</w:t>
      </w:r>
      <w:r w:rsidRPr="0099557D">
        <w:rPr>
          <w:rFonts w:eastAsia="Calibri" w:cs="Times New Roman"/>
        </w:rPr>
        <w:t xml:space="preserve">)” </w:t>
      </w:r>
    </w:p>
    <w:p w:rsidR="00F26CF7" w:rsidRPr="0099557D" w:rsidRDefault="00F26CF7" w:rsidP="0099557D">
      <w:pPr>
        <w:pStyle w:val="ListParagraph"/>
        <w:numPr>
          <w:ilvl w:val="0"/>
          <w:numId w:val="20"/>
        </w:numPr>
        <w:spacing w:after="0"/>
        <w:ind w:right="1512"/>
        <w:rPr>
          <w:rFonts w:eastAsia="Calibri" w:cs="Times New Roman"/>
        </w:rPr>
      </w:pPr>
      <w:r w:rsidRPr="0099557D">
        <w:rPr>
          <w:rFonts w:eastAsia="Calibri" w:cs="Times New Roman"/>
        </w:rPr>
        <w:t>Sustainability: “By 2020, the Federal Government will reduce its direct greenhouse gas emissions by 28 percent and will reduce its indirect greenhouse gas emissions by 13 percent by 2020 (from 2008 baseline).”</w:t>
      </w:r>
    </w:p>
    <w:p w:rsidR="0090240F" w:rsidRPr="0099557D" w:rsidRDefault="00F26CF7" w:rsidP="0099557D">
      <w:pPr>
        <w:pStyle w:val="ListParagraph"/>
        <w:numPr>
          <w:ilvl w:val="0"/>
          <w:numId w:val="20"/>
        </w:numPr>
        <w:spacing w:after="0"/>
        <w:ind w:right="1512"/>
        <w:rPr>
          <w:rFonts w:eastAsia="Calibri" w:cs="Times New Roman"/>
        </w:rPr>
      </w:pPr>
      <w:r w:rsidRPr="0099557D">
        <w:rPr>
          <w:rFonts w:eastAsia="Calibri" w:cs="Times New Roman"/>
        </w:rPr>
        <w:t>Entrepreneurship and Small Business: “</w:t>
      </w:r>
      <w:r w:rsidR="0090240F" w:rsidRPr="0099557D">
        <w:rPr>
          <w:rFonts w:eastAsia="Calibri" w:cs="Times New Roman"/>
        </w:rPr>
        <w:t>Increase federal services to entrepreneurs and small businesses with an emphasis on (1) startups and growing firms and (2) underserved market</w:t>
      </w:r>
      <w:r w:rsidRPr="0099557D">
        <w:rPr>
          <w:rFonts w:eastAsia="Calibri" w:cs="Times New Roman"/>
        </w:rPr>
        <w:t>”</w:t>
      </w:r>
    </w:p>
    <w:p w:rsidR="00F26CF7" w:rsidRDefault="00F26CF7" w:rsidP="00F26CF7">
      <w:pPr>
        <w:pStyle w:val="ListParagraph"/>
      </w:pPr>
    </w:p>
    <w:p w:rsidR="00AE2FB2" w:rsidRPr="001F4497" w:rsidRDefault="00AE2FB2" w:rsidP="00AE2FB2">
      <w:pPr>
        <w:spacing w:after="0"/>
      </w:pPr>
    </w:p>
    <w:sectPr w:rsidR="00AE2FB2" w:rsidRPr="001F4497" w:rsidSect="0099557D">
      <w:pgSz w:w="12240" w:h="15840"/>
      <w:pgMar w:top="720" w:right="16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7BCE" w:rsidRDefault="00537BCE" w:rsidP="00C64115">
      <w:pPr>
        <w:spacing w:after="0" w:line="240" w:lineRule="auto"/>
      </w:pPr>
      <w:r>
        <w:separator/>
      </w:r>
    </w:p>
  </w:endnote>
  <w:endnote w:type="continuationSeparator" w:id="0">
    <w:p w:rsidR="00537BCE" w:rsidRDefault="00537BCE" w:rsidP="00C641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imes New Roman PS Std">
    <w:altName w:val="Times New Roman PS Std"/>
    <w:panose1 w:val="00000000000000000000"/>
    <w:charset w:val="00"/>
    <w:family w:val="roman"/>
    <w:notTrueType/>
    <w:pitch w:val="variable"/>
    <w:sig w:usb0="800000AF" w:usb1="5000205B"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912019"/>
      <w:docPartObj>
        <w:docPartGallery w:val="Page Numbers (Bottom of Page)"/>
        <w:docPartUnique/>
      </w:docPartObj>
    </w:sdtPr>
    <w:sdtEndPr>
      <w:rPr>
        <w:color w:val="7F7F7F" w:themeColor="background1" w:themeShade="7F"/>
        <w:spacing w:val="60"/>
      </w:rPr>
    </w:sdtEndPr>
    <w:sdtContent>
      <w:p w:rsidR="0099557D" w:rsidRDefault="0099557D" w:rsidP="00831A8B">
        <w:pPr>
          <w:pStyle w:val="Footer"/>
          <w:pBdr>
            <w:top w:val="single" w:sz="4" w:space="1" w:color="D9D9D9" w:themeColor="background1" w:themeShade="D9"/>
          </w:pBdr>
          <w:tabs>
            <w:tab w:val="clear" w:pos="9360"/>
            <w:tab w:val="right" w:pos="10260"/>
          </w:tabs>
        </w:pPr>
        <w:r>
          <w:rPr>
            <w:b/>
            <w:bCs/>
            <w:caps/>
            <w:shadow/>
            <w:color w:val="4F81BD" w:themeColor="accent1"/>
            <w:sz w:val="20"/>
            <w:szCs w:val="20"/>
          </w:rPr>
          <w:t>FY 2013 DOE Federal</w:t>
        </w:r>
        <w:r w:rsidRPr="00C84044">
          <w:rPr>
            <w:b/>
            <w:bCs/>
            <w:caps/>
            <w:shadow/>
            <w:color w:val="4F81BD" w:themeColor="accent1"/>
            <w:sz w:val="20"/>
            <w:szCs w:val="20"/>
          </w:rPr>
          <w:t xml:space="preserve"> </w:t>
        </w:r>
        <w:r>
          <w:rPr>
            <w:b/>
            <w:bCs/>
            <w:caps/>
            <w:shadow/>
            <w:color w:val="4F81BD" w:themeColor="accent1"/>
            <w:sz w:val="20"/>
            <w:szCs w:val="20"/>
          </w:rPr>
          <w:t>Program Inventory</w:t>
        </w:r>
        <w:r>
          <w:t xml:space="preserve"> </w:t>
        </w:r>
        <w:r>
          <w:tab/>
        </w:r>
        <w:r>
          <w:tab/>
        </w:r>
        <w:fldSimple w:instr=" PAGE   \* MERGEFORMAT ">
          <w:r w:rsidR="00AA60E0">
            <w:rPr>
              <w:noProof/>
            </w:rPr>
            <w:t>4</w:t>
          </w:r>
        </w:fldSimple>
        <w:r>
          <w:t xml:space="preserve"> | </w:t>
        </w:r>
        <w:r>
          <w:rPr>
            <w:color w:val="7F7F7F" w:themeColor="background1" w:themeShade="7F"/>
            <w:spacing w:val="60"/>
          </w:rPr>
          <w:t>Page</w:t>
        </w:r>
      </w:p>
    </w:sdtContent>
  </w:sdt>
  <w:p w:rsidR="0099557D" w:rsidRPr="00C64115" w:rsidRDefault="0099557D">
    <w:pPr>
      <w:pStyle w:val="Footer"/>
      <w:rPr>
        <w:color w:val="4F81BD" w:themeColor="accent1"/>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7BCE" w:rsidRDefault="00537BCE" w:rsidP="00C64115">
      <w:pPr>
        <w:spacing w:after="0" w:line="240" w:lineRule="auto"/>
      </w:pPr>
      <w:r>
        <w:separator/>
      </w:r>
    </w:p>
  </w:footnote>
  <w:footnote w:type="continuationSeparator" w:id="0">
    <w:p w:rsidR="00537BCE" w:rsidRDefault="00537BCE" w:rsidP="00C641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47711"/>
    <w:multiLevelType w:val="multilevel"/>
    <w:tmpl w:val="122ECC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6D23CF1"/>
    <w:multiLevelType w:val="hybridMultilevel"/>
    <w:tmpl w:val="5AB655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51F88"/>
    <w:multiLevelType w:val="hybridMultilevel"/>
    <w:tmpl w:val="EBEC7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894BEB"/>
    <w:multiLevelType w:val="hybridMultilevel"/>
    <w:tmpl w:val="A3E2B80A"/>
    <w:lvl w:ilvl="0" w:tplc="C7CEB39C">
      <w:start w:val="1"/>
      <w:numFmt w:val="decimal"/>
      <w:pStyle w:val="ParagraphNumbered"/>
      <w:lvlText w:val="%1."/>
      <w:lvlJc w:val="left"/>
      <w:pPr>
        <w:ind w:left="864" w:hanging="360"/>
      </w:pPr>
      <w:rPr>
        <w:rFonts w:cs="Times New Roman"/>
        <w:color w:val="auto"/>
      </w:rPr>
    </w:lvl>
    <w:lvl w:ilvl="1" w:tplc="04090019" w:tentative="1">
      <w:start w:val="1"/>
      <w:numFmt w:val="lowerLetter"/>
      <w:lvlText w:val="%2."/>
      <w:lvlJc w:val="left"/>
      <w:pPr>
        <w:ind w:left="1584" w:hanging="360"/>
      </w:pPr>
      <w:rPr>
        <w:rFonts w:cs="Times New Roman"/>
      </w:rPr>
    </w:lvl>
    <w:lvl w:ilvl="2" w:tplc="0409001B" w:tentative="1">
      <w:start w:val="1"/>
      <w:numFmt w:val="lowerRoman"/>
      <w:lvlText w:val="%3."/>
      <w:lvlJc w:val="right"/>
      <w:pPr>
        <w:ind w:left="2304" w:hanging="180"/>
      </w:pPr>
      <w:rPr>
        <w:rFonts w:cs="Times New Roman"/>
      </w:rPr>
    </w:lvl>
    <w:lvl w:ilvl="3" w:tplc="0409000F" w:tentative="1">
      <w:start w:val="1"/>
      <w:numFmt w:val="decimal"/>
      <w:lvlText w:val="%4."/>
      <w:lvlJc w:val="left"/>
      <w:pPr>
        <w:ind w:left="3024" w:hanging="360"/>
      </w:pPr>
      <w:rPr>
        <w:rFonts w:cs="Times New Roman"/>
      </w:rPr>
    </w:lvl>
    <w:lvl w:ilvl="4" w:tplc="04090019" w:tentative="1">
      <w:start w:val="1"/>
      <w:numFmt w:val="lowerLetter"/>
      <w:lvlText w:val="%5."/>
      <w:lvlJc w:val="left"/>
      <w:pPr>
        <w:ind w:left="3744" w:hanging="360"/>
      </w:pPr>
      <w:rPr>
        <w:rFonts w:cs="Times New Roman"/>
      </w:rPr>
    </w:lvl>
    <w:lvl w:ilvl="5" w:tplc="0409001B" w:tentative="1">
      <w:start w:val="1"/>
      <w:numFmt w:val="lowerRoman"/>
      <w:lvlText w:val="%6."/>
      <w:lvlJc w:val="right"/>
      <w:pPr>
        <w:ind w:left="4464" w:hanging="180"/>
      </w:pPr>
      <w:rPr>
        <w:rFonts w:cs="Times New Roman"/>
      </w:rPr>
    </w:lvl>
    <w:lvl w:ilvl="6" w:tplc="0409000F" w:tentative="1">
      <w:start w:val="1"/>
      <w:numFmt w:val="decimal"/>
      <w:lvlText w:val="%7."/>
      <w:lvlJc w:val="left"/>
      <w:pPr>
        <w:ind w:left="5184" w:hanging="360"/>
      </w:pPr>
      <w:rPr>
        <w:rFonts w:cs="Times New Roman"/>
      </w:rPr>
    </w:lvl>
    <w:lvl w:ilvl="7" w:tplc="04090019" w:tentative="1">
      <w:start w:val="1"/>
      <w:numFmt w:val="lowerLetter"/>
      <w:lvlText w:val="%8."/>
      <w:lvlJc w:val="left"/>
      <w:pPr>
        <w:ind w:left="5904" w:hanging="360"/>
      </w:pPr>
      <w:rPr>
        <w:rFonts w:cs="Times New Roman"/>
      </w:rPr>
    </w:lvl>
    <w:lvl w:ilvl="8" w:tplc="0409001B" w:tentative="1">
      <w:start w:val="1"/>
      <w:numFmt w:val="lowerRoman"/>
      <w:lvlText w:val="%9."/>
      <w:lvlJc w:val="right"/>
      <w:pPr>
        <w:ind w:left="6624" w:hanging="180"/>
      </w:pPr>
      <w:rPr>
        <w:rFonts w:cs="Times New Roman"/>
      </w:rPr>
    </w:lvl>
  </w:abstractNum>
  <w:abstractNum w:abstractNumId="4">
    <w:nsid w:val="27ED5705"/>
    <w:multiLevelType w:val="hybridMultilevel"/>
    <w:tmpl w:val="5EB25542"/>
    <w:lvl w:ilvl="0" w:tplc="5114BBEA">
      <w:start w:val="1"/>
      <w:numFmt w:val="bullet"/>
      <w:lvlText w:val="–"/>
      <w:lvlJc w:val="left"/>
      <w:pPr>
        <w:tabs>
          <w:tab w:val="num" w:pos="720"/>
        </w:tabs>
        <w:ind w:left="720" w:hanging="360"/>
      </w:pPr>
      <w:rPr>
        <w:rFonts w:ascii="Arial" w:hAnsi="Arial" w:hint="default"/>
      </w:rPr>
    </w:lvl>
    <w:lvl w:ilvl="1" w:tplc="986E386A">
      <w:start w:val="1"/>
      <w:numFmt w:val="bullet"/>
      <w:lvlText w:val="–"/>
      <w:lvlJc w:val="left"/>
      <w:pPr>
        <w:tabs>
          <w:tab w:val="num" w:pos="1440"/>
        </w:tabs>
        <w:ind w:left="1440" w:hanging="360"/>
      </w:pPr>
      <w:rPr>
        <w:rFonts w:ascii="Arial" w:hAnsi="Arial" w:hint="default"/>
      </w:rPr>
    </w:lvl>
    <w:lvl w:ilvl="2" w:tplc="B96C015A" w:tentative="1">
      <w:start w:val="1"/>
      <w:numFmt w:val="bullet"/>
      <w:lvlText w:val="–"/>
      <w:lvlJc w:val="left"/>
      <w:pPr>
        <w:tabs>
          <w:tab w:val="num" w:pos="2160"/>
        </w:tabs>
        <w:ind w:left="2160" w:hanging="360"/>
      </w:pPr>
      <w:rPr>
        <w:rFonts w:ascii="Arial" w:hAnsi="Arial" w:hint="default"/>
      </w:rPr>
    </w:lvl>
    <w:lvl w:ilvl="3" w:tplc="379E2112" w:tentative="1">
      <w:start w:val="1"/>
      <w:numFmt w:val="bullet"/>
      <w:lvlText w:val="–"/>
      <w:lvlJc w:val="left"/>
      <w:pPr>
        <w:tabs>
          <w:tab w:val="num" w:pos="2880"/>
        </w:tabs>
        <w:ind w:left="2880" w:hanging="360"/>
      </w:pPr>
      <w:rPr>
        <w:rFonts w:ascii="Arial" w:hAnsi="Arial" w:hint="default"/>
      </w:rPr>
    </w:lvl>
    <w:lvl w:ilvl="4" w:tplc="2FD68D4A" w:tentative="1">
      <w:start w:val="1"/>
      <w:numFmt w:val="bullet"/>
      <w:lvlText w:val="–"/>
      <w:lvlJc w:val="left"/>
      <w:pPr>
        <w:tabs>
          <w:tab w:val="num" w:pos="3600"/>
        </w:tabs>
        <w:ind w:left="3600" w:hanging="360"/>
      </w:pPr>
      <w:rPr>
        <w:rFonts w:ascii="Arial" w:hAnsi="Arial" w:hint="default"/>
      </w:rPr>
    </w:lvl>
    <w:lvl w:ilvl="5" w:tplc="D3B0C72A" w:tentative="1">
      <w:start w:val="1"/>
      <w:numFmt w:val="bullet"/>
      <w:lvlText w:val="–"/>
      <w:lvlJc w:val="left"/>
      <w:pPr>
        <w:tabs>
          <w:tab w:val="num" w:pos="4320"/>
        </w:tabs>
        <w:ind w:left="4320" w:hanging="360"/>
      </w:pPr>
      <w:rPr>
        <w:rFonts w:ascii="Arial" w:hAnsi="Arial" w:hint="default"/>
      </w:rPr>
    </w:lvl>
    <w:lvl w:ilvl="6" w:tplc="3188BA04" w:tentative="1">
      <w:start w:val="1"/>
      <w:numFmt w:val="bullet"/>
      <w:lvlText w:val="–"/>
      <w:lvlJc w:val="left"/>
      <w:pPr>
        <w:tabs>
          <w:tab w:val="num" w:pos="5040"/>
        </w:tabs>
        <w:ind w:left="5040" w:hanging="360"/>
      </w:pPr>
      <w:rPr>
        <w:rFonts w:ascii="Arial" w:hAnsi="Arial" w:hint="default"/>
      </w:rPr>
    </w:lvl>
    <w:lvl w:ilvl="7" w:tplc="D874605C" w:tentative="1">
      <w:start w:val="1"/>
      <w:numFmt w:val="bullet"/>
      <w:lvlText w:val="–"/>
      <w:lvlJc w:val="left"/>
      <w:pPr>
        <w:tabs>
          <w:tab w:val="num" w:pos="5760"/>
        </w:tabs>
        <w:ind w:left="5760" w:hanging="360"/>
      </w:pPr>
      <w:rPr>
        <w:rFonts w:ascii="Arial" w:hAnsi="Arial" w:hint="default"/>
      </w:rPr>
    </w:lvl>
    <w:lvl w:ilvl="8" w:tplc="36D02198" w:tentative="1">
      <w:start w:val="1"/>
      <w:numFmt w:val="bullet"/>
      <w:lvlText w:val="–"/>
      <w:lvlJc w:val="left"/>
      <w:pPr>
        <w:tabs>
          <w:tab w:val="num" w:pos="6480"/>
        </w:tabs>
        <w:ind w:left="6480" w:hanging="360"/>
      </w:pPr>
      <w:rPr>
        <w:rFonts w:ascii="Arial" w:hAnsi="Arial" w:hint="default"/>
      </w:rPr>
    </w:lvl>
  </w:abstractNum>
  <w:abstractNum w:abstractNumId="5">
    <w:nsid w:val="297C453A"/>
    <w:multiLevelType w:val="hybridMultilevel"/>
    <w:tmpl w:val="1A823CF4"/>
    <w:lvl w:ilvl="0" w:tplc="E494AB58">
      <w:numFmt w:val="bullet"/>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5C43E9"/>
    <w:multiLevelType w:val="hybridMultilevel"/>
    <w:tmpl w:val="F724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4E4F32"/>
    <w:multiLevelType w:val="hybridMultilevel"/>
    <w:tmpl w:val="02F85FE4"/>
    <w:lvl w:ilvl="0" w:tplc="158E465E">
      <w:start w:val="1"/>
      <w:numFmt w:val="bullet"/>
      <w:lvlText w:val="•"/>
      <w:lvlJc w:val="left"/>
      <w:pPr>
        <w:tabs>
          <w:tab w:val="num" w:pos="720"/>
        </w:tabs>
        <w:ind w:left="720" w:hanging="360"/>
      </w:pPr>
      <w:rPr>
        <w:rFonts w:ascii="Arial" w:hAnsi="Arial" w:hint="default"/>
      </w:rPr>
    </w:lvl>
    <w:lvl w:ilvl="1" w:tplc="066CA704" w:tentative="1">
      <w:start w:val="1"/>
      <w:numFmt w:val="bullet"/>
      <w:lvlText w:val="•"/>
      <w:lvlJc w:val="left"/>
      <w:pPr>
        <w:tabs>
          <w:tab w:val="num" w:pos="1440"/>
        </w:tabs>
        <w:ind w:left="1440" w:hanging="360"/>
      </w:pPr>
      <w:rPr>
        <w:rFonts w:ascii="Arial" w:hAnsi="Arial" w:hint="default"/>
      </w:rPr>
    </w:lvl>
    <w:lvl w:ilvl="2" w:tplc="DC9CFA9E" w:tentative="1">
      <w:start w:val="1"/>
      <w:numFmt w:val="bullet"/>
      <w:lvlText w:val="•"/>
      <w:lvlJc w:val="left"/>
      <w:pPr>
        <w:tabs>
          <w:tab w:val="num" w:pos="2160"/>
        </w:tabs>
        <w:ind w:left="2160" w:hanging="360"/>
      </w:pPr>
      <w:rPr>
        <w:rFonts w:ascii="Arial" w:hAnsi="Arial" w:hint="default"/>
      </w:rPr>
    </w:lvl>
    <w:lvl w:ilvl="3" w:tplc="43906FF6" w:tentative="1">
      <w:start w:val="1"/>
      <w:numFmt w:val="bullet"/>
      <w:lvlText w:val="•"/>
      <w:lvlJc w:val="left"/>
      <w:pPr>
        <w:tabs>
          <w:tab w:val="num" w:pos="2880"/>
        </w:tabs>
        <w:ind w:left="2880" w:hanging="360"/>
      </w:pPr>
      <w:rPr>
        <w:rFonts w:ascii="Arial" w:hAnsi="Arial" w:hint="default"/>
      </w:rPr>
    </w:lvl>
    <w:lvl w:ilvl="4" w:tplc="A77828EE" w:tentative="1">
      <w:start w:val="1"/>
      <w:numFmt w:val="bullet"/>
      <w:lvlText w:val="•"/>
      <w:lvlJc w:val="left"/>
      <w:pPr>
        <w:tabs>
          <w:tab w:val="num" w:pos="3600"/>
        </w:tabs>
        <w:ind w:left="3600" w:hanging="360"/>
      </w:pPr>
      <w:rPr>
        <w:rFonts w:ascii="Arial" w:hAnsi="Arial" w:hint="default"/>
      </w:rPr>
    </w:lvl>
    <w:lvl w:ilvl="5" w:tplc="7B1E9866" w:tentative="1">
      <w:start w:val="1"/>
      <w:numFmt w:val="bullet"/>
      <w:lvlText w:val="•"/>
      <w:lvlJc w:val="left"/>
      <w:pPr>
        <w:tabs>
          <w:tab w:val="num" w:pos="4320"/>
        </w:tabs>
        <w:ind w:left="4320" w:hanging="360"/>
      </w:pPr>
      <w:rPr>
        <w:rFonts w:ascii="Arial" w:hAnsi="Arial" w:hint="default"/>
      </w:rPr>
    </w:lvl>
    <w:lvl w:ilvl="6" w:tplc="2F9C0232" w:tentative="1">
      <w:start w:val="1"/>
      <w:numFmt w:val="bullet"/>
      <w:lvlText w:val="•"/>
      <w:lvlJc w:val="left"/>
      <w:pPr>
        <w:tabs>
          <w:tab w:val="num" w:pos="5040"/>
        </w:tabs>
        <w:ind w:left="5040" w:hanging="360"/>
      </w:pPr>
      <w:rPr>
        <w:rFonts w:ascii="Arial" w:hAnsi="Arial" w:hint="default"/>
      </w:rPr>
    </w:lvl>
    <w:lvl w:ilvl="7" w:tplc="89564CBA" w:tentative="1">
      <w:start w:val="1"/>
      <w:numFmt w:val="bullet"/>
      <w:lvlText w:val="•"/>
      <w:lvlJc w:val="left"/>
      <w:pPr>
        <w:tabs>
          <w:tab w:val="num" w:pos="5760"/>
        </w:tabs>
        <w:ind w:left="5760" w:hanging="360"/>
      </w:pPr>
      <w:rPr>
        <w:rFonts w:ascii="Arial" w:hAnsi="Arial" w:hint="default"/>
      </w:rPr>
    </w:lvl>
    <w:lvl w:ilvl="8" w:tplc="D2BAC568" w:tentative="1">
      <w:start w:val="1"/>
      <w:numFmt w:val="bullet"/>
      <w:lvlText w:val="•"/>
      <w:lvlJc w:val="left"/>
      <w:pPr>
        <w:tabs>
          <w:tab w:val="num" w:pos="6480"/>
        </w:tabs>
        <w:ind w:left="6480" w:hanging="360"/>
      </w:pPr>
      <w:rPr>
        <w:rFonts w:ascii="Arial" w:hAnsi="Arial" w:hint="default"/>
      </w:rPr>
    </w:lvl>
  </w:abstractNum>
  <w:abstractNum w:abstractNumId="8">
    <w:nsid w:val="3B1F5AF5"/>
    <w:multiLevelType w:val="hybridMultilevel"/>
    <w:tmpl w:val="6478B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BF2441"/>
    <w:multiLevelType w:val="hybridMultilevel"/>
    <w:tmpl w:val="DF78A91A"/>
    <w:lvl w:ilvl="0" w:tplc="E494AB58">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ECB7720"/>
    <w:multiLevelType w:val="hybridMultilevel"/>
    <w:tmpl w:val="90F6BC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967171E"/>
    <w:multiLevelType w:val="hybridMultilevel"/>
    <w:tmpl w:val="BEBCD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F5A489C"/>
    <w:multiLevelType w:val="hybridMultilevel"/>
    <w:tmpl w:val="B3BE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4F0DBF"/>
    <w:multiLevelType w:val="multilevel"/>
    <w:tmpl w:val="11343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A16278"/>
    <w:multiLevelType w:val="hybridMultilevel"/>
    <w:tmpl w:val="E0D8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EB1744"/>
    <w:multiLevelType w:val="hybridMultilevel"/>
    <w:tmpl w:val="B74C8C38"/>
    <w:lvl w:ilvl="0" w:tplc="34C4AC3A">
      <w:numFmt w:val="bullet"/>
      <w:lvlText w:val=""/>
      <w:lvlJc w:val="left"/>
      <w:pPr>
        <w:ind w:left="405" w:hanging="360"/>
      </w:pPr>
      <w:rPr>
        <w:rFonts w:ascii="Wingdings" w:eastAsia="Times New Roman"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6">
    <w:nsid w:val="6C0246C6"/>
    <w:multiLevelType w:val="hybridMultilevel"/>
    <w:tmpl w:val="B114CAFA"/>
    <w:lvl w:ilvl="0" w:tplc="6E5C2A7E">
      <w:start w:val="1"/>
      <w:numFmt w:val="bullet"/>
      <w:lvlText w:val="•"/>
      <w:lvlJc w:val="left"/>
      <w:pPr>
        <w:tabs>
          <w:tab w:val="num" w:pos="720"/>
        </w:tabs>
        <w:ind w:left="720" w:hanging="360"/>
      </w:pPr>
      <w:rPr>
        <w:rFonts w:ascii="Arial" w:hAnsi="Arial" w:hint="default"/>
      </w:rPr>
    </w:lvl>
    <w:lvl w:ilvl="1" w:tplc="798441E6" w:tentative="1">
      <w:start w:val="1"/>
      <w:numFmt w:val="bullet"/>
      <w:lvlText w:val="•"/>
      <w:lvlJc w:val="left"/>
      <w:pPr>
        <w:tabs>
          <w:tab w:val="num" w:pos="1440"/>
        </w:tabs>
        <w:ind w:left="1440" w:hanging="360"/>
      </w:pPr>
      <w:rPr>
        <w:rFonts w:ascii="Arial" w:hAnsi="Arial" w:hint="default"/>
      </w:rPr>
    </w:lvl>
    <w:lvl w:ilvl="2" w:tplc="9BD4A3A6" w:tentative="1">
      <w:start w:val="1"/>
      <w:numFmt w:val="bullet"/>
      <w:lvlText w:val="•"/>
      <w:lvlJc w:val="left"/>
      <w:pPr>
        <w:tabs>
          <w:tab w:val="num" w:pos="2160"/>
        </w:tabs>
        <w:ind w:left="2160" w:hanging="360"/>
      </w:pPr>
      <w:rPr>
        <w:rFonts w:ascii="Arial" w:hAnsi="Arial" w:hint="default"/>
      </w:rPr>
    </w:lvl>
    <w:lvl w:ilvl="3" w:tplc="87821E1A" w:tentative="1">
      <w:start w:val="1"/>
      <w:numFmt w:val="bullet"/>
      <w:lvlText w:val="•"/>
      <w:lvlJc w:val="left"/>
      <w:pPr>
        <w:tabs>
          <w:tab w:val="num" w:pos="2880"/>
        </w:tabs>
        <w:ind w:left="2880" w:hanging="360"/>
      </w:pPr>
      <w:rPr>
        <w:rFonts w:ascii="Arial" w:hAnsi="Arial" w:hint="default"/>
      </w:rPr>
    </w:lvl>
    <w:lvl w:ilvl="4" w:tplc="0FD6C15C" w:tentative="1">
      <w:start w:val="1"/>
      <w:numFmt w:val="bullet"/>
      <w:lvlText w:val="•"/>
      <w:lvlJc w:val="left"/>
      <w:pPr>
        <w:tabs>
          <w:tab w:val="num" w:pos="3600"/>
        </w:tabs>
        <w:ind w:left="3600" w:hanging="360"/>
      </w:pPr>
      <w:rPr>
        <w:rFonts w:ascii="Arial" w:hAnsi="Arial" w:hint="default"/>
      </w:rPr>
    </w:lvl>
    <w:lvl w:ilvl="5" w:tplc="85AEF1EE" w:tentative="1">
      <w:start w:val="1"/>
      <w:numFmt w:val="bullet"/>
      <w:lvlText w:val="•"/>
      <w:lvlJc w:val="left"/>
      <w:pPr>
        <w:tabs>
          <w:tab w:val="num" w:pos="4320"/>
        </w:tabs>
        <w:ind w:left="4320" w:hanging="360"/>
      </w:pPr>
      <w:rPr>
        <w:rFonts w:ascii="Arial" w:hAnsi="Arial" w:hint="default"/>
      </w:rPr>
    </w:lvl>
    <w:lvl w:ilvl="6" w:tplc="CD0E3F44" w:tentative="1">
      <w:start w:val="1"/>
      <w:numFmt w:val="bullet"/>
      <w:lvlText w:val="•"/>
      <w:lvlJc w:val="left"/>
      <w:pPr>
        <w:tabs>
          <w:tab w:val="num" w:pos="5040"/>
        </w:tabs>
        <w:ind w:left="5040" w:hanging="360"/>
      </w:pPr>
      <w:rPr>
        <w:rFonts w:ascii="Arial" w:hAnsi="Arial" w:hint="default"/>
      </w:rPr>
    </w:lvl>
    <w:lvl w:ilvl="7" w:tplc="642A2D86" w:tentative="1">
      <w:start w:val="1"/>
      <w:numFmt w:val="bullet"/>
      <w:lvlText w:val="•"/>
      <w:lvlJc w:val="left"/>
      <w:pPr>
        <w:tabs>
          <w:tab w:val="num" w:pos="5760"/>
        </w:tabs>
        <w:ind w:left="5760" w:hanging="360"/>
      </w:pPr>
      <w:rPr>
        <w:rFonts w:ascii="Arial" w:hAnsi="Arial" w:hint="default"/>
      </w:rPr>
    </w:lvl>
    <w:lvl w:ilvl="8" w:tplc="C9DA51A4" w:tentative="1">
      <w:start w:val="1"/>
      <w:numFmt w:val="bullet"/>
      <w:lvlText w:val="•"/>
      <w:lvlJc w:val="left"/>
      <w:pPr>
        <w:tabs>
          <w:tab w:val="num" w:pos="6480"/>
        </w:tabs>
        <w:ind w:left="6480" w:hanging="360"/>
      </w:pPr>
      <w:rPr>
        <w:rFonts w:ascii="Arial" w:hAnsi="Arial" w:hint="default"/>
      </w:rPr>
    </w:lvl>
  </w:abstractNum>
  <w:abstractNum w:abstractNumId="17">
    <w:nsid w:val="6CCB03F7"/>
    <w:multiLevelType w:val="multilevel"/>
    <w:tmpl w:val="02280226"/>
    <w:lvl w:ilvl="0">
      <w:start w:val="9"/>
      <w:numFmt w:val="decimal"/>
      <w:lvlText w:val="%1."/>
      <w:lvlJc w:val="left"/>
      <w:pPr>
        <w:ind w:left="360" w:hanging="360"/>
      </w:pPr>
      <w:rPr>
        <w:rFonts w:hint="default"/>
        <w:b/>
        <w:sz w:val="40"/>
        <w:szCs w:val="40"/>
      </w:rPr>
    </w:lvl>
    <w:lvl w:ilvl="1">
      <w:start w:val="1"/>
      <w:numFmt w:val="decimal"/>
      <w:lvlText w:val="%1.%2."/>
      <w:lvlJc w:val="left"/>
      <w:pPr>
        <w:ind w:left="792" w:hanging="432"/>
      </w:pPr>
      <w:rPr>
        <w:rFonts w:hint="default"/>
        <w:b/>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23F2400"/>
    <w:multiLevelType w:val="hybridMultilevel"/>
    <w:tmpl w:val="A1A608E6"/>
    <w:lvl w:ilvl="0" w:tplc="0409000F">
      <w:start w:val="1"/>
      <w:numFmt w:val="decimal"/>
      <w:lvlText w:val="%1."/>
      <w:lvlJc w:val="left"/>
      <w:pPr>
        <w:tabs>
          <w:tab w:val="num" w:pos="720"/>
        </w:tabs>
        <w:ind w:left="720" w:hanging="360"/>
      </w:pPr>
      <w:rPr>
        <w:rFonts w:hint="default"/>
      </w:rPr>
    </w:lvl>
    <w:lvl w:ilvl="1" w:tplc="986E386A">
      <w:start w:val="1"/>
      <w:numFmt w:val="bullet"/>
      <w:lvlText w:val="–"/>
      <w:lvlJc w:val="left"/>
      <w:pPr>
        <w:tabs>
          <w:tab w:val="num" w:pos="1440"/>
        </w:tabs>
        <w:ind w:left="1440" w:hanging="360"/>
      </w:pPr>
      <w:rPr>
        <w:rFonts w:ascii="Arial" w:hAnsi="Arial" w:hint="default"/>
      </w:rPr>
    </w:lvl>
    <w:lvl w:ilvl="2" w:tplc="B96C015A" w:tentative="1">
      <w:start w:val="1"/>
      <w:numFmt w:val="bullet"/>
      <w:lvlText w:val="–"/>
      <w:lvlJc w:val="left"/>
      <w:pPr>
        <w:tabs>
          <w:tab w:val="num" w:pos="2160"/>
        </w:tabs>
        <w:ind w:left="2160" w:hanging="360"/>
      </w:pPr>
      <w:rPr>
        <w:rFonts w:ascii="Arial" w:hAnsi="Arial" w:hint="default"/>
      </w:rPr>
    </w:lvl>
    <w:lvl w:ilvl="3" w:tplc="379E2112" w:tentative="1">
      <w:start w:val="1"/>
      <w:numFmt w:val="bullet"/>
      <w:lvlText w:val="–"/>
      <w:lvlJc w:val="left"/>
      <w:pPr>
        <w:tabs>
          <w:tab w:val="num" w:pos="2880"/>
        </w:tabs>
        <w:ind w:left="2880" w:hanging="360"/>
      </w:pPr>
      <w:rPr>
        <w:rFonts w:ascii="Arial" w:hAnsi="Arial" w:hint="default"/>
      </w:rPr>
    </w:lvl>
    <w:lvl w:ilvl="4" w:tplc="2FD68D4A" w:tentative="1">
      <w:start w:val="1"/>
      <w:numFmt w:val="bullet"/>
      <w:lvlText w:val="–"/>
      <w:lvlJc w:val="left"/>
      <w:pPr>
        <w:tabs>
          <w:tab w:val="num" w:pos="3600"/>
        </w:tabs>
        <w:ind w:left="3600" w:hanging="360"/>
      </w:pPr>
      <w:rPr>
        <w:rFonts w:ascii="Arial" w:hAnsi="Arial" w:hint="default"/>
      </w:rPr>
    </w:lvl>
    <w:lvl w:ilvl="5" w:tplc="D3B0C72A" w:tentative="1">
      <w:start w:val="1"/>
      <w:numFmt w:val="bullet"/>
      <w:lvlText w:val="–"/>
      <w:lvlJc w:val="left"/>
      <w:pPr>
        <w:tabs>
          <w:tab w:val="num" w:pos="4320"/>
        </w:tabs>
        <w:ind w:left="4320" w:hanging="360"/>
      </w:pPr>
      <w:rPr>
        <w:rFonts w:ascii="Arial" w:hAnsi="Arial" w:hint="default"/>
      </w:rPr>
    </w:lvl>
    <w:lvl w:ilvl="6" w:tplc="3188BA04" w:tentative="1">
      <w:start w:val="1"/>
      <w:numFmt w:val="bullet"/>
      <w:lvlText w:val="–"/>
      <w:lvlJc w:val="left"/>
      <w:pPr>
        <w:tabs>
          <w:tab w:val="num" w:pos="5040"/>
        </w:tabs>
        <w:ind w:left="5040" w:hanging="360"/>
      </w:pPr>
      <w:rPr>
        <w:rFonts w:ascii="Arial" w:hAnsi="Arial" w:hint="default"/>
      </w:rPr>
    </w:lvl>
    <w:lvl w:ilvl="7" w:tplc="D874605C" w:tentative="1">
      <w:start w:val="1"/>
      <w:numFmt w:val="bullet"/>
      <w:lvlText w:val="–"/>
      <w:lvlJc w:val="left"/>
      <w:pPr>
        <w:tabs>
          <w:tab w:val="num" w:pos="5760"/>
        </w:tabs>
        <w:ind w:left="5760" w:hanging="360"/>
      </w:pPr>
      <w:rPr>
        <w:rFonts w:ascii="Arial" w:hAnsi="Arial" w:hint="default"/>
      </w:rPr>
    </w:lvl>
    <w:lvl w:ilvl="8" w:tplc="36D02198" w:tentative="1">
      <w:start w:val="1"/>
      <w:numFmt w:val="bullet"/>
      <w:lvlText w:val="–"/>
      <w:lvlJc w:val="left"/>
      <w:pPr>
        <w:tabs>
          <w:tab w:val="num" w:pos="6480"/>
        </w:tabs>
        <w:ind w:left="6480" w:hanging="360"/>
      </w:pPr>
      <w:rPr>
        <w:rFonts w:ascii="Arial" w:hAnsi="Arial" w:hint="default"/>
      </w:rPr>
    </w:lvl>
  </w:abstractNum>
  <w:abstractNum w:abstractNumId="19">
    <w:nsid w:val="73F25EB5"/>
    <w:multiLevelType w:val="hybridMultilevel"/>
    <w:tmpl w:val="DCAC5574"/>
    <w:lvl w:ilvl="0" w:tplc="25A0D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18"/>
  </w:num>
  <w:num w:numId="4">
    <w:abstractNumId w:val="13"/>
  </w:num>
  <w:num w:numId="5">
    <w:abstractNumId w:val="10"/>
  </w:num>
  <w:num w:numId="6">
    <w:abstractNumId w:val="19"/>
  </w:num>
  <w:num w:numId="7">
    <w:abstractNumId w:val="7"/>
  </w:num>
  <w:num w:numId="8">
    <w:abstractNumId w:val="16"/>
  </w:num>
  <w:num w:numId="9">
    <w:abstractNumId w:val="8"/>
  </w:num>
  <w:num w:numId="10">
    <w:abstractNumId w:val="6"/>
  </w:num>
  <w:num w:numId="11">
    <w:abstractNumId w:val="12"/>
  </w:num>
  <w:num w:numId="12">
    <w:abstractNumId w:val="15"/>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7"/>
  </w:num>
  <w:num w:numId="17">
    <w:abstractNumId w:val="14"/>
  </w:num>
  <w:num w:numId="18">
    <w:abstractNumId w:val="2"/>
  </w:num>
  <w:num w:numId="19">
    <w:abstractNumId w:val="9"/>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968AE"/>
    <w:rsid w:val="0000012C"/>
    <w:rsid w:val="0000289F"/>
    <w:rsid w:val="0000433A"/>
    <w:rsid w:val="0001251A"/>
    <w:rsid w:val="0001376E"/>
    <w:rsid w:val="00014DA2"/>
    <w:rsid w:val="0001661C"/>
    <w:rsid w:val="0001720B"/>
    <w:rsid w:val="00017F75"/>
    <w:rsid w:val="00022457"/>
    <w:rsid w:val="00023C88"/>
    <w:rsid w:val="00026FA4"/>
    <w:rsid w:val="00027D9B"/>
    <w:rsid w:val="00031D7B"/>
    <w:rsid w:val="00032CC4"/>
    <w:rsid w:val="00033139"/>
    <w:rsid w:val="00035CEB"/>
    <w:rsid w:val="00037627"/>
    <w:rsid w:val="000376C4"/>
    <w:rsid w:val="0004044A"/>
    <w:rsid w:val="000447BE"/>
    <w:rsid w:val="00044CCC"/>
    <w:rsid w:val="00051BF7"/>
    <w:rsid w:val="0005356E"/>
    <w:rsid w:val="00054B8A"/>
    <w:rsid w:val="000559AE"/>
    <w:rsid w:val="00056FE0"/>
    <w:rsid w:val="00061C17"/>
    <w:rsid w:val="0006445A"/>
    <w:rsid w:val="00066B67"/>
    <w:rsid w:val="000677CA"/>
    <w:rsid w:val="000717DA"/>
    <w:rsid w:val="000765F9"/>
    <w:rsid w:val="00080CD0"/>
    <w:rsid w:val="00080E76"/>
    <w:rsid w:val="00081E4D"/>
    <w:rsid w:val="000863B1"/>
    <w:rsid w:val="000870A6"/>
    <w:rsid w:val="000924DA"/>
    <w:rsid w:val="00096829"/>
    <w:rsid w:val="00097943"/>
    <w:rsid w:val="00097D13"/>
    <w:rsid w:val="000A05D9"/>
    <w:rsid w:val="000A14B6"/>
    <w:rsid w:val="000A2C12"/>
    <w:rsid w:val="000A3917"/>
    <w:rsid w:val="000A775E"/>
    <w:rsid w:val="000B0E55"/>
    <w:rsid w:val="000B1990"/>
    <w:rsid w:val="000B241E"/>
    <w:rsid w:val="000C0DCF"/>
    <w:rsid w:val="000C191B"/>
    <w:rsid w:val="000C5ED2"/>
    <w:rsid w:val="000C762B"/>
    <w:rsid w:val="000D14CF"/>
    <w:rsid w:val="000D5C23"/>
    <w:rsid w:val="000D61D4"/>
    <w:rsid w:val="000E124A"/>
    <w:rsid w:val="000E4C18"/>
    <w:rsid w:val="000F136B"/>
    <w:rsid w:val="000F1E0A"/>
    <w:rsid w:val="000F3039"/>
    <w:rsid w:val="000F3F42"/>
    <w:rsid w:val="000F42D5"/>
    <w:rsid w:val="000F4DC5"/>
    <w:rsid w:val="000F5D50"/>
    <w:rsid w:val="000F6113"/>
    <w:rsid w:val="0010123E"/>
    <w:rsid w:val="00102E3D"/>
    <w:rsid w:val="00103277"/>
    <w:rsid w:val="00112070"/>
    <w:rsid w:val="0011401E"/>
    <w:rsid w:val="00114364"/>
    <w:rsid w:val="001147C4"/>
    <w:rsid w:val="00115FEB"/>
    <w:rsid w:val="00121661"/>
    <w:rsid w:val="00122B22"/>
    <w:rsid w:val="00124A53"/>
    <w:rsid w:val="001257DA"/>
    <w:rsid w:val="00125D76"/>
    <w:rsid w:val="00126059"/>
    <w:rsid w:val="0013025E"/>
    <w:rsid w:val="001361C2"/>
    <w:rsid w:val="001404C5"/>
    <w:rsid w:val="00141FCB"/>
    <w:rsid w:val="001423EA"/>
    <w:rsid w:val="00142A5F"/>
    <w:rsid w:val="00145884"/>
    <w:rsid w:val="0014760E"/>
    <w:rsid w:val="00147B25"/>
    <w:rsid w:val="001521BB"/>
    <w:rsid w:val="00154251"/>
    <w:rsid w:val="00155C0A"/>
    <w:rsid w:val="001635D5"/>
    <w:rsid w:val="001667D6"/>
    <w:rsid w:val="00166C46"/>
    <w:rsid w:val="001736BF"/>
    <w:rsid w:val="00174C83"/>
    <w:rsid w:val="00174F51"/>
    <w:rsid w:val="00180BAA"/>
    <w:rsid w:val="001827DB"/>
    <w:rsid w:val="00182905"/>
    <w:rsid w:val="001857DB"/>
    <w:rsid w:val="001861E5"/>
    <w:rsid w:val="00187670"/>
    <w:rsid w:val="001915BB"/>
    <w:rsid w:val="001954C4"/>
    <w:rsid w:val="0019563A"/>
    <w:rsid w:val="001A1219"/>
    <w:rsid w:val="001A129F"/>
    <w:rsid w:val="001A12AB"/>
    <w:rsid w:val="001A2D23"/>
    <w:rsid w:val="001A3C6E"/>
    <w:rsid w:val="001A54FD"/>
    <w:rsid w:val="001A5EE3"/>
    <w:rsid w:val="001B172D"/>
    <w:rsid w:val="001B245D"/>
    <w:rsid w:val="001B48F3"/>
    <w:rsid w:val="001B4AEC"/>
    <w:rsid w:val="001B51DC"/>
    <w:rsid w:val="001B6E52"/>
    <w:rsid w:val="001B7E75"/>
    <w:rsid w:val="001B7F14"/>
    <w:rsid w:val="001C4543"/>
    <w:rsid w:val="001C5505"/>
    <w:rsid w:val="001C5AD2"/>
    <w:rsid w:val="001C6149"/>
    <w:rsid w:val="001C6F23"/>
    <w:rsid w:val="001D29A1"/>
    <w:rsid w:val="001D4341"/>
    <w:rsid w:val="001D75EC"/>
    <w:rsid w:val="001E3BB4"/>
    <w:rsid w:val="001E4CC5"/>
    <w:rsid w:val="001E520A"/>
    <w:rsid w:val="001F05AE"/>
    <w:rsid w:val="001F0A3F"/>
    <w:rsid w:val="001F2A62"/>
    <w:rsid w:val="001F2D2B"/>
    <w:rsid w:val="001F4497"/>
    <w:rsid w:val="001F732F"/>
    <w:rsid w:val="001F7478"/>
    <w:rsid w:val="00202C11"/>
    <w:rsid w:val="00203EA0"/>
    <w:rsid w:val="00204170"/>
    <w:rsid w:val="00205221"/>
    <w:rsid w:val="00207DF5"/>
    <w:rsid w:val="00210BA5"/>
    <w:rsid w:val="00211368"/>
    <w:rsid w:val="002129FF"/>
    <w:rsid w:val="00212F2F"/>
    <w:rsid w:val="0021424B"/>
    <w:rsid w:val="002165FC"/>
    <w:rsid w:val="002179F0"/>
    <w:rsid w:val="0022118D"/>
    <w:rsid w:val="002234EF"/>
    <w:rsid w:val="00223CDD"/>
    <w:rsid w:val="00225582"/>
    <w:rsid w:val="00226733"/>
    <w:rsid w:val="002334A7"/>
    <w:rsid w:val="00234108"/>
    <w:rsid w:val="00234AF6"/>
    <w:rsid w:val="002365CA"/>
    <w:rsid w:val="00236D75"/>
    <w:rsid w:val="002428E9"/>
    <w:rsid w:val="00244E7E"/>
    <w:rsid w:val="002479D2"/>
    <w:rsid w:val="002549E3"/>
    <w:rsid w:val="00254A2C"/>
    <w:rsid w:val="00260345"/>
    <w:rsid w:val="00262139"/>
    <w:rsid w:val="00266DBF"/>
    <w:rsid w:val="00267656"/>
    <w:rsid w:val="002742C2"/>
    <w:rsid w:val="00275EC5"/>
    <w:rsid w:val="00275FA3"/>
    <w:rsid w:val="00280C07"/>
    <w:rsid w:val="0028157F"/>
    <w:rsid w:val="00283181"/>
    <w:rsid w:val="0029667D"/>
    <w:rsid w:val="002972C2"/>
    <w:rsid w:val="00297C2A"/>
    <w:rsid w:val="002A46B7"/>
    <w:rsid w:val="002A5D7A"/>
    <w:rsid w:val="002A63FF"/>
    <w:rsid w:val="002A73F4"/>
    <w:rsid w:val="002B084D"/>
    <w:rsid w:val="002B2C7F"/>
    <w:rsid w:val="002B3E4E"/>
    <w:rsid w:val="002B6DCD"/>
    <w:rsid w:val="002B724C"/>
    <w:rsid w:val="002B7463"/>
    <w:rsid w:val="002B76EB"/>
    <w:rsid w:val="002C0685"/>
    <w:rsid w:val="002D121F"/>
    <w:rsid w:val="002D2349"/>
    <w:rsid w:val="002D2FEE"/>
    <w:rsid w:val="002E0C25"/>
    <w:rsid w:val="002E42A7"/>
    <w:rsid w:val="002E5CA4"/>
    <w:rsid w:val="002E7BA5"/>
    <w:rsid w:val="002E7D44"/>
    <w:rsid w:val="002F1273"/>
    <w:rsid w:val="002F2AD9"/>
    <w:rsid w:val="002F3C1E"/>
    <w:rsid w:val="002F55A0"/>
    <w:rsid w:val="00303DFB"/>
    <w:rsid w:val="0030689C"/>
    <w:rsid w:val="00310190"/>
    <w:rsid w:val="00310364"/>
    <w:rsid w:val="00311B41"/>
    <w:rsid w:val="00312058"/>
    <w:rsid w:val="003136ED"/>
    <w:rsid w:val="00321EAB"/>
    <w:rsid w:val="003225B8"/>
    <w:rsid w:val="00327ADC"/>
    <w:rsid w:val="00330A3C"/>
    <w:rsid w:val="00340040"/>
    <w:rsid w:val="003418C1"/>
    <w:rsid w:val="003429B7"/>
    <w:rsid w:val="00345803"/>
    <w:rsid w:val="00347887"/>
    <w:rsid w:val="00347D31"/>
    <w:rsid w:val="00350195"/>
    <w:rsid w:val="00353BB7"/>
    <w:rsid w:val="003558BE"/>
    <w:rsid w:val="00355F44"/>
    <w:rsid w:val="003560BA"/>
    <w:rsid w:val="003577E1"/>
    <w:rsid w:val="00364FCF"/>
    <w:rsid w:val="003651D9"/>
    <w:rsid w:val="00365B5A"/>
    <w:rsid w:val="003661AB"/>
    <w:rsid w:val="00367D33"/>
    <w:rsid w:val="00370E8A"/>
    <w:rsid w:val="00371EE8"/>
    <w:rsid w:val="003748B4"/>
    <w:rsid w:val="00380858"/>
    <w:rsid w:val="00382963"/>
    <w:rsid w:val="00383C3C"/>
    <w:rsid w:val="00383EF6"/>
    <w:rsid w:val="003844DB"/>
    <w:rsid w:val="003902A0"/>
    <w:rsid w:val="0039046D"/>
    <w:rsid w:val="00396995"/>
    <w:rsid w:val="00396B27"/>
    <w:rsid w:val="003A0916"/>
    <w:rsid w:val="003A0EF4"/>
    <w:rsid w:val="003A25DF"/>
    <w:rsid w:val="003A45BF"/>
    <w:rsid w:val="003A4AE3"/>
    <w:rsid w:val="003A7460"/>
    <w:rsid w:val="003A76DF"/>
    <w:rsid w:val="003B6895"/>
    <w:rsid w:val="003C3DD4"/>
    <w:rsid w:val="003C5CCD"/>
    <w:rsid w:val="003C64F3"/>
    <w:rsid w:val="003D022D"/>
    <w:rsid w:val="003D0373"/>
    <w:rsid w:val="003D25D2"/>
    <w:rsid w:val="003D27C4"/>
    <w:rsid w:val="003D5DAD"/>
    <w:rsid w:val="003E0C28"/>
    <w:rsid w:val="003E2CE9"/>
    <w:rsid w:val="003E78C9"/>
    <w:rsid w:val="003E798D"/>
    <w:rsid w:val="003F2947"/>
    <w:rsid w:val="00400E59"/>
    <w:rsid w:val="00401ADC"/>
    <w:rsid w:val="004026D7"/>
    <w:rsid w:val="0040459E"/>
    <w:rsid w:val="004107AA"/>
    <w:rsid w:val="004122BE"/>
    <w:rsid w:val="00413EB0"/>
    <w:rsid w:val="00421751"/>
    <w:rsid w:val="0043582C"/>
    <w:rsid w:val="00436B9D"/>
    <w:rsid w:val="00437A51"/>
    <w:rsid w:val="00437CE0"/>
    <w:rsid w:val="00437F29"/>
    <w:rsid w:val="004404A0"/>
    <w:rsid w:val="00440795"/>
    <w:rsid w:val="004418B8"/>
    <w:rsid w:val="00444D2D"/>
    <w:rsid w:val="004455EC"/>
    <w:rsid w:val="00455819"/>
    <w:rsid w:val="00455FB3"/>
    <w:rsid w:val="00465DB8"/>
    <w:rsid w:val="00466C61"/>
    <w:rsid w:val="0047001E"/>
    <w:rsid w:val="0047490A"/>
    <w:rsid w:val="00476757"/>
    <w:rsid w:val="0047754E"/>
    <w:rsid w:val="004815B1"/>
    <w:rsid w:val="00484B71"/>
    <w:rsid w:val="00486695"/>
    <w:rsid w:val="004875AB"/>
    <w:rsid w:val="00487EDB"/>
    <w:rsid w:val="00491E5C"/>
    <w:rsid w:val="004A2A6A"/>
    <w:rsid w:val="004A5B01"/>
    <w:rsid w:val="004A5FFB"/>
    <w:rsid w:val="004A7250"/>
    <w:rsid w:val="004B0117"/>
    <w:rsid w:val="004B2AD2"/>
    <w:rsid w:val="004B3AD2"/>
    <w:rsid w:val="004B3FB8"/>
    <w:rsid w:val="004B512C"/>
    <w:rsid w:val="004B5706"/>
    <w:rsid w:val="004B7D5E"/>
    <w:rsid w:val="004C37BE"/>
    <w:rsid w:val="004C55B0"/>
    <w:rsid w:val="004C7515"/>
    <w:rsid w:val="004C7C6A"/>
    <w:rsid w:val="004D5379"/>
    <w:rsid w:val="004E4347"/>
    <w:rsid w:val="004E4468"/>
    <w:rsid w:val="004E6D1E"/>
    <w:rsid w:val="004E7B1A"/>
    <w:rsid w:val="004F0812"/>
    <w:rsid w:val="004F3400"/>
    <w:rsid w:val="004F430B"/>
    <w:rsid w:val="004F6ED6"/>
    <w:rsid w:val="004F72D2"/>
    <w:rsid w:val="004F7F7C"/>
    <w:rsid w:val="00503A88"/>
    <w:rsid w:val="00505897"/>
    <w:rsid w:val="00506DF8"/>
    <w:rsid w:val="0051072E"/>
    <w:rsid w:val="005108D4"/>
    <w:rsid w:val="005161D1"/>
    <w:rsid w:val="00520F96"/>
    <w:rsid w:val="00521322"/>
    <w:rsid w:val="00521831"/>
    <w:rsid w:val="00522417"/>
    <w:rsid w:val="00524B1A"/>
    <w:rsid w:val="00524B2C"/>
    <w:rsid w:val="00526713"/>
    <w:rsid w:val="00531065"/>
    <w:rsid w:val="005314A4"/>
    <w:rsid w:val="00533B58"/>
    <w:rsid w:val="00537BCE"/>
    <w:rsid w:val="00540AAC"/>
    <w:rsid w:val="005414BC"/>
    <w:rsid w:val="005423DF"/>
    <w:rsid w:val="0054380B"/>
    <w:rsid w:val="0054745E"/>
    <w:rsid w:val="005501EF"/>
    <w:rsid w:val="00556587"/>
    <w:rsid w:val="00556C0E"/>
    <w:rsid w:val="005612F4"/>
    <w:rsid w:val="00563E5C"/>
    <w:rsid w:val="00574148"/>
    <w:rsid w:val="005743C1"/>
    <w:rsid w:val="00577701"/>
    <w:rsid w:val="00577A74"/>
    <w:rsid w:val="0058244C"/>
    <w:rsid w:val="00582D50"/>
    <w:rsid w:val="005832D1"/>
    <w:rsid w:val="005865C7"/>
    <w:rsid w:val="00587FC5"/>
    <w:rsid w:val="0059484B"/>
    <w:rsid w:val="005A10CF"/>
    <w:rsid w:val="005A238D"/>
    <w:rsid w:val="005A3B9D"/>
    <w:rsid w:val="005A785C"/>
    <w:rsid w:val="005B02F5"/>
    <w:rsid w:val="005B27EC"/>
    <w:rsid w:val="005C0D32"/>
    <w:rsid w:val="005C4CE5"/>
    <w:rsid w:val="005C649B"/>
    <w:rsid w:val="005D33D8"/>
    <w:rsid w:val="005D3837"/>
    <w:rsid w:val="005D49E4"/>
    <w:rsid w:val="005D5892"/>
    <w:rsid w:val="005D5A30"/>
    <w:rsid w:val="005D63C0"/>
    <w:rsid w:val="005E431F"/>
    <w:rsid w:val="005F2AE2"/>
    <w:rsid w:val="005F58DF"/>
    <w:rsid w:val="00600A33"/>
    <w:rsid w:val="0060387B"/>
    <w:rsid w:val="00603D22"/>
    <w:rsid w:val="006043B0"/>
    <w:rsid w:val="00604D5F"/>
    <w:rsid w:val="0061265C"/>
    <w:rsid w:val="00612752"/>
    <w:rsid w:val="006130B7"/>
    <w:rsid w:val="0062770D"/>
    <w:rsid w:val="00634A66"/>
    <w:rsid w:val="00635E20"/>
    <w:rsid w:val="006413AD"/>
    <w:rsid w:val="00647866"/>
    <w:rsid w:val="00651E88"/>
    <w:rsid w:val="00656854"/>
    <w:rsid w:val="00660E24"/>
    <w:rsid w:val="00667750"/>
    <w:rsid w:val="00670256"/>
    <w:rsid w:val="00682090"/>
    <w:rsid w:val="006901E0"/>
    <w:rsid w:val="00692DEA"/>
    <w:rsid w:val="0069440B"/>
    <w:rsid w:val="00697924"/>
    <w:rsid w:val="00697BB0"/>
    <w:rsid w:val="006A1072"/>
    <w:rsid w:val="006A4307"/>
    <w:rsid w:val="006A791B"/>
    <w:rsid w:val="006B120C"/>
    <w:rsid w:val="006B2F60"/>
    <w:rsid w:val="006B57E2"/>
    <w:rsid w:val="006B5ECC"/>
    <w:rsid w:val="006C0A60"/>
    <w:rsid w:val="006C160A"/>
    <w:rsid w:val="006C2AE0"/>
    <w:rsid w:val="006C5E50"/>
    <w:rsid w:val="006C6E5A"/>
    <w:rsid w:val="006C7AD8"/>
    <w:rsid w:val="006D0893"/>
    <w:rsid w:val="006D352E"/>
    <w:rsid w:val="006D4C1E"/>
    <w:rsid w:val="006D57C7"/>
    <w:rsid w:val="006E5E16"/>
    <w:rsid w:val="006F1E9F"/>
    <w:rsid w:val="006F2295"/>
    <w:rsid w:val="006F3B24"/>
    <w:rsid w:val="00701D4F"/>
    <w:rsid w:val="007047A2"/>
    <w:rsid w:val="00704D96"/>
    <w:rsid w:val="00706BC4"/>
    <w:rsid w:val="00707E46"/>
    <w:rsid w:val="00712095"/>
    <w:rsid w:val="00715DE1"/>
    <w:rsid w:val="00716430"/>
    <w:rsid w:val="00716DDC"/>
    <w:rsid w:val="00720160"/>
    <w:rsid w:val="00731448"/>
    <w:rsid w:val="0073286D"/>
    <w:rsid w:val="00732B09"/>
    <w:rsid w:val="0073488F"/>
    <w:rsid w:val="00734CBC"/>
    <w:rsid w:val="00742165"/>
    <w:rsid w:val="00746522"/>
    <w:rsid w:val="007478B5"/>
    <w:rsid w:val="007521F9"/>
    <w:rsid w:val="007537A6"/>
    <w:rsid w:val="007537E4"/>
    <w:rsid w:val="007548ED"/>
    <w:rsid w:val="00760E24"/>
    <w:rsid w:val="00761265"/>
    <w:rsid w:val="00763035"/>
    <w:rsid w:val="00763992"/>
    <w:rsid w:val="00764F6A"/>
    <w:rsid w:val="007650F7"/>
    <w:rsid w:val="00765230"/>
    <w:rsid w:val="00765A0C"/>
    <w:rsid w:val="00766E1D"/>
    <w:rsid w:val="00774B8A"/>
    <w:rsid w:val="00774C63"/>
    <w:rsid w:val="0078128D"/>
    <w:rsid w:val="007815F7"/>
    <w:rsid w:val="0078364E"/>
    <w:rsid w:val="007842D9"/>
    <w:rsid w:val="00784760"/>
    <w:rsid w:val="00786B07"/>
    <w:rsid w:val="007912A2"/>
    <w:rsid w:val="00792567"/>
    <w:rsid w:val="00794635"/>
    <w:rsid w:val="00794C9F"/>
    <w:rsid w:val="007A53A0"/>
    <w:rsid w:val="007A6CE5"/>
    <w:rsid w:val="007A6FC3"/>
    <w:rsid w:val="007A6FEE"/>
    <w:rsid w:val="007B0C81"/>
    <w:rsid w:val="007B28E6"/>
    <w:rsid w:val="007B2C94"/>
    <w:rsid w:val="007B4D40"/>
    <w:rsid w:val="007B5481"/>
    <w:rsid w:val="007B5829"/>
    <w:rsid w:val="007B5EF2"/>
    <w:rsid w:val="007B6777"/>
    <w:rsid w:val="007C63A9"/>
    <w:rsid w:val="007D13BE"/>
    <w:rsid w:val="007D3748"/>
    <w:rsid w:val="007D3C95"/>
    <w:rsid w:val="007D55E2"/>
    <w:rsid w:val="007D787C"/>
    <w:rsid w:val="007E6B1E"/>
    <w:rsid w:val="007F20EC"/>
    <w:rsid w:val="007F3100"/>
    <w:rsid w:val="007F3658"/>
    <w:rsid w:val="0080071F"/>
    <w:rsid w:val="00800B57"/>
    <w:rsid w:val="0080371D"/>
    <w:rsid w:val="0080393B"/>
    <w:rsid w:val="0080451D"/>
    <w:rsid w:val="00804AD8"/>
    <w:rsid w:val="00811C23"/>
    <w:rsid w:val="00811F10"/>
    <w:rsid w:val="0081328A"/>
    <w:rsid w:val="00816431"/>
    <w:rsid w:val="00816995"/>
    <w:rsid w:val="00817DE6"/>
    <w:rsid w:val="008209EC"/>
    <w:rsid w:val="00821D3D"/>
    <w:rsid w:val="00822988"/>
    <w:rsid w:val="00825B74"/>
    <w:rsid w:val="008277BB"/>
    <w:rsid w:val="00830EE6"/>
    <w:rsid w:val="00831714"/>
    <w:rsid w:val="00831A8B"/>
    <w:rsid w:val="008341DF"/>
    <w:rsid w:val="008368B2"/>
    <w:rsid w:val="00836C4C"/>
    <w:rsid w:val="008379B3"/>
    <w:rsid w:val="00842EDB"/>
    <w:rsid w:val="00843ABC"/>
    <w:rsid w:val="00853281"/>
    <w:rsid w:val="00854007"/>
    <w:rsid w:val="008552FA"/>
    <w:rsid w:val="00855C7D"/>
    <w:rsid w:val="0085631D"/>
    <w:rsid w:val="0086059E"/>
    <w:rsid w:val="00861ACE"/>
    <w:rsid w:val="0086417E"/>
    <w:rsid w:val="008656E9"/>
    <w:rsid w:val="00867433"/>
    <w:rsid w:val="008709DA"/>
    <w:rsid w:val="00871CDF"/>
    <w:rsid w:val="008723A3"/>
    <w:rsid w:val="00874CCC"/>
    <w:rsid w:val="008750E9"/>
    <w:rsid w:val="0087550B"/>
    <w:rsid w:val="00881C58"/>
    <w:rsid w:val="008841A9"/>
    <w:rsid w:val="008900B3"/>
    <w:rsid w:val="0089227A"/>
    <w:rsid w:val="008925ED"/>
    <w:rsid w:val="00892AFC"/>
    <w:rsid w:val="008964A0"/>
    <w:rsid w:val="008A5D2D"/>
    <w:rsid w:val="008A6D89"/>
    <w:rsid w:val="008B5439"/>
    <w:rsid w:val="008C2F33"/>
    <w:rsid w:val="008D160E"/>
    <w:rsid w:val="008D1C6A"/>
    <w:rsid w:val="008D280E"/>
    <w:rsid w:val="008D32E3"/>
    <w:rsid w:val="008E1508"/>
    <w:rsid w:val="008E3BCA"/>
    <w:rsid w:val="008E3F75"/>
    <w:rsid w:val="008E61B1"/>
    <w:rsid w:val="008F2C23"/>
    <w:rsid w:val="008F3680"/>
    <w:rsid w:val="008F6432"/>
    <w:rsid w:val="0090240F"/>
    <w:rsid w:val="00905443"/>
    <w:rsid w:val="00910340"/>
    <w:rsid w:val="009156AA"/>
    <w:rsid w:val="00915CFC"/>
    <w:rsid w:val="00917986"/>
    <w:rsid w:val="00921757"/>
    <w:rsid w:val="00922084"/>
    <w:rsid w:val="009223E0"/>
    <w:rsid w:val="00924FCB"/>
    <w:rsid w:val="00925D8D"/>
    <w:rsid w:val="00926116"/>
    <w:rsid w:val="009273C8"/>
    <w:rsid w:val="0093017A"/>
    <w:rsid w:val="00933148"/>
    <w:rsid w:val="00946B97"/>
    <w:rsid w:val="00947189"/>
    <w:rsid w:val="009472C0"/>
    <w:rsid w:val="00947B12"/>
    <w:rsid w:val="00951B8C"/>
    <w:rsid w:val="009521B2"/>
    <w:rsid w:val="00953AEB"/>
    <w:rsid w:val="00956D7B"/>
    <w:rsid w:val="00960B26"/>
    <w:rsid w:val="0096201F"/>
    <w:rsid w:val="0096317C"/>
    <w:rsid w:val="009676B8"/>
    <w:rsid w:val="00967752"/>
    <w:rsid w:val="0097048C"/>
    <w:rsid w:val="00974800"/>
    <w:rsid w:val="00977A7F"/>
    <w:rsid w:val="00981489"/>
    <w:rsid w:val="00981F7E"/>
    <w:rsid w:val="0098639B"/>
    <w:rsid w:val="00986AC1"/>
    <w:rsid w:val="00991AA2"/>
    <w:rsid w:val="00992150"/>
    <w:rsid w:val="0099557D"/>
    <w:rsid w:val="00995DC3"/>
    <w:rsid w:val="00997752"/>
    <w:rsid w:val="009A64D6"/>
    <w:rsid w:val="009B15F5"/>
    <w:rsid w:val="009B2358"/>
    <w:rsid w:val="009B3A79"/>
    <w:rsid w:val="009B555B"/>
    <w:rsid w:val="009B5EFE"/>
    <w:rsid w:val="009C150C"/>
    <w:rsid w:val="009C5292"/>
    <w:rsid w:val="009C5962"/>
    <w:rsid w:val="009D1305"/>
    <w:rsid w:val="009D3DDD"/>
    <w:rsid w:val="009D51A8"/>
    <w:rsid w:val="009D59D9"/>
    <w:rsid w:val="009D6EE0"/>
    <w:rsid w:val="009D6F36"/>
    <w:rsid w:val="009D72B4"/>
    <w:rsid w:val="009E1225"/>
    <w:rsid w:val="009E648B"/>
    <w:rsid w:val="009E6937"/>
    <w:rsid w:val="009E78B8"/>
    <w:rsid w:val="009F1265"/>
    <w:rsid w:val="009F21B5"/>
    <w:rsid w:val="009F3CE2"/>
    <w:rsid w:val="009F6A58"/>
    <w:rsid w:val="009F7636"/>
    <w:rsid w:val="00A00929"/>
    <w:rsid w:val="00A047E4"/>
    <w:rsid w:val="00A051FC"/>
    <w:rsid w:val="00A159B8"/>
    <w:rsid w:val="00A15A4D"/>
    <w:rsid w:val="00A15F20"/>
    <w:rsid w:val="00A169C6"/>
    <w:rsid w:val="00A17A97"/>
    <w:rsid w:val="00A21BBD"/>
    <w:rsid w:val="00A271BA"/>
    <w:rsid w:val="00A2753C"/>
    <w:rsid w:val="00A27565"/>
    <w:rsid w:val="00A46C9B"/>
    <w:rsid w:val="00A5019F"/>
    <w:rsid w:val="00A502F1"/>
    <w:rsid w:val="00A5044E"/>
    <w:rsid w:val="00A52F5F"/>
    <w:rsid w:val="00A53E9D"/>
    <w:rsid w:val="00A54BFE"/>
    <w:rsid w:val="00A56E0B"/>
    <w:rsid w:val="00A60BA5"/>
    <w:rsid w:val="00A61894"/>
    <w:rsid w:val="00A62F7B"/>
    <w:rsid w:val="00A64EE9"/>
    <w:rsid w:val="00A67D22"/>
    <w:rsid w:val="00A7004D"/>
    <w:rsid w:val="00A71410"/>
    <w:rsid w:val="00A7264E"/>
    <w:rsid w:val="00A74148"/>
    <w:rsid w:val="00A750CE"/>
    <w:rsid w:val="00A81FB6"/>
    <w:rsid w:val="00A87162"/>
    <w:rsid w:val="00A87FB6"/>
    <w:rsid w:val="00A93620"/>
    <w:rsid w:val="00A958FF"/>
    <w:rsid w:val="00A97C2E"/>
    <w:rsid w:val="00AA1E5F"/>
    <w:rsid w:val="00AA2E85"/>
    <w:rsid w:val="00AA339D"/>
    <w:rsid w:val="00AA60E0"/>
    <w:rsid w:val="00AA6810"/>
    <w:rsid w:val="00AB048E"/>
    <w:rsid w:val="00AB1943"/>
    <w:rsid w:val="00AB2524"/>
    <w:rsid w:val="00AB403F"/>
    <w:rsid w:val="00AB493F"/>
    <w:rsid w:val="00AB5291"/>
    <w:rsid w:val="00AB671B"/>
    <w:rsid w:val="00AC00A5"/>
    <w:rsid w:val="00AC3C13"/>
    <w:rsid w:val="00AC44C3"/>
    <w:rsid w:val="00AC6747"/>
    <w:rsid w:val="00AD0BA8"/>
    <w:rsid w:val="00AD0F76"/>
    <w:rsid w:val="00AD382A"/>
    <w:rsid w:val="00AD4FE1"/>
    <w:rsid w:val="00AD5C38"/>
    <w:rsid w:val="00AD5C9B"/>
    <w:rsid w:val="00AD7196"/>
    <w:rsid w:val="00AE0533"/>
    <w:rsid w:val="00AE2A0F"/>
    <w:rsid w:val="00AE2FB2"/>
    <w:rsid w:val="00AE44D8"/>
    <w:rsid w:val="00AE4A0B"/>
    <w:rsid w:val="00AE56CC"/>
    <w:rsid w:val="00AE6187"/>
    <w:rsid w:val="00AF0C81"/>
    <w:rsid w:val="00AF0D89"/>
    <w:rsid w:val="00AF3D85"/>
    <w:rsid w:val="00AF7326"/>
    <w:rsid w:val="00B01136"/>
    <w:rsid w:val="00B03940"/>
    <w:rsid w:val="00B03AC7"/>
    <w:rsid w:val="00B07685"/>
    <w:rsid w:val="00B07D55"/>
    <w:rsid w:val="00B10F8D"/>
    <w:rsid w:val="00B11F3E"/>
    <w:rsid w:val="00B1277B"/>
    <w:rsid w:val="00B16953"/>
    <w:rsid w:val="00B2267F"/>
    <w:rsid w:val="00B24296"/>
    <w:rsid w:val="00B24CF7"/>
    <w:rsid w:val="00B27318"/>
    <w:rsid w:val="00B27CB9"/>
    <w:rsid w:val="00B3134A"/>
    <w:rsid w:val="00B32C86"/>
    <w:rsid w:val="00B344B5"/>
    <w:rsid w:val="00B404A6"/>
    <w:rsid w:val="00B429BD"/>
    <w:rsid w:val="00B43FA0"/>
    <w:rsid w:val="00B501A0"/>
    <w:rsid w:val="00B54F38"/>
    <w:rsid w:val="00B55C61"/>
    <w:rsid w:val="00B6008F"/>
    <w:rsid w:val="00B63007"/>
    <w:rsid w:val="00B70B13"/>
    <w:rsid w:val="00B7518C"/>
    <w:rsid w:val="00B764BC"/>
    <w:rsid w:val="00B771DE"/>
    <w:rsid w:val="00B77465"/>
    <w:rsid w:val="00B80D34"/>
    <w:rsid w:val="00B81BE0"/>
    <w:rsid w:val="00B828DE"/>
    <w:rsid w:val="00B84F47"/>
    <w:rsid w:val="00B85FC8"/>
    <w:rsid w:val="00B87FB2"/>
    <w:rsid w:val="00B96C4E"/>
    <w:rsid w:val="00BA252F"/>
    <w:rsid w:val="00BA5D49"/>
    <w:rsid w:val="00BA60FC"/>
    <w:rsid w:val="00BB12F3"/>
    <w:rsid w:val="00BB3B26"/>
    <w:rsid w:val="00BB4E23"/>
    <w:rsid w:val="00BC0EA3"/>
    <w:rsid w:val="00BC12EE"/>
    <w:rsid w:val="00BC14DA"/>
    <w:rsid w:val="00BC7043"/>
    <w:rsid w:val="00BC7813"/>
    <w:rsid w:val="00BD1D3D"/>
    <w:rsid w:val="00BD2E0B"/>
    <w:rsid w:val="00BD392C"/>
    <w:rsid w:val="00BD6682"/>
    <w:rsid w:val="00BE0D26"/>
    <w:rsid w:val="00BE1AD6"/>
    <w:rsid w:val="00BE3549"/>
    <w:rsid w:val="00BE724E"/>
    <w:rsid w:val="00BF2705"/>
    <w:rsid w:val="00BF2B93"/>
    <w:rsid w:val="00BF50B7"/>
    <w:rsid w:val="00BF5B8B"/>
    <w:rsid w:val="00C01ABA"/>
    <w:rsid w:val="00C043C6"/>
    <w:rsid w:val="00C0555C"/>
    <w:rsid w:val="00C06C58"/>
    <w:rsid w:val="00C111CA"/>
    <w:rsid w:val="00C135E6"/>
    <w:rsid w:val="00C20ED3"/>
    <w:rsid w:val="00C22629"/>
    <w:rsid w:val="00C23638"/>
    <w:rsid w:val="00C23A47"/>
    <w:rsid w:val="00C23E1F"/>
    <w:rsid w:val="00C242A4"/>
    <w:rsid w:val="00C26199"/>
    <w:rsid w:val="00C27611"/>
    <w:rsid w:val="00C30AFC"/>
    <w:rsid w:val="00C329D4"/>
    <w:rsid w:val="00C40199"/>
    <w:rsid w:val="00C43721"/>
    <w:rsid w:val="00C45401"/>
    <w:rsid w:val="00C456C3"/>
    <w:rsid w:val="00C50CAC"/>
    <w:rsid w:val="00C53104"/>
    <w:rsid w:val="00C56B19"/>
    <w:rsid w:val="00C60CF4"/>
    <w:rsid w:val="00C64115"/>
    <w:rsid w:val="00C643A2"/>
    <w:rsid w:val="00C701AA"/>
    <w:rsid w:val="00C73D81"/>
    <w:rsid w:val="00C74D70"/>
    <w:rsid w:val="00C7772A"/>
    <w:rsid w:val="00C81566"/>
    <w:rsid w:val="00C84044"/>
    <w:rsid w:val="00C85A29"/>
    <w:rsid w:val="00C85E39"/>
    <w:rsid w:val="00C87EA7"/>
    <w:rsid w:val="00C9014B"/>
    <w:rsid w:val="00C906B5"/>
    <w:rsid w:val="00C9112F"/>
    <w:rsid w:val="00C951FE"/>
    <w:rsid w:val="00CA66E1"/>
    <w:rsid w:val="00CB1A4A"/>
    <w:rsid w:val="00CB1C7D"/>
    <w:rsid w:val="00CB364C"/>
    <w:rsid w:val="00CB453A"/>
    <w:rsid w:val="00CB4786"/>
    <w:rsid w:val="00CC1242"/>
    <w:rsid w:val="00CC4D4C"/>
    <w:rsid w:val="00CC5F59"/>
    <w:rsid w:val="00CC62DD"/>
    <w:rsid w:val="00CD340B"/>
    <w:rsid w:val="00CD63E8"/>
    <w:rsid w:val="00CD6431"/>
    <w:rsid w:val="00CD65F6"/>
    <w:rsid w:val="00CD6BD8"/>
    <w:rsid w:val="00CE1D9A"/>
    <w:rsid w:val="00CE3018"/>
    <w:rsid w:val="00CF3CBF"/>
    <w:rsid w:val="00CF406C"/>
    <w:rsid w:val="00CF48E1"/>
    <w:rsid w:val="00CF76C5"/>
    <w:rsid w:val="00D05709"/>
    <w:rsid w:val="00D07302"/>
    <w:rsid w:val="00D1394F"/>
    <w:rsid w:val="00D20AAB"/>
    <w:rsid w:val="00D238F7"/>
    <w:rsid w:val="00D247D6"/>
    <w:rsid w:val="00D25C66"/>
    <w:rsid w:val="00D35624"/>
    <w:rsid w:val="00D374C0"/>
    <w:rsid w:val="00D377A4"/>
    <w:rsid w:val="00D40C53"/>
    <w:rsid w:val="00D4278F"/>
    <w:rsid w:val="00D45D97"/>
    <w:rsid w:val="00D4708F"/>
    <w:rsid w:val="00D47C06"/>
    <w:rsid w:val="00D56193"/>
    <w:rsid w:val="00D60611"/>
    <w:rsid w:val="00D6098E"/>
    <w:rsid w:val="00D64C77"/>
    <w:rsid w:val="00D654A2"/>
    <w:rsid w:val="00D6587C"/>
    <w:rsid w:val="00D66B18"/>
    <w:rsid w:val="00D6704E"/>
    <w:rsid w:val="00D70DA2"/>
    <w:rsid w:val="00D710BC"/>
    <w:rsid w:val="00D7191C"/>
    <w:rsid w:val="00D73786"/>
    <w:rsid w:val="00D76FBC"/>
    <w:rsid w:val="00D77157"/>
    <w:rsid w:val="00D77806"/>
    <w:rsid w:val="00D77944"/>
    <w:rsid w:val="00D83D6C"/>
    <w:rsid w:val="00D84417"/>
    <w:rsid w:val="00D92B23"/>
    <w:rsid w:val="00D96A6E"/>
    <w:rsid w:val="00DA0134"/>
    <w:rsid w:val="00DA07DA"/>
    <w:rsid w:val="00DA4E65"/>
    <w:rsid w:val="00DA75C5"/>
    <w:rsid w:val="00DB1E9C"/>
    <w:rsid w:val="00DB209B"/>
    <w:rsid w:val="00DB27F9"/>
    <w:rsid w:val="00DB453F"/>
    <w:rsid w:val="00DB4AA3"/>
    <w:rsid w:val="00DB7E83"/>
    <w:rsid w:val="00DC1682"/>
    <w:rsid w:val="00DC1FF4"/>
    <w:rsid w:val="00DC2DE2"/>
    <w:rsid w:val="00DC456D"/>
    <w:rsid w:val="00DC4D17"/>
    <w:rsid w:val="00DC7685"/>
    <w:rsid w:val="00DD17C4"/>
    <w:rsid w:val="00DD240B"/>
    <w:rsid w:val="00DD2F48"/>
    <w:rsid w:val="00DD5E47"/>
    <w:rsid w:val="00DD696D"/>
    <w:rsid w:val="00DD6FFE"/>
    <w:rsid w:val="00DE2B98"/>
    <w:rsid w:val="00DE2C10"/>
    <w:rsid w:val="00DE3190"/>
    <w:rsid w:val="00DE4586"/>
    <w:rsid w:val="00DF0E3F"/>
    <w:rsid w:val="00DF23AD"/>
    <w:rsid w:val="00DF4E88"/>
    <w:rsid w:val="00E00DD4"/>
    <w:rsid w:val="00E01B98"/>
    <w:rsid w:val="00E02E9C"/>
    <w:rsid w:val="00E03254"/>
    <w:rsid w:val="00E03D77"/>
    <w:rsid w:val="00E069D8"/>
    <w:rsid w:val="00E133B7"/>
    <w:rsid w:val="00E13DC3"/>
    <w:rsid w:val="00E150D5"/>
    <w:rsid w:val="00E17568"/>
    <w:rsid w:val="00E2330A"/>
    <w:rsid w:val="00E23CA7"/>
    <w:rsid w:val="00E23CE9"/>
    <w:rsid w:val="00E268CC"/>
    <w:rsid w:val="00E27AAF"/>
    <w:rsid w:val="00E3072C"/>
    <w:rsid w:val="00E31DF0"/>
    <w:rsid w:val="00E35B77"/>
    <w:rsid w:val="00E35BFD"/>
    <w:rsid w:val="00E400AF"/>
    <w:rsid w:val="00E420AB"/>
    <w:rsid w:val="00E458FA"/>
    <w:rsid w:val="00E46CD8"/>
    <w:rsid w:val="00E5110B"/>
    <w:rsid w:val="00E52179"/>
    <w:rsid w:val="00E57795"/>
    <w:rsid w:val="00E61613"/>
    <w:rsid w:val="00E6542F"/>
    <w:rsid w:val="00E726C6"/>
    <w:rsid w:val="00E74B27"/>
    <w:rsid w:val="00E77659"/>
    <w:rsid w:val="00E8057C"/>
    <w:rsid w:val="00E8195D"/>
    <w:rsid w:val="00E83B25"/>
    <w:rsid w:val="00E85382"/>
    <w:rsid w:val="00E85AC0"/>
    <w:rsid w:val="00E86714"/>
    <w:rsid w:val="00E90192"/>
    <w:rsid w:val="00E90DE5"/>
    <w:rsid w:val="00E95489"/>
    <w:rsid w:val="00E96373"/>
    <w:rsid w:val="00E968AE"/>
    <w:rsid w:val="00EA36C8"/>
    <w:rsid w:val="00EA3E44"/>
    <w:rsid w:val="00EA5CB3"/>
    <w:rsid w:val="00EA6C1D"/>
    <w:rsid w:val="00EA787F"/>
    <w:rsid w:val="00EB28F4"/>
    <w:rsid w:val="00EB29E5"/>
    <w:rsid w:val="00EB3BFB"/>
    <w:rsid w:val="00EB640E"/>
    <w:rsid w:val="00EB657B"/>
    <w:rsid w:val="00EC1CB7"/>
    <w:rsid w:val="00EC33A8"/>
    <w:rsid w:val="00EC45B7"/>
    <w:rsid w:val="00EC4A1E"/>
    <w:rsid w:val="00EC4A7B"/>
    <w:rsid w:val="00EC5480"/>
    <w:rsid w:val="00EC6000"/>
    <w:rsid w:val="00ED235C"/>
    <w:rsid w:val="00ED2673"/>
    <w:rsid w:val="00ED33D4"/>
    <w:rsid w:val="00ED43A7"/>
    <w:rsid w:val="00ED4B34"/>
    <w:rsid w:val="00ED6226"/>
    <w:rsid w:val="00EE4E79"/>
    <w:rsid w:val="00EE544C"/>
    <w:rsid w:val="00EF1C1F"/>
    <w:rsid w:val="00F017B7"/>
    <w:rsid w:val="00F02E3C"/>
    <w:rsid w:val="00F064AF"/>
    <w:rsid w:val="00F06D3B"/>
    <w:rsid w:val="00F07139"/>
    <w:rsid w:val="00F0783B"/>
    <w:rsid w:val="00F12DD7"/>
    <w:rsid w:val="00F1568D"/>
    <w:rsid w:val="00F23993"/>
    <w:rsid w:val="00F26CF7"/>
    <w:rsid w:val="00F27A15"/>
    <w:rsid w:val="00F31384"/>
    <w:rsid w:val="00F31657"/>
    <w:rsid w:val="00F31679"/>
    <w:rsid w:val="00F325BE"/>
    <w:rsid w:val="00F32956"/>
    <w:rsid w:val="00F329D3"/>
    <w:rsid w:val="00F337A2"/>
    <w:rsid w:val="00F34D77"/>
    <w:rsid w:val="00F37DA8"/>
    <w:rsid w:val="00F430CB"/>
    <w:rsid w:val="00F47D41"/>
    <w:rsid w:val="00F51F5A"/>
    <w:rsid w:val="00F538AC"/>
    <w:rsid w:val="00F5582C"/>
    <w:rsid w:val="00F5690E"/>
    <w:rsid w:val="00F56F2F"/>
    <w:rsid w:val="00F622C8"/>
    <w:rsid w:val="00F66A23"/>
    <w:rsid w:val="00F66E41"/>
    <w:rsid w:val="00F7648D"/>
    <w:rsid w:val="00F77649"/>
    <w:rsid w:val="00F800E8"/>
    <w:rsid w:val="00F80C26"/>
    <w:rsid w:val="00F81057"/>
    <w:rsid w:val="00F82283"/>
    <w:rsid w:val="00F82CE7"/>
    <w:rsid w:val="00F82F54"/>
    <w:rsid w:val="00F83B65"/>
    <w:rsid w:val="00F85CEB"/>
    <w:rsid w:val="00F91076"/>
    <w:rsid w:val="00F9177F"/>
    <w:rsid w:val="00F92164"/>
    <w:rsid w:val="00F94343"/>
    <w:rsid w:val="00F966AD"/>
    <w:rsid w:val="00FA4363"/>
    <w:rsid w:val="00FA581F"/>
    <w:rsid w:val="00FA6245"/>
    <w:rsid w:val="00FA7A56"/>
    <w:rsid w:val="00FB04D1"/>
    <w:rsid w:val="00FB0DD3"/>
    <w:rsid w:val="00FB2639"/>
    <w:rsid w:val="00FB2FDC"/>
    <w:rsid w:val="00FB5021"/>
    <w:rsid w:val="00FC15E4"/>
    <w:rsid w:val="00FD5C46"/>
    <w:rsid w:val="00FE01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A51"/>
  </w:style>
  <w:style w:type="paragraph" w:styleId="Heading1">
    <w:name w:val="heading 1"/>
    <w:basedOn w:val="Normal"/>
    <w:next w:val="Normal"/>
    <w:link w:val="Heading1Char"/>
    <w:uiPriority w:val="9"/>
    <w:qFormat/>
    <w:rsid w:val="000968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8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0F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8AE"/>
    <w:pPr>
      <w:ind w:left="720"/>
      <w:contextualSpacing/>
    </w:pPr>
  </w:style>
  <w:style w:type="character" w:styleId="CommentReference">
    <w:name w:val="annotation reference"/>
    <w:basedOn w:val="DefaultParagraphFont"/>
    <w:uiPriority w:val="99"/>
    <w:semiHidden/>
    <w:unhideWhenUsed/>
    <w:rsid w:val="00223CDD"/>
    <w:rPr>
      <w:sz w:val="16"/>
      <w:szCs w:val="16"/>
    </w:rPr>
  </w:style>
  <w:style w:type="paragraph" w:styleId="CommentText">
    <w:name w:val="annotation text"/>
    <w:basedOn w:val="Normal"/>
    <w:link w:val="CommentTextChar"/>
    <w:uiPriority w:val="99"/>
    <w:semiHidden/>
    <w:unhideWhenUsed/>
    <w:rsid w:val="00223CDD"/>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223CDD"/>
    <w:rPr>
      <w:rFonts w:ascii="Times New Roman" w:hAnsi="Times New Roman"/>
      <w:sz w:val="20"/>
      <w:szCs w:val="20"/>
    </w:rPr>
  </w:style>
  <w:style w:type="paragraph" w:styleId="BalloonText">
    <w:name w:val="Balloon Text"/>
    <w:basedOn w:val="Normal"/>
    <w:link w:val="BalloonTextChar"/>
    <w:uiPriority w:val="99"/>
    <w:semiHidden/>
    <w:unhideWhenUsed/>
    <w:rsid w:val="00223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CDD"/>
    <w:rPr>
      <w:rFonts w:ascii="Tahoma" w:hAnsi="Tahoma" w:cs="Tahoma"/>
      <w:sz w:val="16"/>
      <w:szCs w:val="16"/>
    </w:rPr>
  </w:style>
  <w:style w:type="paragraph" w:customStyle="1" w:styleId="Default">
    <w:name w:val="Default"/>
    <w:rsid w:val="0080393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881C58"/>
    <w:rPr>
      <w:rFonts w:asciiTheme="minorHAnsi" w:hAnsiTheme="minorHAnsi"/>
      <w:color w:val="4F81BD" w:themeColor="accent1"/>
    </w:rPr>
  </w:style>
  <w:style w:type="paragraph" w:styleId="BodyText">
    <w:name w:val="Body Text"/>
    <w:basedOn w:val="Normal"/>
    <w:link w:val="BodyTextChar"/>
    <w:rsid w:val="0080393B"/>
    <w:pPr>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rsid w:val="0080393B"/>
    <w:rPr>
      <w:rFonts w:ascii="Times" w:eastAsia="Times" w:hAnsi="Times" w:cs="Times New Roman"/>
      <w:i/>
      <w:sz w:val="24"/>
      <w:szCs w:val="20"/>
    </w:rPr>
  </w:style>
  <w:style w:type="table" w:styleId="TableGrid">
    <w:name w:val="Table Grid"/>
    <w:basedOn w:val="TableNormal"/>
    <w:uiPriority w:val="59"/>
    <w:rsid w:val="00C05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682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96829"/>
    <w:pPr>
      <w:outlineLvl w:val="9"/>
    </w:pPr>
  </w:style>
  <w:style w:type="character" w:customStyle="1" w:styleId="Heading2Char">
    <w:name w:val="Heading 2 Char"/>
    <w:basedOn w:val="DefaultParagraphFont"/>
    <w:link w:val="Heading2"/>
    <w:uiPriority w:val="9"/>
    <w:rsid w:val="0009682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7754E"/>
    <w:pPr>
      <w:tabs>
        <w:tab w:val="right" w:leader="dot" w:pos="9360"/>
      </w:tabs>
      <w:spacing w:after="100"/>
      <w:ind w:left="220" w:right="1440"/>
    </w:pPr>
  </w:style>
  <w:style w:type="paragraph" w:styleId="TOC1">
    <w:name w:val="toc 1"/>
    <w:basedOn w:val="Normal"/>
    <w:next w:val="Normal"/>
    <w:autoRedefine/>
    <w:uiPriority w:val="39"/>
    <w:unhideWhenUsed/>
    <w:rsid w:val="0047754E"/>
    <w:pPr>
      <w:tabs>
        <w:tab w:val="right" w:leader="dot" w:pos="9360"/>
      </w:tabs>
      <w:spacing w:after="100"/>
      <w:ind w:right="1440"/>
    </w:pPr>
  </w:style>
  <w:style w:type="character" w:styleId="FollowedHyperlink">
    <w:name w:val="FollowedHyperlink"/>
    <w:basedOn w:val="DefaultParagraphFont"/>
    <w:uiPriority w:val="99"/>
    <w:semiHidden/>
    <w:unhideWhenUsed/>
    <w:rsid w:val="004026D7"/>
    <w:rPr>
      <w:color w:val="800080" w:themeColor="followedHyperlink"/>
      <w:u w:val="single"/>
    </w:rPr>
  </w:style>
  <w:style w:type="paragraph" w:styleId="NoSpacing">
    <w:name w:val="No Spacing"/>
    <w:link w:val="NoSpacingChar"/>
    <w:uiPriority w:val="1"/>
    <w:qFormat/>
    <w:rsid w:val="00D35624"/>
    <w:pPr>
      <w:spacing w:after="0" w:line="240" w:lineRule="auto"/>
    </w:pPr>
  </w:style>
  <w:style w:type="paragraph" w:styleId="CommentSubject">
    <w:name w:val="annotation subject"/>
    <w:basedOn w:val="CommentText"/>
    <w:next w:val="CommentText"/>
    <w:link w:val="CommentSubjectChar"/>
    <w:uiPriority w:val="99"/>
    <w:semiHidden/>
    <w:unhideWhenUsed/>
    <w:rsid w:val="00F66A23"/>
    <w:rPr>
      <w:rFonts w:asciiTheme="minorHAnsi" w:hAnsiTheme="minorHAnsi"/>
      <w:b/>
      <w:bCs/>
    </w:rPr>
  </w:style>
  <w:style w:type="character" w:customStyle="1" w:styleId="CommentSubjectChar">
    <w:name w:val="Comment Subject Char"/>
    <w:basedOn w:val="CommentTextChar"/>
    <w:link w:val="CommentSubject"/>
    <w:uiPriority w:val="99"/>
    <w:semiHidden/>
    <w:rsid w:val="00F66A23"/>
    <w:rPr>
      <w:rFonts w:ascii="Times New Roman" w:hAnsi="Times New Roman"/>
      <w:b/>
      <w:bCs/>
      <w:sz w:val="20"/>
      <w:szCs w:val="20"/>
    </w:rPr>
  </w:style>
  <w:style w:type="paragraph" w:styleId="NormalWeb">
    <w:name w:val="Normal (Web)"/>
    <w:basedOn w:val="Normal"/>
    <w:uiPriority w:val="99"/>
    <w:unhideWhenUsed/>
    <w:rsid w:val="00A54B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7B1A"/>
    <w:rPr>
      <w:b/>
      <w:bCs/>
    </w:rPr>
  </w:style>
  <w:style w:type="paragraph" w:styleId="Caption">
    <w:name w:val="caption"/>
    <w:basedOn w:val="Normal"/>
    <w:next w:val="Normal"/>
    <w:uiPriority w:val="35"/>
    <w:unhideWhenUsed/>
    <w:qFormat/>
    <w:rsid w:val="004E7B1A"/>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C641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4115"/>
  </w:style>
  <w:style w:type="paragraph" w:styleId="Footer">
    <w:name w:val="footer"/>
    <w:basedOn w:val="Normal"/>
    <w:link w:val="FooterChar"/>
    <w:uiPriority w:val="99"/>
    <w:unhideWhenUsed/>
    <w:rsid w:val="00C641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115"/>
  </w:style>
  <w:style w:type="character" w:customStyle="1" w:styleId="NoSpacingChar">
    <w:name w:val="No Spacing Char"/>
    <w:basedOn w:val="DefaultParagraphFont"/>
    <w:link w:val="NoSpacing"/>
    <w:uiPriority w:val="1"/>
    <w:rsid w:val="00AF3D85"/>
  </w:style>
  <w:style w:type="paragraph" w:styleId="DocumentMap">
    <w:name w:val="Document Map"/>
    <w:basedOn w:val="Normal"/>
    <w:link w:val="DocumentMapChar"/>
    <w:uiPriority w:val="99"/>
    <w:semiHidden/>
    <w:unhideWhenUsed/>
    <w:rsid w:val="00DC168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C1682"/>
    <w:rPr>
      <w:rFonts w:ascii="Tahoma" w:hAnsi="Tahoma" w:cs="Tahoma"/>
      <w:sz w:val="16"/>
      <w:szCs w:val="16"/>
    </w:rPr>
  </w:style>
  <w:style w:type="paragraph" w:styleId="Revision">
    <w:name w:val="Revision"/>
    <w:hidden/>
    <w:uiPriority w:val="99"/>
    <w:semiHidden/>
    <w:rsid w:val="00DC1682"/>
    <w:pPr>
      <w:spacing w:after="0" w:line="240" w:lineRule="auto"/>
    </w:pPr>
  </w:style>
  <w:style w:type="paragraph" w:styleId="FootnoteText">
    <w:name w:val="footnote text"/>
    <w:basedOn w:val="Normal"/>
    <w:link w:val="FootnoteTextChar"/>
    <w:uiPriority w:val="99"/>
    <w:semiHidden/>
    <w:unhideWhenUsed/>
    <w:rsid w:val="00892AFC"/>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892AFC"/>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892AFC"/>
    <w:rPr>
      <w:vertAlign w:val="superscript"/>
    </w:rPr>
  </w:style>
  <w:style w:type="paragraph" w:styleId="PlainText">
    <w:name w:val="Plain Text"/>
    <w:basedOn w:val="Normal"/>
    <w:link w:val="PlainTextChar"/>
    <w:uiPriority w:val="99"/>
    <w:unhideWhenUsed/>
    <w:rsid w:val="00892AFC"/>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892AFC"/>
    <w:rPr>
      <w:rFonts w:ascii="Consolas" w:eastAsia="Calibri" w:hAnsi="Consolas" w:cs="Times New Roman"/>
      <w:sz w:val="21"/>
      <w:szCs w:val="21"/>
    </w:rPr>
  </w:style>
  <w:style w:type="paragraph" w:customStyle="1" w:styleId="ParagraphNumbered">
    <w:name w:val="Paragraph Numbered"/>
    <w:basedOn w:val="ListParagraph"/>
    <w:link w:val="ParagraphNumberedChar"/>
    <w:qFormat/>
    <w:rsid w:val="005B27EC"/>
    <w:pPr>
      <w:numPr>
        <w:numId w:val="13"/>
      </w:numPr>
      <w:spacing w:before="60" w:after="0" w:line="240" w:lineRule="auto"/>
      <w:ind w:left="432" w:hanging="288"/>
      <w:contextualSpacing w:val="0"/>
    </w:pPr>
    <w:rPr>
      <w:rFonts w:ascii="Calibri" w:eastAsia="Times New Roman" w:hAnsi="Calibri" w:cs="Times New Roman"/>
      <w:sz w:val="16"/>
      <w:szCs w:val="16"/>
    </w:rPr>
  </w:style>
  <w:style w:type="character" w:customStyle="1" w:styleId="ParagraphNumberedChar">
    <w:name w:val="Paragraph Numbered Char"/>
    <w:link w:val="ParagraphNumbered"/>
    <w:locked/>
    <w:rsid w:val="005B27EC"/>
    <w:rPr>
      <w:rFonts w:ascii="Calibri" w:eastAsia="Times New Roman" w:hAnsi="Calibri" w:cs="Times New Roman"/>
      <w:sz w:val="16"/>
      <w:szCs w:val="16"/>
    </w:rPr>
  </w:style>
  <w:style w:type="character" w:customStyle="1" w:styleId="apple-converted-space">
    <w:name w:val="apple-converted-space"/>
    <w:basedOn w:val="DefaultParagraphFont"/>
    <w:rsid w:val="000559AE"/>
  </w:style>
  <w:style w:type="character" w:customStyle="1" w:styleId="Heading3Char">
    <w:name w:val="Heading 3 Char"/>
    <w:basedOn w:val="DefaultParagraphFont"/>
    <w:link w:val="Heading3"/>
    <w:uiPriority w:val="9"/>
    <w:rsid w:val="00B10F8D"/>
    <w:rPr>
      <w:rFonts w:asciiTheme="majorHAnsi" w:eastAsiaTheme="majorEastAsia" w:hAnsiTheme="majorHAnsi" w:cstheme="majorBidi"/>
      <w:b/>
      <w:bCs/>
      <w:color w:val="4F81BD" w:themeColor="accent1"/>
    </w:rPr>
  </w:style>
  <w:style w:type="table" w:customStyle="1" w:styleId="LightShading1">
    <w:name w:val="Light Shading1"/>
    <w:basedOn w:val="TableNormal"/>
    <w:uiPriority w:val="60"/>
    <w:rsid w:val="009676B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0602494">
      <w:bodyDiv w:val="1"/>
      <w:marLeft w:val="0"/>
      <w:marRight w:val="0"/>
      <w:marTop w:val="0"/>
      <w:marBottom w:val="0"/>
      <w:divBdr>
        <w:top w:val="none" w:sz="0" w:space="0" w:color="auto"/>
        <w:left w:val="none" w:sz="0" w:space="0" w:color="auto"/>
        <w:bottom w:val="none" w:sz="0" w:space="0" w:color="auto"/>
        <w:right w:val="none" w:sz="0" w:space="0" w:color="auto"/>
      </w:divBdr>
    </w:div>
    <w:div w:id="300497333">
      <w:bodyDiv w:val="1"/>
      <w:marLeft w:val="0"/>
      <w:marRight w:val="0"/>
      <w:marTop w:val="0"/>
      <w:marBottom w:val="0"/>
      <w:divBdr>
        <w:top w:val="none" w:sz="0" w:space="0" w:color="auto"/>
        <w:left w:val="none" w:sz="0" w:space="0" w:color="auto"/>
        <w:bottom w:val="none" w:sz="0" w:space="0" w:color="auto"/>
        <w:right w:val="none" w:sz="0" w:space="0" w:color="auto"/>
      </w:divBdr>
    </w:div>
    <w:div w:id="332609253">
      <w:bodyDiv w:val="1"/>
      <w:marLeft w:val="0"/>
      <w:marRight w:val="0"/>
      <w:marTop w:val="0"/>
      <w:marBottom w:val="0"/>
      <w:divBdr>
        <w:top w:val="none" w:sz="0" w:space="0" w:color="auto"/>
        <w:left w:val="none" w:sz="0" w:space="0" w:color="auto"/>
        <w:bottom w:val="none" w:sz="0" w:space="0" w:color="auto"/>
        <w:right w:val="none" w:sz="0" w:space="0" w:color="auto"/>
      </w:divBdr>
      <w:divsChild>
        <w:div w:id="1243560110">
          <w:marLeft w:val="0"/>
          <w:marRight w:val="0"/>
          <w:marTop w:val="0"/>
          <w:marBottom w:val="0"/>
          <w:divBdr>
            <w:top w:val="none" w:sz="0" w:space="0" w:color="auto"/>
            <w:left w:val="none" w:sz="0" w:space="0" w:color="auto"/>
            <w:bottom w:val="none" w:sz="0" w:space="0" w:color="auto"/>
            <w:right w:val="none" w:sz="0" w:space="0" w:color="auto"/>
          </w:divBdr>
        </w:div>
      </w:divsChild>
    </w:div>
    <w:div w:id="376467160">
      <w:bodyDiv w:val="1"/>
      <w:marLeft w:val="0"/>
      <w:marRight w:val="0"/>
      <w:marTop w:val="0"/>
      <w:marBottom w:val="0"/>
      <w:divBdr>
        <w:top w:val="none" w:sz="0" w:space="0" w:color="auto"/>
        <w:left w:val="none" w:sz="0" w:space="0" w:color="auto"/>
        <w:bottom w:val="none" w:sz="0" w:space="0" w:color="auto"/>
        <w:right w:val="none" w:sz="0" w:space="0" w:color="auto"/>
      </w:divBdr>
      <w:divsChild>
        <w:div w:id="2132744861">
          <w:marLeft w:val="0"/>
          <w:marRight w:val="0"/>
          <w:marTop w:val="0"/>
          <w:marBottom w:val="0"/>
          <w:divBdr>
            <w:top w:val="none" w:sz="0" w:space="0" w:color="auto"/>
            <w:left w:val="none" w:sz="0" w:space="0" w:color="auto"/>
            <w:bottom w:val="none" w:sz="0" w:space="0" w:color="auto"/>
            <w:right w:val="none" w:sz="0" w:space="0" w:color="auto"/>
          </w:divBdr>
          <w:divsChild>
            <w:div w:id="1064109630">
              <w:marLeft w:val="0"/>
              <w:marRight w:val="0"/>
              <w:marTop w:val="0"/>
              <w:marBottom w:val="0"/>
              <w:divBdr>
                <w:top w:val="none" w:sz="0" w:space="0" w:color="auto"/>
                <w:left w:val="none" w:sz="0" w:space="0" w:color="auto"/>
                <w:bottom w:val="none" w:sz="0" w:space="0" w:color="auto"/>
                <w:right w:val="none" w:sz="0" w:space="0" w:color="auto"/>
              </w:divBdr>
              <w:divsChild>
                <w:div w:id="361244883">
                  <w:marLeft w:val="0"/>
                  <w:marRight w:val="0"/>
                  <w:marTop w:val="0"/>
                  <w:marBottom w:val="0"/>
                  <w:divBdr>
                    <w:top w:val="none" w:sz="0" w:space="0" w:color="auto"/>
                    <w:left w:val="none" w:sz="0" w:space="0" w:color="auto"/>
                    <w:bottom w:val="none" w:sz="0" w:space="0" w:color="auto"/>
                    <w:right w:val="none" w:sz="0" w:space="0" w:color="auto"/>
                  </w:divBdr>
                  <w:divsChild>
                    <w:div w:id="802582750">
                      <w:marLeft w:val="0"/>
                      <w:marRight w:val="0"/>
                      <w:marTop w:val="0"/>
                      <w:marBottom w:val="0"/>
                      <w:divBdr>
                        <w:top w:val="none" w:sz="0" w:space="0" w:color="auto"/>
                        <w:left w:val="single" w:sz="4" w:space="6" w:color="EDEDED"/>
                        <w:bottom w:val="none" w:sz="0" w:space="0" w:color="auto"/>
                        <w:right w:val="none" w:sz="0" w:space="0" w:color="auto"/>
                      </w:divBdr>
                      <w:divsChild>
                        <w:div w:id="1896627152">
                          <w:marLeft w:val="0"/>
                          <w:marRight w:val="0"/>
                          <w:marTop w:val="0"/>
                          <w:marBottom w:val="0"/>
                          <w:divBdr>
                            <w:top w:val="dotted" w:sz="2" w:space="0" w:color="B2B2B2"/>
                            <w:left w:val="dotted" w:sz="4" w:space="6" w:color="B2B2B2"/>
                            <w:bottom w:val="dotted" w:sz="2" w:space="0" w:color="B2B2B2"/>
                            <w:right w:val="dotted" w:sz="4" w:space="6" w:color="B2B2B2"/>
                          </w:divBdr>
                          <w:divsChild>
                            <w:div w:id="1241596208">
                              <w:marLeft w:val="0"/>
                              <w:marRight w:val="0"/>
                              <w:marTop w:val="0"/>
                              <w:marBottom w:val="0"/>
                              <w:divBdr>
                                <w:top w:val="none" w:sz="0" w:space="0" w:color="auto"/>
                                <w:left w:val="none" w:sz="0" w:space="0" w:color="auto"/>
                                <w:bottom w:val="none" w:sz="0" w:space="0" w:color="auto"/>
                                <w:right w:val="none" w:sz="0" w:space="0" w:color="auto"/>
                              </w:divBdr>
                              <w:divsChild>
                                <w:div w:id="229508065">
                                  <w:marLeft w:val="0"/>
                                  <w:marRight w:val="0"/>
                                  <w:marTop w:val="0"/>
                                  <w:marBottom w:val="0"/>
                                  <w:divBdr>
                                    <w:top w:val="none" w:sz="0" w:space="0" w:color="auto"/>
                                    <w:left w:val="none" w:sz="0" w:space="0" w:color="auto"/>
                                    <w:bottom w:val="none" w:sz="0" w:space="0" w:color="auto"/>
                                    <w:right w:val="none" w:sz="0" w:space="0" w:color="auto"/>
                                  </w:divBdr>
                                  <w:divsChild>
                                    <w:div w:id="1187448619">
                                      <w:marLeft w:val="0"/>
                                      <w:marRight w:val="0"/>
                                      <w:marTop w:val="0"/>
                                      <w:marBottom w:val="0"/>
                                      <w:divBdr>
                                        <w:top w:val="none" w:sz="0" w:space="0" w:color="auto"/>
                                        <w:left w:val="none" w:sz="0" w:space="0" w:color="auto"/>
                                        <w:bottom w:val="none" w:sz="0" w:space="0" w:color="auto"/>
                                        <w:right w:val="none" w:sz="0" w:space="0" w:color="auto"/>
                                      </w:divBdr>
                                      <w:divsChild>
                                        <w:div w:id="1892691426">
                                          <w:marLeft w:val="0"/>
                                          <w:marRight w:val="0"/>
                                          <w:marTop w:val="0"/>
                                          <w:marBottom w:val="0"/>
                                          <w:divBdr>
                                            <w:top w:val="none" w:sz="0" w:space="0" w:color="auto"/>
                                            <w:left w:val="none" w:sz="0" w:space="0" w:color="auto"/>
                                            <w:bottom w:val="none" w:sz="0" w:space="0" w:color="auto"/>
                                            <w:right w:val="none" w:sz="0" w:space="0" w:color="auto"/>
                                          </w:divBdr>
                                          <w:divsChild>
                                            <w:div w:id="1068653157">
                                              <w:marLeft w:val="0"/>
                                              <w:marRight w:val="0"/>
                                              <w:marTop w:val="0"/>
                                              <w:marBottom w:val="0"/>
                                              <w:divBdr>
                                                <w:top w:val="none" w:sz="0" w:space="0" w:color="auto"/>
                                                <w:left w:val="none" w:sz="0" w:space="0" w:color="auto"/>
                                                <w:bottom w:val="none" w:sz="0" w:space="0" w:color="auto"/>
                                                <w:right w:val="none" w:sz="0" w:space="0" w:color="auto"/>
                                              </w:divBdr>
                                              <w:divsChild>
                                                <w:div w:id="929699586">
                                                  <w:marLeft w:val="0"/>
                                                  <w:marRight w:val="0"/>
                                                  <w:marTop w:val="0"/>
                                                  <w:marBottom w:val="0"/>
                                                  <w:divBdr>
                                                    <w:top w:val="none" w:sz="0" w:space="0" w:color="auto"/>
                                                    <w:left w:val="none" w:sz="0" w:space="0" w:color="auto"/>
                                                    <w:bottom w:val="none" w:sz="0" w:space="0" w:color="auto"/>
                                                    <w:right w:val="none" w:sz="0" w:space="0" w:color="auto"/>
                                                  </w:divBdr>
                                                  <w:divsChild>
                                                    <w:div w:id="2062945259">
                                                      <w:marLeft w:val="0"/>
                                                      <w:marRight w:val="0"/>
                                                      <w:marTop w:val="0"/>
                                                      <w:marBottom w:val="0"/>
                                                      <w:divBdr>
                                                        <w:top w:val="none" w:sz="0" w:space="0" w:color="auto"/>
                                                        <w:left w:val="none" w:sz="0" w:space="0" w:color="auto"/>
                                                        <w:bottom w:val="none" w:sz="0" w:space="0" w:color="auto"/>
                                                        <w:right w:val="none" w:sz="0" w:space="0" w:color="auto"/>
                                                      </w:divBdr>
                                                      <w:divsChild>
                                                        <w:div w:id="678963936">
                                                          <w:marLeft w:val="0"/>
                                                          <w:marRight w:val="0"/>
                                                          <w:marTop w:val="0"/>
                                                          <w:marBottom w:val="0"/>
                                                          <w:divBdr>
                                                            <w:top w:val="none" w:sz="0" w:space="0" w:color="auto"/>
                                                            <w:left w:val="none" w:sz="0" w:space="0" w:color="auto"/>
                                                            <w:bottom w:val="none" w:sz="0" w:space="0" w:color="auto"/>
                                                            <w:right w:val="none" w:sz="0" w:space="0" w:color="auto"/>
                                                          </w:divBdr>
                                                          <w:divsChild>
                                                            <w:div w:id="1506238652">
                                                              <w:marLeft w:val="0"/>
                                                              <w:marRight w:val="0"/>
                                                              <w:marTop w:val="0"/>
                                                              <w:marBottom w:val="0"/>
                                                              <w:divBdr>
                                                                <w:top w:val="none" w:sz="0" w:space="0" w:color="auto"/>
                                                                <w:left w:val="none" w:sz="0" w:space="0" w:color="auto"/>
                                                                <w:bottom w:val="none" w:sz="0" w:space="0" w:color="auto"/>
                                                                <w:right w:val="none" w:sz="0" w:space="0" w:color="auto"/>
                                                              </w:divBdr>
                                                              <w:divsChild>
                                                                <w:div w:id="7979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41993292">
      <w:bodyDiv w:val="1"/>
      <w:marLeft w:val="0"/>
      <w:marRight w:val="0"/>
      <w:marTop w:val="0"/>
      <w:marBottom w:val="0"/>
      <w:divBdr>
        <w:top w:val="none" w:sz="0" w:space="0" w:color="auto"/>
        <w:left w:val="none" w:sz="0" w:space="0" w:color="auto"/>
        <w:bottom w:val="none" w:sz="0" w:space="0" w:color="auto"/>
        <w:right w:val="none" w:sz="0" w:space="0" w:color="auto"/>
      </w:divBdr>
      <w:divsChild>
        <w:div w:id="695427997">
          <w:marLeft w:val="0"/>
          <w:marRight w:val="0"/>
          <w:marTop w:val="0"/>
          <w:marBottom w:val="0"/>
          <w:divBdr>
            <w:top w:val="none" w:sz="0" w:space="0" w:color="auto"/>
            <w:left w:val="none" w:sz="0" w:space="0" w:color="auto"/>
            <w:bottom w:val="none" w:sz="0" w:space="0" w:color="auto"/>
            <w:right w:val="none" w:sz="0" w:space="0" w:color="auto"/>
          </w:divBdr>
          <w:divsChild>
            <w:div w:id="872883600">
              <w:marLeft w:val="0"/>
              <w:marRight w:val="0"/>
              <w:marTop w:val="100"/>
              <w:marBottom w:val="100"/>
              <w:divBdr>
                <w:top w:val="none" w:sz="0" w:space="0" w:color="auto"/>
                <w:left w:val="none" w:sz="0" w:space="0" w:color="auto"/>
                <w:bottom w:val="none" w:sz="0" w:space="0" w:color="auto"/>
                <w:right w:val="none" w:sz="0" w:space="0" w:color="auto"/>
              </w:divBdr>
              <w:divsChild>
                <w:div w:id="37557387">
                  <w:marLeft w:val="0"/>
                  <w:marRight w:val="0"/>
                  <w:marTop w:val="0"/>
                  <w:marBottom w:val="0"/>
                  <w:divBdr>
                    <w:top w:val="none" w:sz="0" w:space="0" w:color="auto"/>
                    <w:left w:val="none" w:sz="0" w:space="0" w:color="auto"/>
                    <w:bottom w:val="none" w:sz="0" w:space="0" w:color="auto"/>
                    <w:right w:val="none" w:sz="0" w:space="0" w:color="auto"/>
                  </w:divBdr>
                  <w:divsChild>
                    <w:div w:id="768742368">
                      <w:marLeft w:val="0"/>
                      <w:marRight w:val="0"/>
                      <w:marTop w:val="150"/>
                      <w:marBottom w:val="0"/>
                      <w:divBdr>
                        <w:top w:val="none" w:sz="0" w:space="0" w:color="auto"/>
                        <w:left w:val="none" w:sz="0" w:space="0" w:color="auto"/>
                        <w:bottom w:val="none" w:sz="0" w:space="0" w:color="auto"/>
                        <w:right w:val="none" w:sz="0" w:space="0" w:color="auto"/>
                      </w:divBdr>
                      <w:divsChild>
                        <w:div w:id="424806231">
                          <w:marLeft w:val="0"/>
                          <w:marRight w:val="0"/>
                          <w:marTop w:val="0"/>
                          <w:marBottom w:val="0"/>
                          <w:divBdr>
                            <w:top w:val="single" w:sz="6" w:space="5" w:color="D5D5D5"/>
                            <w:left w:val="single" w:sz="6" w:space="8" w:color="D5D5D5"/>
                            <w:bottom w:val="single" w:sz="6" w:space="1" w:color="D5D5D5"/>
                            <w:right w:val="single" w:sz="6" w:space="4" w:color="D5D5D5"/>
                          </w:divBdr>
                        </w:div>
                      </w:divsChild>
                    </w:div>
                  </w:divsChild>
                </w:div>
              </w:divsChild>
            </w:div>
          </w:divsChild>
        </w:div>
      </w:divsChild>
    </w:div>
    <w:div w:id="471868700">
      <w:bodyDiv w:val="1"/>
      <w:marLeft w:val="0"/>
      <w:marRight w:val="0"/>
      <w:marTop w:val="0"/>
      <w:marBottom w:val="0"/>
      <w:divBdr>
        <w:top w:val="none" w:sz="0" w:space="0" w:color="auto"/>
        <w:left w:val="none" w:sz="0" w:space="0" w:color="auto"/>
        <w:bottom w:val="none" w:sz="0" w:space="0" w:color="auto"/>
        <w:right w:val="none" w:sz="0" w:space="0" w:color="auto"/>
      </w:divBdr>
      <w:divsChild>
        <w:div w:id="1511524063">
          <w:marLeft w:val="547"/>
          <w:marRight w:val="0"/>
          <w:marTop w:val="96"/>
          <w:marBottom w:val="0"/>
          <w:divBdr>
            <w:top w:val="none" w:sz="0" w:space="0" w:color="auto"/>
            <w:left w:val="none" w:sz="0" w:space="0" w:color="auto"/>
            <w:bottom w:val="none" w:sz="0" w:space="0" w:color="auto"/>
            <w:right w:val="none" w:sz="0" w:space="0" w:color="auto"/>
          </w:divBdr>
        </w:div>
      </w:divsChild>
    </w:div>
    <w:div w:id="691152808">
      <w:bodyDiv w:val="1"/>
      <w:marLeft w:val="0"/>
      <w:marRight w:val="0"/>
      <w:marTop w:val="0"/>
      <w:marBottom w:val="0"/>
      <w:divBdr>
        <w:top w:val="none" w:sz="0" w:space="0" w:color="auto"/>
        <w:left w:val="none" w:sz="0" w:space="0" w:color="auto"/>
        <w:bottom w:val="none" w:sz="0" w:space="0" w:color="auto"/>
        <w:right w:val="none" w:sz="0" w:space="0" w:color="auto"/>
      </w:divBdr>
      <w:divsChild>
        <w:div w:id="272399740">
          <w:marLeft w:val="0"/>
          <w:marRight w:val="0"/>
          <w:marTop w:val="0"/>
          <w:marBottom w:val="0"/>
          <w:divBdr>
            <w:top w:val="none" w:sz="0" w:space="0" w:color="auto"/>
            <w:left w:val="none" w:sz="0" w:space="0" w:color="auto"/>
            <w:bottom w:val="none" w:sz="0" w:space="0" w:color="auto"/>
            <w:right w:val="none" w:sz="0" w:space="0" w:color="auto"/>
          </w:divBdr>
          <w:divsChild>
            <w:div w:id="2146580838">
              <w:marLeft w:val="0"/>
              <w:marRight w:val="0"/>
              <w:marTop w:val="0"/>
              <w:marBottom w:val="0"/>
              <w:divBdr>
                <w:top w:val="none" w:sz="0" w:space="0" w:color="auto"/>
                <w:left w:val="none" w:sz="0" w:space="0" w:color="auto"/>
                <w:bottom w:val="none" w:sz="0" w:space="0" w:color="auto"/>
                <w:right w:val="none" w:sz="0" w:space="0" w:color="auto"/>
              </w:divBdr>
              <w:divsChild>
                <w:div w:id="1345741300">
                  <w:marLeft w:val="0"/>
                  <w:marRight w:val="0"/>
                  <w:marTop w:val="0"/>
                  <w:marBottom w:val="0"/>
                  <w:divBdr>
                    <w:top w:val="none" w:sz="0" w:space="0" w:color="auto"/>
                    <w:left w:val="none" w:sz="0" w:space="0" w:color="auto"/>
                    <w:bottom w:val="none" w:sz="0" w:space="0" w:color="auto"/>
                    <w:right w:val="none" w:sz="0" w:space="0" w:color="auto"/>
                  </w:divBdr>
                  <w:divsChild>
                    <w:div w:id="256064521">
                      <w:marLeft w:val="0"/>
                      <w:marRight w:val="0"/>
                      <w:marTop w:val="0"/>
                      <w:marBottom w:val="0"/>
                      <w:divBdr>
                        <w:top w:val="none" w:sz="0" w:space="0" w:color="auto"/>
                        <w:left w:val="single" w:sz="4" w:space="6" w:color="EDEDED"/>
                        <w:bottom w:val="none" w:sz="0" w:space="0" w:color="auto"/>
                        <w:right w:val="none" w:sz="0" w:space="0" w:color="auto"/>
                      </w:divBdr>
                      <w:divsChild>
                        <w:div w:id="832525465">
                          <w:marLeft w:val="0"/>
                          <w:marRight w:val="0"/>
                          <w:marTop w:val="0"/>
                          <w:marBottom w:val="0"/>
                          <w:divBdr>
                            <w:top w:val="dotted" w:sz="2" w:space="0" w:color="B2B2B2"/>
                            <w:left w:val="dotted" w:sz="4" w:space="6" w:color="B2B2B2"/>
                            <w:bottom w:val="dotted" w:sz="2" w:space="0" w:color="B2B2B2"/>
                            <w:right w:val="dotted" w:sz="4" w:space="6" w:color="B2B2B2"/>
                          </w:divBdr>
                          <w:divsChild>
                            <w:div w:id="359551150">
                              <w:marLeft w:val="0"/>
                              <w:marRight w:val="0"/>
                              <w:marTop w:val="0"/>
                              <w:marBottom w:val="0"/>
                              <w:divBdr>
                                <w:top w:val="none" w:sz="0" w:space="0" w:color="auto"/>
                                <w:left w:val="none" w:sz="0" w:space="0" w:color="auto"/>
                                <w:bottom w:val="none" w:sz="0" w:space="0" w:color="auto"/>
                                <w:right w:val="none" w:sz="0" w:space="0" w:color="auto"/>
                              </w:divBdr>
                              <w:divsChild>
                                <w:div w:id="2132163445">
                                  <w:marLeft w:val="0"/>
                                  <w:marRight w:val="0"/>
                                  <w:marTop w:val="0"/>
                                  <w:marBottom w:val="0"/>
                                  <w:divBdr>
                                    <w:top w:val="none" w:sz="0" w:space="0" w:color="auto"/>
                                    <w:left w:val="none" w:sz="0" w:space="0" w:color="auto"/>
                                    <w:bottom w:val="none" w:sz="0" w:space="0" w:color="auto"/>
                                    <w:right w:val="none" w:sz="0" w:space="0" w:color="auto"/>
                                  </w:divBdr>
                                  <w:divsChild>
                                    <w:div w:id="1320188903">
                                      <w:marLeft w:val="0"/>
                                      <w:marRight w:val="0"/>
                                      <w:marTop w:val="0"/>
                                      <w:marBottom w:val="0"/>
                                      <w:divBdr>
                                        <w:top w:val="none" w:sz="0" w:space="0" w:color="auto"/>
                                        <w:left w:val="none" w:sz="0" w:space="0" w:color="auto"/>
                                        <w:bottom w:val="none" w:sz="0" w:space="0" w:color="auto"/>
                                        <w:right w:val="none" w:sz="0" w:space="0" w:color="auto"/>
                                      </w:divBdr>
                                      <w:divsChild>
                                        <w:div w:id="240063775">
                                          <w:marLeft w:val="0"/>
                                          <w:marRight w:val="0"/>
                                          <w:marTop w:val="0"/>
                                          <w:marBottom w:val="0"/>
                                          <w:divBdr>
                                            <w:top w:val="none" w:sz="0" w:space="0" w:color="auto"/>
                                            <w:left w:val="none" w:sz="0" w:space="0" w:color="auto"/>
                                            <w:bottom w:val="none" w:sz="0" w:space="0" w:color="auto"/>
                                            <w:right w:val="none" w:sz="0" w:space="0" w:color="auto"/>
                                          </w:divBdr>
                                          <w:divsChild>
                                            <w:div w:id="864439031">
                                              <w:marLeft w:val="0"/>
                                              <w:marRight w:val="0"/>
                                              <w:marTop w:val="0"/>
                                              <w:marBottom w:val="0"/>
                                              <w:divBdr>
                                                <w:top w:val="none" w:sz="0" w:space="0" w:color="auto"/>
                                                <w:left w:val="none" w:sz="0" w:space="0" w:color="auto"/>
                                                <w:bottom w:val="none" w:sz="0" w:space="0" w:color="auto"/>
                                                <w:right w:val="none" w:sz="0" w:space="0" w:color="auto"/>
                                              </w:divBdr>
                                              <w:divsChild>
                                                <w:div w:id="962921567">
                                                  <w:marLeft w:val="0"/>
                                                  <w:marRight w:val="0"/>
                                                  <w:marTop w:val="0"/>
                                                  <w:marBottom w:val="0"/>
                                                  <w:divBdr>
                                                    <w:top w:val="none" w:sz="0" w:space="0" w:color="auto"/>
                                                    <w:left w:val="none" w:sz="0" w:space="0" w:color="auto"/>
                                                    <w:bottom w:val="none" w:sz="0" w:space="0" w:color="auto"/>
                                                    <w:right w:val="none" w:sz="0" w:space="0" w:color="auto"/>
                                                  </w:divBdr>
                                                  <w:divsChild>
                                                    <w:div w:id="1426922002">
                                                      <w:marLeft w:val="0"/>
                                                      <w:marRight w:val="0"/>
                                                      <w:marTop w:val="0"/>
                                                      <w:marBottom w:val="0"/>
                                                      <w:divBdr>
                                                        <w:top w:val="none" w:sz="0" w:space="0" w:color="auto"/>
                                                        <w:left w:val="none" w:sz="0" w:space="0" w:color="auto"/>
                                                        <w:bottom w:val="none" w:sz="0" w:space="0" w:color="auto"/>
                                                        <w:right w:val="none" w:sz="0" w:space="0" w:color="auto"/>
                                                      </w:divBdr>
                                                      <w:divsChild>
                                                        <w:div w:id="864368880">
                                                          <w:marLeft w:val="0"/>
                                                          <w:marRight w:val="0"/>
                                                          <w:marTop w:val="0"/>
                                                          <w:marBottom w:val="0"/>
                                                          <w:divBdr>
                                                            <w:top w:val="none" w:sz="0" w:space="0" w:color="auto"/>
                                                            <w:left w:val="none" w:sz="0" w:space="0" w:color="auto"/>
                                                            <w:bottom w:val="none" w:sz="0" w:space="0" w:color="auto"/>
                                                            <w:right w:val="none" w:sz="0" w:space="0" w:color="auto"/>
                                                          </w:divBdr>
                                                          <w:divsChild>
                                                            <w:div w:id="1704398643">
                                                              <w:marLeft w:val="0"/>
                                                              <w:marRight w:val="0"/>
                                                              <w:marTop w:val="0"/>
                                                              <w:marBottom w:val="0"/>
                                                              <w:divBdr>
                                                                <w:top w:val="none" w:sz="0" w:space="0" w:color="auto"/>
                                                                <w:left w:val="none" w:sz="0" w:space="0" w:color="auto"/>
                                                                <w:bottom w:val="none" w:sz="0" w:space="0" w:color="auto"/>
                                                                <w:right w:val="none" w:sz="0" w:space="0" w:color="auto"/>
                                                              </w:divBdr>
                                                              <w:divsChild>
                                                                <w:div w:id="16907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10155635">
      <w:bodyDiv w:val="1"/>
      <w:marLeft w:val="0"/>
      <w:marRight w:val="0"/>
      <w:marTop w:val="0"/>
      <w:marBottom w:val="0"/>
      <w:divBdr>
        <w:top w:val="none" w:sz="0" w:space="0" w:color="auto"/>
        <w:left w:val="none" w:sz="0" w:space="0" w:color="auto"/>
        <w:bottom w:val="none" w:sz="0" w:space="0" w:color="auto"/>
        <w:right w:val="none" w:sz="0" w:space="0" w:color="auto"/>
      </w:divBdr>
      <w:divsChild>
        <w:div w:id="1330908555">
          <w:marLeft w:val="0"/>
          <w:marRight w:val="0"/>
          <w:marTop w:val="201"/>
          <w:marBottom w:val="201"/>
          <w:divBdr>
            <w:top w:val="none" w:sz="0" w:space="0" w:color="auto"/>
            <w:left w:val="none" w:sz="0" w:space="0" w:color="auto"/>
            <w:bottom w:val="none" w:sz="0" w:space="0" w:color="auto"/>
            <w:right w:val="none" w:sz="0" w:space="0" w:color="auto"/>
          </w:divBdr>
          <w:divsChild>
            <w:div w:id="1548224638">
              <w:marLeft w:val="167"/>
              <w:marRight w:val="0"/>
              <w:marTop w:val="0"/>
              <w:marBottom w:val="0"/>
              <w:divBdr>
                <w:top w:val="none" w:sz="0" w:space="0" w:color="auto"/>
                <w:left w:val="none" w:sz="0" w:space="0" w:color="auto"/>
                <w:bottom w:val="none" w:sz="0" w:space="0" w:color="auto"/>
                <w:right w:val="none" w:sz="0" w:space="0" w:color="auto"/>
              </w:divBdr>
            </w:div>
          </w:divsChild>
        </w:div>
      </w:divsChild>
    </w:div>
    <w:div w:id="752973551">
      <w:bodyDiv w:val="1"/>
      <w:marLeft w:val="0"/>
      <w:marRight w:val="0"/>
      <w:marTop w:val="0"/>
      <w:marBottom w:val="0"/>
      <w:divBdr>
        <w:top w:val="none" w:sz="0" w:space="0" w:color="auto"/>
        <w:left w:val="none" w:sz="0" w:space="0" w:color="auto"/>
        <w:bottom w:val="none" w:sz="0" w:space="0" w:color="auto"/>
        <w:right w:val="none" w:sz="0" w:space="0" w:color="auto"/>
      </w:divBdr>
      <w:divsChild>
        <w:div w:id="1965892168">
          <w:marLeft w:val="0"/>
          <w:marRight w:val="0"/>
          <w:marTop w:val="0"/>
          <w:marBottom w:val="0"/>
          <w:divBdr>
            <w:top w:val="none" w:sz="0" w:space="0" w:color="auto"/>
            <w:left w:val="none" w:sz="0" w:space="0" w:color="auto"/>
            <w:bottom w:val="none" w:sz="0" w:space="0" w:color="auto"/>
            <w:right w:val="none" w:sz="0" w:space="0" w:color="auto"/>
          </w:divBdr>
          <w:divsChild>
            <w:div w:id="896010227">
              <w:marLeft w:val="0"/>
              <w:marRight w:val="0"/>
              <w:marTop w:val="0"/>
              <w:marBottom w:val="0"/>
              <w:divBdr>
                <w:top w:val="none" w:sz="0" w:space="0" w:color="auto"/>
                <w:left w:val="none" w:sz="0" w:space="0" w:color="auto"/>
                <w:bottom w:val="none" w:sz="0" w:space="0" w:color="auto"/>
                <w:right w:val="none" w:sz="0" w:space="0" w:color="auto"/>
              </w:divBdr>
              <w:divsChild>
                <w:div w:id="1829397235">
                  <w:marLeft w:val="0"/>
                  <w:marRight w:val="0"/>
                  <w:marTop w:val="0"/>
                  <w:marBottom w:val="0"/>
                  <w:divBdr>
                    <w:top w:val="none" w:sz="0" w:space="0" w:color="auto"/>
                    <w:left w:val="none" w:sz="0" w:space="0" w:color="auto"/>
                    <w:bottom w:val="none" w:sz="0" w:space="0" w:color="auto"/>
                    <w:right w:val="none" w:sz="0" w:space="0" w:color="auto"/>
                  </w:divBdr>
                  <w:divsChild>
                    <w:div w:id="1640767012">
                      <w:marLeft w:val="0"/>
                      <w:marRight w:val="0"/>
                      <w:marTop w:val="0"/>
                      <w:marBottom w:val="0"/>
                      <w:divBdr>
                        <w:top w:val="none" w:sz="0" w:space="0" w:color="auto"/>
                        <w:left w:val="single" w:sz="4" w:space="6" w:color="EDEDED"/>
                        <w:bottom w:val="none" w:sz="0" w:space="0" w:color="auto"/>
                        <w:right w:val="none" w:sz="0" w:space="0" w:color="auto"/>
                      </w:divBdr>
                      <w:divsChild>
                        <w:div w:id="1051344236">
                          <w:marLeft w:val="0"/>
                          <w:marRight w:val="0"/>
                          <w:marTop w:val="0"/>
                          <w:marBottom w:val="0"/>
                          <w:divBdr>
                            <w:top w:val="dotted" w:sz="2" w:space="0" w:color="B2B2B2"/>
                            <w:left w:val="dotted" w:sz="4" w:space="6" w:color="B2B2B2"/>
                            <w:bottom w:val="dotted" w:sz="2" w:space="0" w:color="B2B2B2"/>
                            <w:right w:val="dotted" w:sz="4" w:space="6" w:color="B2B2B2"/>
                          </w:divBdr>
                          <w:divsChild>
                            <w:div w:id="1490822922">
                              <w:marLeft w:val="0"/>
                              <w:marRight w:val="0"/>
                              <w:marTop w:val="0"/>
                              <w:marBottom w:val="0"/>
                              <w:divBdr>
                                <w:top w:val="none" w:sz="0" w:space="0" w:color="auto"/>
                                <w:left w:val="none" w:sz="0" w:space="0" w:color="auto"/>
                                <w:bottom w:val="none" w:sz="0" w:space="0" w:color="auto"/>
                                <w:right w:val="none" w:sz="0" w:space="0" w:color="auto"/>
                              </w:divBdr>
                              <w:divsChild>
                                <w:div w:id="1598054329">
                                  <w:marLeft w:val="0"/>
                                  <w:marRight w:val="0"/>
                                  <w:marTop w:val="0"/>
                                  <w:marBottom w:val="0"/>
                                  <w:divBdr>
                                    <w:top w:val="none" w:sz="0" w:space="0" w:color="auto"/>
                                    <w:left w:val="none" w:sz="0" w:space="0" w:color="auto"/>
                                    <w:bottom w:val="none" w:sz="0" w:space="0" w:color="auto"/>
                                    <w:right w:val="none" w:sz="0" w:space="0" w:color="auto"/>
                                  </w:divBdr>
                                  <w:divsChild>
                                    <w:div w:id="1475442195">
                                      <w:marLeft w:val="0"/>
                                      <w:marRight w:val="0"/>
                                      <w:marTop w:val="0"/>
                                      <w:marBottom w:val="0"/>
                                      <w:divBdr>
                                        <w:top w:val="none" w:sz="0" w:space="0" w:color="auto"/>
                                        <w:left w:val="none" w:sz="0" w:space="0" w:color="auto"/>
                                        <w:bottom w:val="none" w:sz="0" w:space="0" w:color="auto"/>
                                        <w:right w:val="none" w:sz="0" w:space="0" w:color="auto"/>
                                      </w:divBdr>
                                      <w:divsChild>
                                        <w:div w:id="311913762">
                                          <w:marLeft w:val="0"/>
                                          <w:marRight w:val="0"/>
                                          <w:marTop w:val="0"/>
                                          <w:marBottom w:val="0"/>
                                          <w:divBdr>
                                            <w:top w:val="none" w:sz="0" w:space="0" w:color="auto"/>
                                            <w:left w:val="none" w:sz="0" w:space="0" w:color="auto"/>
                                            <w:bottom w:val="none" w:sz="0" w:space="0" w:color="auto"/>
                                            <w:right w:val="none" w:sz="0" w:space="0" w:color="auto"/>
                                          </w:divBdr>
                                          <w:divsChild>
                                            <w:div w:id="1592542397">
                                              <w:marLeft w:val="0"/>
                                              <w:marRight w:val="0"/>
                                              <w:marTop w:val="0"/>
                                              <w:marBottom w:val="0"/>
                                              <w:divBdr>
                                                <w:top w:val="none" w:sz="0" w:space="0" w:color="auto"/>
                                                <w:left w:val="none" w:sz="0" w:space="0" w:color="auto"/>
                                                <w:bottom w:val="none" w:sz="0" w:space="0" w:color="auto"/>
                                                <w:right w:val="none" w:sz="0" w:space="0" w:color="auto"/>
                                              </w:divBdr>
                                              <w:divsChild>
                                                <w:div w:id="1404522861">
                                                  <w:marLeft w:val="0"/>
                                                  <w:marRight w:val="0"/>
                                                  <w:marTop w:val="0"/>
                                                  <w:marBottom w:val="0"/>
                                                  <w:divBdr>
                                                    <w:top w:val="none" w:sz="0" w:space="0" w:color="auto"/>
                                                    <w:left w:val="none" w:sz="0" w:space="0" w:color="auto"/>
                                                    <w:bottom w:val="none" w:sz="0" w:space="0" w:color="auto"/>
                                                    <w:right w:val="none" w:sz="0" w:space="0" w:color="auto"/>
                                                  </w:divBdr>
                                                  <w:divsChild>
                                                    <w:div w:id="1948350484">
                                                      <w:marLeft w:val="0"/>
                                                      <w:marRight w:val="0"/>
                                                      <w:marTop w:val="0"/>
                                                      <w:marBottom w:val="0"/>
                                                      <w:divBdr>
                                                        <w:top w:val="none" w:sz="0" w:space="0" w:color="auto"/>
                                                        <w:left w:val="none" w:sz="0" w:space="0" w:color="auto"/>
                                                        <w:bottom w:val="none" w:sz="0" w:space="0" w:color="auto"/>
                                                        <w:right w:val="none" w:sz="0" w:space="0" w:color="auto"/>
                                                      </w:divBdr>
                                                      <w:divsChild>
                                                        <w:div w:id="1414277906">
                                                          <w:marLeft w:val="0"/>
                                                          <w:marRight w:val="0"/>
                                                          <w:marTop w:val="0"/>
                                                          <w:marBottom w:val="0"/>
                                                          <w:divBdr>
                                                            <w:top w:val="none" w:sz="0" w:space="0" w:color="auto"/>
                                                            <w:left w:val="none" w:sz="0" w:space="0" w:color="auto"/>
                                                            <w:bottom w:val="none" w:sz="0" w:space="0" w:color="auto"/>
                                                            <w:right w:val="none" w:sz="0" w:space="0" w:color="auto"/>
                                                          </w:divBdr>
                                                          <w:divsChild>
                                                            <w:div w:id="1081565199">
                                                              <w:marLeft w:val="0"/>
                                                              <w:marRight w:val="0"/>
                                                              <w:marTop w:val="0"/>
                                                              <w:marBottom w:val="0"/>
                                                              <w:divBdr>
                                                                <w:top w:val="none" w:sz="0" w:space="0" w:color="auto"/>
                                                                <w:left w:val="none" w:sz="0" w:space="0" w:color="auto"/>
                                                                <w:bottom w:val="none" w:sz="0" w:space="0" w:color="auto"/>
                                                                <w:right w:val="none" w:sz="0" w:space="0" w:color="auto"/>
                                                              </w:divBdr>
                                                              <w:divsChild>
                                                                <w:div w:id="162380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85027570">
      <w:bodyDiv w:val="1"/>
      <w:marLeft w:val="0"/>
      <w:marRight w:val="0"/>
      <w:marTop w:val="0"/>
      <w:marBottom w:val="0"/>
      <w:divBdr>
        <w:top w:val="none" w:sz="0" w:space="0" w:color="auto"/>
        <w:left w:val="none" w:sz="0" w:space="0" w:color="auto"/>
        <w:bottom w:val="none" w:sz="0" w:space="0" w:color="auto"/>
        <w:right w:val="none" w:sz="0" w:space="0" w:color="auto"/>
      </w:divBdr>
      <w:divsChild>
        <w:div w:id="56198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498850">
      <w:bodyDiv w:val="1"/>
      <w:marLeft w:val="0"/>
      <w:marRight w:val="0"/>
      <w:marTop w:val="0"/>
      <w:marBottom w:val="0"/>
      <w:divBdr>
        <w:top w:val="none" w:sz="0" w:space="0" w:color="auto"/>
        <w:left w:val="none" w:sz="0" w:space="0" w:color="auto"/>
        <w:bottom w:val="none" w:sz="0" w:space="0" w:color="auto"/>
        <w:right w:val="none" w:sz="0" w:space="0" w:color="auto"/>
      </w:divBdr>
    </w:div>
    <w:div w:id="1018435493">
      <w:bodyDiv w:val="1"/>
      <w:marLeft w:val="0"/>
      <w:marRight w:val="0"/>
      <w:marTop w:val="0"/>
      <w:marBottom w:val="0"/>
      <w:divBdr>
        <w:top w:val="none" w:sz="0" w:space="0" w:color="auto"/>
        <w:left w:val="none" w:sz="0" w:space="0" w:color="auto"/>
        <w:bottom w:val="none" w:sz="0" w:space="0" w:color="auto"/>
        <w:right w:val="none" w:sz="0" w:space="0" w:color="auto"/>
      </w:divBdr>
    </w:div>
    <w:div w:id="1144741186">
      <w:bodyDiv w:val="1"/>
      <w:marLeft w:val="0"/>
      <w:marRight w:val="0"/>
      <w:marTop w:val="0"/>
      <w:marBottom w:val="0"/>
      <w:divBdr>
        <w:top w:val="none" w:sz="0" w:space="0" w:color="auto"/>
        <w:left w:val="none" w:sz="0" w:space="0" w:color="auto"/>
        <w:bottom w:val="none" w:sz="0" w:space="0" w:color="auto"/>
        <w:right w:val="none" w:sz="0" w:space="0" w:color="auto"/>
      </w:divBdr>
    </w:div>
    <w:div w:id="1194464877">
      <w:bodyDiv w:val="1"/>
      <w:marLeft w:val="0"/>
      <w:marRight w:val="0"/>
      <w:marTop w:val="0"/>
      <w:marBottom w:val="0"/>
      <w:divBdr>
        <w:top w:val="none" w:sz="0" w:space="0" w:color="auto"/>
        <w:left w:val="none" w:sz="0" w:space="0" w:color="auto"/>
        <w:bottom w:val="none" w:sz="0" w:space="0" w:color="auto"/>
        <w:right w:val="none" w:sz="0" w:space="0" w:color="auto"/>
      </w:divBdr>
    </w:div>
    <w:div w:id="1227835792">
      <w:bodyDiv w:val="1"/>
      <w:marLeft w:val="0"/>
      <w:marRight w:val="0"/>
      <w:marTop w:val="0"/>
      <w:marBottom w:val="0"/>
      <w:divBdr>
        <w:top w:val="none" w:sz="0" w:space="0" w:color="auto"/>
        <w:left w:val="none" w:sz="0" w:space="0" w:color="auto"/>
        <w:bottom w:val="none" w:sz="0" w:space="0" w:color="auto"/>
        <w:right w:val="none" w:sz="0" w:space="0" w:color="auto"/>
      </w:divBdr>
    </w:div>
    <w:div w:id="1433893629">
      <w:bodyDiv w:val="1"/>
      <w:marLeft w:val="0"/>
      <w:marRight w:val="0"/>
      <w:marTop w:val="0"/>
      <w:marBottom w:val="0"/>
      <w:divBdr>
        <w:top w:val="none" w:sz="0" w:space="0" w:color="auto"/>
        <w:left w:val="none" w:sz="0" w:space="0" w:color="auto"/>
        <w:bottom w:val="none" w:sz="0" w:space="0" w:color="auto"/>
        <w:right w:val="none" w:sz="0" w:space="0" w:color="auto"/>
      </w:divBdr>
    </w:div>
    <w:div w:id="1671832537">
      <w:bodyDiv w:val="1"/>
      <w:marLeft w:val="0"/>
      <w:marRight w:val="0"/>
      <w:marTop w:val="0"/>
      <w:marBottom w:val="0"/>
      <w:divBdr>
        <w:top w:val="none" w:sz="0" w:space="0" w:color="auto"/>
        <w:left w:val="none" w:sz="0" w:space="0" w:color="auto"/>
        <w:bottom w:val="none" w:sz="0" w:space="0" w:color="auto"/>
        <w:right w:val="none" w:sz="0" w:space="0" w:color="auto"/>
      </w:divBdr>
    </w:div>
    <w:div w:id="1725710609">
      <w:bodyDiv w:val="1"/>
      <w:marLeft w:val="0"/>
      <w:marRight w:val="0"/>
      <w:marTop w:val="0"/>
      <w:marBottom w:val="0"/>
      <w:divBdr>
        <w:top w:val="none" w:sz="0" w:space="0" w:color="auto"/>
        <w:left w:val="none" w:sz="0" w:space="0" w:color="auto"/>
        <w:bottom w:val="none" w:sz="0" w:space="0" w:color="auto"/>
        <w:right w:val="none" w:sz="0" w:space="0" w:color="auto"/>
      </w:divBdr>
    </w:div>
    <w:div w:id="1759017801">
      <w:bodyDiv w:val="1"/>
      <w:marLeft w:val="0"/>
      <w:marRight w:val="0"/>
      <w:marTop w:val="0"/>
      <w:marBottom w:val="0"/>
      <w:divBdr>
        <w:top w:val="none" w:sz="0" w:space="0" w:color="auto"/>
        <w:left w:val="none" w:sz="0" w:space="0" w:color="auto"/>
        <w:bottom w:val="none" w:sz="0" w:space="0" w:color="auto"/>
        <w:right w:val="none" w:sz="0" w:space="0" w:color="auto"/>
      </w:divBdr>
    </w:div>
    <w:div w:id="1769617504">
      <w:bodyDiv w:val="1"/>
      <w:marLeft w:val="0"/>
      <w:marRight w:val="0"/>
      <w:marTop w:val="0"/>
      <w:marBottom w:val="0"/>
      <w:divBdr>
        <w:top w:val="none" w:sz="0" w:space="0" w:color="auto"/>
        <w:left w:val="none" w:sz="0" w:space="0" w:color="auto"/>
        <w:bottom w:val="none" w:sz="0" w:space="0" w:color="auto"/>
        <w:right w:val="none" w:sz="0" w:space="0" w:color="auto"/>
      </w:divBdr>
      <w:divsChild>
        <w:div w:id="1300258295">
          <w:marLeft w:val="0"/>
          <w:marRight w:val="0"/>
          <w:marTop w:val="0"/>
          <w:marBottom w:val="0"/>
          <w:divBdr>
            <w:top w:val="none" w:sz="0" w:space="0" w:color="auto"/>
            <w:left w:val="none" w:sz="0" w:space="0" w:color="auto"/>
            <w:bottom w:val="none" w:sz="0" w:space="0" w:color="auto"/>
            <w:right w:val="none" w:sz="0" w:space="0" w:color="auto"/>
          </w:divBdr>
        </w:div>
      </w:divsChild>
    </w:div>
    <w:div w:id="1778986359">
      <w:bodyDiv w:val="1"/>
      <w:marLeft w:val="0"/>
      <w:marRight w:val="0"/>
      <w:marTop w:val="0"/>
      <w:marBottom w:val="0"/>
      <w:divBdr>
        <w:top w:val="none" w:sz="0" w:space="0" w:color="auto"/>
        <w:left w:val="none" w:sz="0" w:space="0" w:color="auto"/>
        <w:bottom w:val="none" w:sz="0" w:space="0" w:color="auto"/>
        <w:right w:val="none" w:sz="0" w:space="0" w:color="auto"/>
      </w:divBdr>
    </w:div>
    <w:div w:id="1870680536">
      <w:bodyDiv w:val="1"/>
      <w:marLeft w:val="0"/>
      <w:marRight w:val="0"/>
      <w:marTop w:val="0"/>
      <w:marBottom w:val="0"/>
      <w:divBdr>
        <w:top w:val="none" w:sz="0" w:space="0" w:color="auto"/>
        <w:left w:val="none" w:sz="0" w:space="0" w:color="auto"/>
        <w:bottom w:val="none" w:sz="0" w:space="0" w:color="auto"/>
        <w:right w:val="none" w:sz="0" w:space="0" w:color="auto"/>
      </w:divBdr>
    </w:div>
    <w:div w:id="1879465753">
      <w:bodyDiv w:val="1"/>
      <w:marLeft w:val="0"/>
      <w:marRight w:val="0"/>
      <w:marTop w:val="0"/>
      <w:marBottom w:val="0"/>
      <w:divBdr>
        <w:top w:val="none" w:sz="0" w:space="0" w:color="auto"/>
        <w:left w:val="none" w:sz="0" w:space="0" w:color="auto"/>
        <w:bottom w:val="none" w:sz="0" w:space="0" w:color="auto"/>
        <w:right w:val="none" w:sz="0" w:space="0" w:color="auto"/>
      </w:divBdr>
    </w:div>
    <w:div w:id="1882980609">
      <w:bodyDiv w:val="1"/>
      <w:marLeft w:val="0"/>
      <w:marRight w:val="0"/>
      <w:marTop w:val="0"/>
      <w:marBottom w:val="0"/>
      <w:divBdr>
        <w:top w:val="none" w:sz="0" w:space="0" w:color="auto"/>
        <w:left w:val="none" w:sz="0" w:space="0" w:color="auto"/>
        <w:bottom w:val="none" w:sz="0" w:space="0" w:color="auto"/>
        <w:right w:val="none" w:sz="0" w:space="0" w:color="auto"/>
      </w:divBdr>
    </w:div>
    <w:div w:id="1988123112">
      <w:bodyDiv w:val="1"/>
      <w:marLeft w:val="0"/>
      <w:marRight w:val="0"/>
      <w:marTop w:val="0"/>
      <w:marBottom w:val="0"/>
      <w:divBdr>
        <w:top w:val="none" w:sz="0" w:space="0" w:color="auto"/>
        <w:left w:val="none" w:sz="0" w:space="0" w:color="auto"/>
        <w:bottom w:val="none" w:sz="0" w:space="0" w:color="auto"/>
        <w:right w:val="none" w:sz="0" w:space="0" w:color="auto"/>
      </w:divBdr>
      <w:divsChild>
        <w:div w:id="1794591806">
          <w:marLeft w:val="0"/>
          <w:marRight w:val="0"/>
          <w:marTop w:val="0"/>
          <w:marBottom w:val="0"/>
          <w:divBdr>
            <w:top w:val="none" w:sz="0" w:space="0" w:color="auto"/>
            <w:left w:val="none" w:sz="0" w:space="0" w:color="auto"/>
            <w:bottom w:val="none" w:sz="0" w:space="0" w:color="auto"/>
            <w:right w:val="none" w:sz="0" w:space="0" w:color="auto"/>
          </w:divBdr>
          <w:divsChild>
            <w:div w:id="1091774276">
              <w:marLeft w:val="0"/>
              <w:marRight w:val="0"/>
              <w:marTop w:val="0"/>
              <w:marBottom w:val="0"/>
              <w:divBdr>
                <w:top w:val="none" w:sz="0" w:space="0" w:color="auto"/>
                <w:left w:val="none" w:sz="0" w:space="0" w:color="auto"/>
                <w:bottom w:val="none" w:sz="0" w:space="0" w:color="auto"/>
                <w:right w:val="none" w:sz="0" w:space="0" w:color="auto"/>
              </w:divBdr>
              <w:divsChild>
                <w:div w:id="1542132288">
                  <w:marLeft w:val="0"/>
                  <w:marRight w:val="0"/>
                  <w:marTop w:val="0"/>
                  <w:marBottom w:val="0"/>
                  <w:divBdr>
                    <w:top w:val="none" w:sz="0" w:space="0" w:color="auto"/>
                    <w:left w:val="none" w:sz="0" w:space="0" w:color="auto"/>
                    <w:bottom w:val="none" w:sz="0" w:space="0" w:color="auto"/>
                    <w:right w:val="none" w:sz="0" w:space="0" w:color="auto"/>
                  </w:divBdr>
                  <w:divsChild>
                    <w:div w:id="1713649970">
                      <w:marLeft w:val="0"/>
                      <w:marRight w:val="0"/>
                      <w:marTop w:val="0"/>
                      <w:marBottom w:val="0"/>
                      <w:divBdr>
                        <w:top w:val="none" w:sz="0" w:space="0" w:color="auto"/>
                        <w:left w:val="none" w:sz="0" w:space="0" w:color="auto"/>
                        <w:bottom w:val="none" w:sz="0" w:space="0" w:color="auto"/>
                        <w:right w:val="none" w:sz="0" w:space="0" w:color="auto"/>
                      </w:divBdr>
                      <w:divsChild>
                        <w:div w:id="1808937740">
                          <w:marLeft w:val="0"/>
                          <w:marRight w:val="0"/>
                          <w:marTop w:val="0"/>
                          <w:marBottom w:val="0"/>
                          <w:divBdr>
                            <w:top w:val="none" w:sz="0" w:space="0" w:color="auto"/>
                            <w:left w:val="none" w:sz="0" w:space="0" w:color="auto"/>
                            <w:bottom w:val="none" w:sz="0" w:space="0" w:color="auto"/>
                            <w:right w:val="none" w:sz="0" w:space="0" w:color="auto"/>
                          </w:divBdr>
                          <w:divsChild>
                            <w:div w:id="3566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852121">
      <w:bodyDiv w:val="1"/>
      <w:marLeft w:val="0"/>
      <w:marRight w:val="0"/>
      <w:marTop w:val="0"/>
      <w:marBottom w:val="0"/>
      <w:divBdr>
        <w:top w:val="none" w:sz="0" w:space="0" w:color="auto"/>
        <w:left w:val="none" w:sz="0" w:space="0" w:color="auto"/>
        <w:bottom w:val="none" w:sz="0" w:space="0" w:color="auto"/>
        <w:right w:val="none" w:sz="0" w:space="0" w:color="auto"/>
      </w:divBdr>
    </w:div>
    <w:div w:id="2016877300">
      <w:bodyDiv w:val="1"/>
      <w:marLeft w:val="0"/>
      <w:marRight w:val="0"/>
      <w:marTop w:val="0"/>
      <w:marBottom w:val="0"/>
      <w:divBdr>
        <w:top w:val="none" w:sz="0" w:space="0" w:color="auto"/>
        <w:left w:val="none" w:sz="0" w:space="0" w:color="auto"/>
        <w:bottom w:val="none" w:sz="0" w:space="0" w:color="auto"/>
        <w:right w:val="none" w:sz="0" w:space="0" w:color="auto"/>
      </w:divBdr>
      <w:divsChild>
        <w:div w:id="291980402">
          <w:marLeft w:val="0"/>
          <w:marRight w:val="0"/>
          <w:marTop w:val="0"/>
          <w:marBottom w:val="0"/>
          <w:divBdr>
            <w:top w:val="none" w:sz="0" w:space="0" w:color="auto"/>
            <w:left w:val="none" w:sz="0" w:space="0" w:color="auto"/>
            <w:bottom w:val="none" w:sz="0" w:space="0" w:color="auto"/>
            <w:right w:val="none" w:sz="0" w:space="0" w:color="auto"/>
          </w:divBdr>
        </w:div>
      </w:divsChild>
    </w:div>
    <w:div w:id="2022317512">
      <w:bodyDiv w:val="1"/>
      <w:marLeft w:val="0"/>
      <w:marRight w:val="0"/>
      <w:marTop w:val="0"/>
      <w:marBottom w:val="0"/>
      <w:divBdr>
        <w:top w:val="none" w:sz="0" w:space="0" w:color="auto"/>
        <w:left w:val="none" w:sz="0" w:space="0" w:color="auto"/>
        <w:bottom w:val="none" w:sz="0" w:space="0" w:color="auto"/>
        <w:right w:val="none" w:sz="0" w:space="0" w:color="auto"/>
      </w:divBdr>
      <w:divsChild>
        <w:div w:id="811289231">
          <w:marLeft w:val="547"/>
          <w:marRight w:val="0"/>
          <w:marTop w:val="96"/>
          <w:marBottom w:val="0"/>
          <w:divBdr>
            <w:top w:val="none" w:sz="0" w:space="0" w:color="auto"/>
            <w:left w:val="none" w:sz="0" w:space="0" w:color="auto"/>
            <w:bottom w:val="none" w:sz="0" w:space="0" w:color="auto"/>
            <w:right w:val="none" w:sz="0" w:space="0" w:color="auto"/>
          </w:divBdr>
        </w:div>
      </w:divsChild>
    </w:div>
    <w:div w:id="2055885583">
      <w:bodyDiv w:val="1"/>
      <w:marLeft w:val="0"/>
      <w:marRight w:val="0"/>
      <w:marTop w:val="0"/>
      <w:marBottom w:val="0"/>
      <w:divBdr>
        <w:top w:val="none" w:sz="0" w:space="0" w:color="auto"/>
        <w:left w:val="none" w:sz="0" w:space="0" w:color="auto"/>
        <w:bottom w:val="none" w:sz="0" w:space="0" w:color="auto"/>
        <w:right w:val="none" w:sz="0" w:space="0" w:color="auto"/>
      </w:divBdr>
    </w:div>
    <w:div w:id="2091466458">
      <w:bodyDiv w:val="1"/>
      <w:marLeft w:val="0"/>
      <w:marRight w:val="0"/>
      <w:marTop w:val="0"/>
      <w:marBottom w:val="0"/>
      <w:divBdr>
        <w:top w:val="none" w:sz="0" w:space="0" w:color="auto"/>
        <w:left w:val="none" w:sz="0" w:space="0" w:color="auto"/>
        <w:bottom w:val="none" w:sz="0" w:space="0" w:color="auto"/>
        <w:right w:val="none" w:sz="0" w:space="0" w:color="auto"/>
      </w:divBdr>
    </w:div>
    <w:div w:id="2109613575">
      <w:bodyDiv w:val="1"/>
      <w:marLeft w:val="0"/>
      <w:marRight w:val="0"/>
      <w:marTop w:val="0"/>
      <w:marBottom w:val="0"/>
      <w:divBdr>
        <w:top w:val="none" w:sz="0" w:space="0" w:color="auto"/>
        <w:left w:val="none" w:sz="0" w:space="0" w:color="auto"/>
        <w:bottom w:val="none" w:sz="0" w:space="0" w:color="auto"/>
        <w:right w:val="none" w:sz="0" w:space="0" w:color="auto"/>
      </w:divBdr>
      <w:divsChild>
        <w:div w:id="44571123">
          <w:marLeft w:val="0"/>
          <w:marRight w:val="0"/>
          <w:marTop w:val="0"/>
          <w:marBottom w:val="0"/>
          <w:divBdr>
            <w:top w:val="none" w:sz="0" w:space="0" w:color="auto"/>
            <w:left w:val="none" w:sz="0" w:space="0" w:color="auto"/>
            <w:bottom w:val="none" w:sz="0" w:space="0" w:color="auto"/>
            <w:right w:val="none" w:sz="0" w:space="0" w:color="auto"/>
          </w:divBdr>
          <w:divsChild>
            <w:div w:id="933516154">
              <w:marLeft w:val="0"/>
              <w:marRight w:val="0"/>
              <w:marTop w:val="0"/>
              <w:marBottom w:val="0"/>
              <w:divBdr>
                <w:top w:val="none" w:sz="0" w:space="0" w:color="auto"/>
                <w:left w:val="none" w:sz="0" w:space="0" w:color="auto"/>
                <w:bottom w:val="none" w:sz="0" w:space="0" w:color="auto"/>
                <w:right w:val="none" w:sz="0" w:space="0" w:color="auto"/>
              </w:divBdr>
              <w:divsChild>
                <w:div w:id="1729722284">
                  <w:marLeft w:val="0"/>
                  <w:marRight w:val="0"/>
                  <w:marTop w:val="0"/>
                  <w:marBottom w:val="0"/>
                  <w:divBdr>
                    <w:top w:val="none" w:sz="0" w:space="0" w:color="auto"/>
                    <w:left w:val="none" w:sz="0" w:space="0" w:color="auto"/>
                    <w:bottom w:val="none" w:sz="0" w:space="0" w:color="auto"/>
                    <w:right w:val="none" w:sz="0" w:space="0" w:color="auto"/>
                  </w:divBdr>
                  <w:divsChild>
                    <w:div w:id="1945186003">
                      <w:marLeft w:val="0"/>
                      <w:marRight w:val="0"/>
                      <w:marTop w:val="0"/>
                      <w:marBottom w:val="0"/>
                      <w:divBdr>
                        <w:top w:val="none" w:sz="0" w:space="0" w:color="auto"/>
                        <w:left w:val="single" w:sz="4" w:space="6" w:color="EDEDED"/>
                        <w:bottom w:val="none" w:sz="0" w:space="0" w:color="auto"/>
                        <w:right w:val="none" w:sz="0" w:space="0" w:color="auto"/>
                      </w:divBdr>
                      <w:divsChild>
                        <w:div w:id="1399129678">
                          <w:marLeft w:val="0"/>
                          <w:marRight w:val="0"/>
                          <w:marTop w:val="0"/>
                          <w:marBottom w:val="0"/>
                          <w:divBdr>
                            <w:top w:val="dotted" w:sz="2" w:space="0" w:color="B2B2B2"/>
                            <w:left w:val="dotted" w:sz="4" w:space="6" w:color="B2B2B2"/>
                            <w:bottom w:val="dotted" w:sz="2" w:space="0" w:color="B2B2B2"/>
                            <w:right w:val="dotted" w:sz="4" w:space="6" w:color="B2B2B2"/>
                          </w:divBdr>
                          <w:divsChild>
                            <w:div w:id="916329682">
                              <w:marLeft w:val="0"/>
                              <w:marRight w:val="0"/>
                              <w:marTop w:val="0"/>
                              <w:marBottom w:val="0"/>
                              <w:divBdr>
                                <w:top w:val="none" w:sz="0" w:space="0" w:color="auto"/>
                                <w:left w:val="none" w:sz="0" w:space="0" w:color="auto"/>
                                <w:bottom w:val="none" w:sz="0" w:space="0" w:color="auto"/>
                                <w:right w:val="none" w:sz="0" w:space="0" w:color="auto"/>
                              </w:divBdr>
                              <w:divsChild>
                                <w:div w:id="693849402">
                                  <w:marLeft w:val="0"/>
                                  <w:marRight w:val="0"/>
                                  <w:marTop w:val="0"/>
                                  <w:marBottom w:val="0"/>
                                  <w:divBdr>
                                    <w:top w:val="none" w:sz="0" w:space="0" w:color="auto"/>
                                    <w:left w:val="none" w:sz="0" w:space="0" w:color="auto"/>
                                    <w:bottom w:val="none" w:sz="0" w:space="0" w:color="auto"/>
                                    <w:right w:val="none" w:sz="0" w:space="0" w:color="auto"/>
                                  </w:divBdr>
                                  <w:divsChild>
                                    <w:div w:id="469439677">
                                      <w:marLeft w:val="0"/>
                                      <w:marRight w:val="0"/>
                                      <w:marTop w:val="0"/>
                                      <w:marBottom w:val="0"/>
                                      <w:divBdr>
                                        <w:top w:val="none" w:sz="0" w:space="0" w:color="auto"/>
                                        <w:left w:val="none" w:sz="0" w:space="0" w:color="auto"/>
                                        <w:bottom w:val="none" w:sz="0" w:space="0" w:color="auto"/>
                                        <w:right w:val="none" w:sz="0" w:space="0" w:color="auto"/>
                                      </w:divBdr>
                                      <w:divsChild>
                                        <w:div w:id="992947951">
                                          <w:marLeft w:val="0"/>
                                          <w:marRight w:val="0"/>
                                          <w:marTop w:val="0"/>
                                          <w:marBottom w:val="0"/>
                                          <w:divBdr>
                                            <w:top w:val="none" w:sz="0" w:space="0" w:color="auto"/>
                                            <w:left w:val="none" w:sz="0" w:space="0" w:color="auto"/>
                                            <w:bottom w:val="none" w:sz="0" w:space="0" w:color="auto"/>
                                            <w:right w:val="none" w:sz="0" w:space="0" w:color="auto"/>
                                          </w:divBdr>
                                          <w:divsChild>
                                            <w:div w:id="175311804">
                                              <w:marLeft w:val="0"/>
                                              <w:marRight w:val="0"/>
                                              <w:marTop w:val="0"/>
                                              <w:marBottom w:val="0"/>
                                              <w:divBdr>
                                                <w:top w:val="none" w:sz="0" w:space="0" w:color="auto"/>
                                                <w:left w:val="none" w:sz="0" w:space="0" w:color="auto"/>
                                                <w:bottom w:val="none" w:sz="0" w:space="0" w:color="auto"/>
                                                <w:right w:val="none" w:sz="0" w:space="0" w:color="auto"/>
                                              </w:divBdr>
                                              <w:divsChild>
                                                <w:div w:id="323899841">
                                                  <w:marLeft w:val="0"/>
                                                  <w:marRight w:val="0"/>
                                                  <w:marTop w:val="0"/>
                                                  <w:marBottom w:val="0"/>
                                                  <w:divBdr>
                                                    <w:top w:val="none" w:sz="0" w:space="0" w:color="auto"/>
                                                    <w:left w:val="none" w:sz="0" w:space="0" w:color="auto"/>
                                                    <w:bottom w:val="none" w:sz="0" w:space="0" w:color="auto"/>
                                                    <w:right w:val="none" w:sz="0" w:space="0" w:color="auto"/>
                                                  </w:divBdr>
                                                  <w:divsChild>
                                                    <w:div w:id="290787476">
                                                      <w:marLeft w:val="0"/>
                                                      <w:marRight w:val="0"/>
                                                      <w:marTop w:val="0"/>
                                                      <w:marBottom w:val="0"/>
                                                      <w:divBdr>
                                                        <w:top w:val="none" w:sz="0" w:space="0" w:color="auto"/>
                                                        <w:left w:val="none" w:sz="0" w:space="0" w:color="auto"/>
                                                        <w:bottom w:val="none" w:sz="0" w:space="0" w:color="auto"/>
                                                        <w:right w:val="none" w:sz="0" w:space="0" w:color="auto"/>
                                                      </w:divBdr>
                                                      <w:divsChild>
                                                        <w:div w:id="1792280587">
                                                          <w:marLeft w:val="0"/>
                                                          <w:marRight w:val="0"/>
                                                          <w:marTop w:val="0"/>
                                                          <w:marBottom w:val="0"/>
                                                          <w:divBdr>
                                                            <w:top w:val="none" w:sz="0" w:space="0" w:color="auto"/>
                                                            <w:left w:val="none" w:sz="0" w:space="0" w:color="auto"/>
                                                            <w:bottom w:val="none" w:sz="0" w:space="0" w:color="auto"/>
                                                            <w:right w:val="none" w:sz="0" w:space="0" w:color="auto"/>
                                                          </w:divBdr>
                                                          <w:divsChild>
                                                            <w:div w:id="1584996744">
                                                              <w:marLeft w:val="0"/>
                                                              <w:marRight w:val="0"/>
                                                              <w:marTop w:val="0"/>
                                                              <w:marBottom w:val="0"/>
                                                              <w:divBdr>
                                                                <w:top w:val="none" w:sz="0" w:space="0" w:color="auto"/>
                                                                <w:left w:val="none" w:sz="0" w:space="0" w:color="auto"/>
                                                                <w:bottom w:val="none" w:sz="0" w:space="0" w:color="auto"/>
                                                                <w:right w:val="none" w:sz="0" w:space="0" w:color="auto"/>
                                                              </w:divBdr>
                                                              <w:divsChild>
                                                                <w:div w:id="6770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11001898">
      <w:bodyDiv w:val="1"/>
      <w:marLeft w:val="0"/>
      <w:marRight w:val="0"/>
      <w:marTop w:val="0"/>
      <w:marBottom w:val="0"/>
      <w:divBdr>
        <w:top w:val="none" w:sz="0" w:space="0" w:color="auto"/>
        <w:left w:val="none" w:sz="0" w:space="0" w:color="auto"/>
        <w:bottom w:val="none" w:sz="0" w:space="0" w:color="auto"/>
        <w:right w:val="none" w:sz="0" w:space="0" w:color="auto"/>
      </w:divBdr>
      <w:divsChild>
        <w:div w:id="1392731880">
          <w:marLeft w:val="0"/>
          <w:marRight w:val="0"/>
          <w:marTop w:val="0"/>
          <w:marBottom w:val="0"/>
          <w:divBdr>
            <w:top w:val="none" w:sz="0" w:space="0" w:color="auto"/>
            <w:left w:val="none" w:sz="0" w:space="0" w:color="auto"/>
            <w:bottom w:val="none" w:sz="0" w:space="0" w:color="auto"/>
            <w:right w:val="none" w:sz="0" w:space="0" w:color="auto"/>
          </w:divBdr>
          <w:divsChild>
            <w:div w:id="1604339282">
              <w:marLeft w:val="0"/>
              <w:marRight w:val="0"/>
              <w:marTop w:val="100"/>
              <w:marBottom w:val="100"/>
              <w:divBdr>
                <w:top w:val="none" w:sz="0" w:space="0" w:color="auto"/>
                <w:left w:val="none" w:sz="0" w:space="0" w:color="auto"/>
                <w:bottom w:val="none" w:sz="0" w:space="0" w:color="auto"/>
                <w:right w:val="none" w:sz="0" w:space="0" w:color="auto"/>
              </w:divBdr>
              <w:divsChild>
                <w:div w:id="216941749">
                  <w:marLeft w:val="0"/>
                  <w:marRight w:val="0"/>
                  <w:marTop w:val="0"/>
                  <w:marBottom w:val="0"/>
                  <w:divBdr>
                    <w:top w:val="none" w:sz="0" w:space="0" w:color="auto"/>
                    <w:left w:val="none" w:sz="0" w:space="0" w:color="auto"/>
                    <w:bottom w:val="none" w:sz="0" w:space="0" w:color="auto"/>
                    <w:right w:val="none" w:sz="0" w:space="0" w:color="auto"/>
                  </w:divBdr>
                  <w:divsChild>
                    <w:div w:id="1793010591">
                      <w:marLeft w:val="0"/>
                      <w:marRight w:val="0"/>
                      <w:marTop w:val="187"/>
                      <w:marBottom w:val="0"/>
                      <w:divBdr>
                        <w:top w:val="none" w:sz="0" w:space="0" w:color="auto"/>
                        <w:left w:val="none" w:sz="0" w:space="0" w:color="auto"/>
                        <w:bottom w:val="none" w:sz="0" w:space="0" w:color="auto"/>
                        <w:right w:val="none" w:sz="0" w:space="0" w:color="auto"/>
                      </w:divBdr>
                      <w:divsChild>
                        <w:div w:id="325674150">
                          <w:marLeft w:val="0"/>
                          <w:marRight w:val="0"/>
                          <w:marTop w:val="0"/>
                          <w:marBottom w:val="0"/>
                          <w:divBdr>
                            <w:top w:val="single" w:sz="8" w:space="7" w:color="D5D5D5"/>
                            <w:left w:val="single" w:sz="8" w:space="9" w:color="D5D5D5"/>
                            <w:bottom w:val="single" w:sz="8" w:space="1" w:color="D5D5D5"/>
                            <w:right w:val="single" w:sz="8" w:space="5" w:color="D5D5D5"/>
                          </w:divBdr>
                        </w:div>
                      </w:divsChild>
                    </w:div>
                  </w:divsChild>
                </w:div>
              </w:divsChild>
            </w:div>
          </w:divsChild>
        </w:div>
      </w:divsChild>
    </w:div>
    <w:div w:id="213759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ergy.gov/sites/prod/files/2011_DOE_Strategic_Plan_.pdf" TargetMode="External"/><Relationship Id="rId18" Type="http://schemas.openxmlformats.org/officeDocument/2006/relationships/hyperlink" Target="http://energy.gov/oe/office-electricity-delivery-and-energy-reliability" TargetMode="External"/><Relationship Id="rId26" Type="http://schemas.openxmlformats.org/officeDocument/2006/relationships/hyperlink" Target="http://science.energy.gov/" TargetMode="External"/><Relationship Id="rId3" Type="http://schemas.openxmlformats.org/officeDocument/2006/relationships/customXml" Target="../customXml/item3.xml"/><Relationship Id="rId21" Type="http://schemas.openxmlformats.org/officeDocument/2006/relationships/hyperlink" Target="http://www.swpa.gov/" TargetMode="External"/><Relationship Id="rId34" Type="http://schemas.microsoft.com/office/2007/relationships/stylesWithEffects" Target="stylesWithEffects.xml"/><Relationship Id="rId7" Type="http://schemas.openxmlformats.org/officeDocument/2006/relationships/webSettings" Target="webSettings.xml"/><Relationship Id="rId12" Type="http://schemas.openxmlformats.org/officeDocument/2006/relationships/hyperlink" Target="http://energy.gov/about-us/organization-chart" TargetMode="External"/><Relationship Id="rId17" Type="http://schemas.openxmlformats.org/officeDocument/2006/relationships/hyperlink" Target="http://www.ne.doe.gov/" TargetMode="External"/><Relationship Id="rId25" Type="http://schemas.openxmlformats.org/officeDocument/2006/relationships/hyperlink" Target="http://www.eia.gov/"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fossil.energy.gov/" TargetMode="External"/><Relationship Id="rId20" Type="http://schemas.openxmlformats.org/officeDocument/2006/relationships/hyperlink" Target="http://www.sepa.doe.gov/" TargetMode="External"/><Relationship Id="rId29" Type="http://schemas.openxmlformats.org/officeDocument/2006/relationships/hyperlink" Target="http://www.lm.doe.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nergy.gov/index.htm" TargetMode="External"/><Relationship Id="rId24" Type="http://schemas.openxmlformats.org/officeDocument/2006/relationships/hyperlink" Target="http://arpa-e.energy.gov/"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eere.energy.gov/" TargetMode="External"/><Relationship Id="rId23" Type="http://schemas.openxmlformats.org/officeDocument/2006/relationships/hyperlink" Target="http://www.lgprogram.energy.gov/" TargetMode="External"/><Relationship Id="rId28" Type="http://schemas.openxmlformats.org/officeDocument/2006/relationships/hyperlink" Target="http://www.em.doe.gov/Pages/EMHome.aspx" TargetMode="External"/><Relationship Id="rId10" Type="http://schemas.openxmlformats.org/officeDocument/2006/relationships/image" Target="media/image1.png"/><Relationship Id="rId19" Type="http://schemas.openxmlformats.org/officeDocument/2006/relationships/hyperlink" Target="http://www.bpa.gov/corporate/"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nergy.gov/sites/prod/files/DOE%20Strategic%20Plan_2012%20GPRA%20Addendum.PDF" TargetMode="External"/><Relationship Id="rId22" Type="http://schemas.openxmlformats.org/officeDocument/2006/relationships/hyperlink" Target="http://ww2.wapa.gov/sites/western/Pages/default.aspx" TargetMode="External"/><Relationship Id="rId27" Type="http://schemas.openxmlformats.org/officeDocument/2006/relationships/hyperlink" Target="http://www.nnsa.energy.gov/" TargetMode="External"/><Relationship Id="rId30" Type="http://schemas.openxmlformats.org/officeDocument/2006/relationships/hyperlink" Target="http://www.doe.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BF7499-2E97-4A6D-A0C0-F9F8975C9857}">
  <ds:schemaRefs>
    <ds:schemaRef ds:uri="http://schemas.openxmlformats.org/officeDocument/2006/bibliography"/>
  </ds:schemaRefs>
</ds:datastoreItem>
</file>

<file path=customXml/itemProps3.xml><?xml version="1.0" encoding="utf-8"?>
<ds:datastoreItem xmlns:ds="http://schemas.openxmlformats.org/officeDocument/2006/customXml" ds:itemID="{904A3B49-4954-4E51-8501-A62D7C7D3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8427</Words>
  <Characters>48040</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aalex</dc:creator>
  <cp:lastModifiedBy>aalex</cp:lastModifiedBy>
  <cp:revision>2</cp:revision>
  <cp:lastPrinted>2013-05-31T13:54:00Z</cp:lastPrinted>
  <dcterms:created xsi:type="dcterms:W3CDTF">2013-05-31T15:35:00Z</dcterms:created>
  <dcterms:modified xsi:type="dcterms:W3CDTF">2013-05-31T15:35:00Z</dcterms:modified>
</cp:coreProperties>
</file>