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C81" w:rsidRPr="00A6373F" w:rsidRDefault="00D14C81" w:rsidP="00D14C81">
      <w:pPr>
        <w:pStyle w:val="Title"/>
        <w:rPr>
          <w:rFonts w:asciiTheme="minorHAnsi" w:hAnsiTheme="minorHAnsi"/>
        </w:rPr>
      </w:pPr>
      <w:r w:rsidRPr="00A6373F">
        <w:rPr>
          <w:rFonts w:asciiTheme="minorHAnsi" w:hAnsiTheme="minorHAnsi"/>
        </w:rPr>
        <w:t>Department of Energy</w:t>
      </w:r>
    </w:p>
    <w:p w:rsidR="00A235DC" w:rsidRDefault="00D14C81" w:rsidP="00A235DC">
      <w:pPr>
        <w:pStyle w:val="Title"/>
        <w:spacing w:before="100" w:beforeAutospacing="1" w:after="100" w:afterAutospacing="1" w:line="240" w:lineRule="auto"/>
        <w:rPr>
          <w:rFonts w:asciiTheme="minorHAnsi" w:hAnsiTheme="minorHAnsi"/>
          <w:sz w:val="52"/>
          <w:szCs w:val="52"/>
        </w:rPr>
      </w:pPr>
      <w:r w:rsidRPr="00A6373F">
        <w:rPr>
          <w:rFonts w:asciiTheme="minorHAnsi" w:hAnsiTheme="minorHAnsi"/>
          <w:sz w:val="52"/>
          <w:szCs w:val="52"/>
        </w:rPr>
        <w:t>FY 201</w:t>
      </w:r>
      <w:r w:rsidR="00ED245D">
        <w:rPr>
          <w:rFonts w:asciiTheme="minorHAnsi" w:hAnsiTheme="minorHAnsi"/>
          <w:sz w:val="52"/>
          <w:szCs w:val="52"/>
        </w:rPr>
        <w:t>3</w:t>
      </w:r>
      <w:r w:rsidRPr="00A6373F">
        <w:rPr>
          <w:rFonts w:asciiTheme="minorHAnsi" w:hAnsiTheme="minorHAnsi"/>
          <w:sz w:val="52"/>
          <w:szCs w:val="52"/>
        </w:rPr>
        <w:t xml:space="preserve"> Service Contract</w:t>
      </w:r>
      <w:r w:rsidR="00A235DC">
        <w:rPr>
          <w:rFonts w:asciiTheme="minorHAnsi" w:hAnsiTheme="minorHAnsi"/>
          <w:sz w:val="52"/>
          <w:szCs w:val="52"/>
        </w:rPr>
        <w:t xml:space="preserve"> I</w:t>
      </w:r>
      <w:r w:rsidRPr="00A6373F">
        <w:rPr>
          <w:rFonts w:asciiTheme="minorHAnsi" w:hAnsiTheme="minorHAnsi"/>
          <w:sz w:val="52"/>
          <w:szCs w:val="52"/>
        </w:rPr>
        <w:t>nventory</w:t>
      </w:r>
    </w:p>
    <w:p w:rsidR="00D14C81" w:rsidRPr="00A6373F" w:rsidRDefault="00D14C81" w:rsidP="00A235DC">
      <w:pPr>
        <w:pStyle w:val="Title"/>
        <w:spacing w:before="100" w:beforeAutospacing="1" w:after="100" w:afterAutospacing="1" w:line="240" w:lineRule="auto"/>
        <w:rPr>
          <w:rFonts w:asciiTheme="minorHAnsi" w:hAnsiTheme="minorHAnsi"/>
          <w:sz w:val="52"/>
          <w:szCs w:val="52"/>
        </w:rPr>
      </w:pPr>
      <w:r w:rsidRPr="00A6373F">
        <w:rPr>
          <w:rFonts w:asciiTheme="minorHAnsi" w:hAnsiTheme="minorHAnsi"/>
          <w:sz w:val="52"/>
          <w:szCs w:val="52"/>
        </w:rPr>
        <w:t>Analysis</w:t>
      </w:r>
      <w:r>
        <w:rPr>
          <w:rFonts w:asciiTheme="minorHAnsi" w:hAnsiTheme="minorHAnsi"/>
          <w:sz w:val="52"/>
          <w:szCs w:val="52"/>
        </w:rPr>
        <w:t xml:space="preserve"> Plan</w:t>
      </w:r>
    </w:p>
    <w:p w:rsidR="00A235DC" w:rsidRDefault="00A235DC" w:rsidP="00D14C81">
      <w:pPr>
        <w:pStyle w:val="Subtitle"/>
        <w:rPr>
          <w:rFonts w:asciiTheme="minorHAnsi" w:hAnsiTheme="minorHAnsi"/>
          <w:sz w:val="32"/>
          <w:szCs w:val="32"/>
        </w:rPr>
      </w:pPr>
    </w:p>
    <w:p w:rsidR="00D14C81" w:rsidRPr="00A6373F" w:rsidRDefault="00D14C81" w:rsidP="00D14C81">
      <w:pPr>
        <w:pStyle w:val="Subtitle"/>
        <w:rPr>
          <w:rFonts w:asciiTheme="minorHAnsi" w:hAnsiTheme="minorHAnsi"/>
          <w:sz w:val="32"/>
          <w:szCs w:val="32"/>
        </w:rPr>
      </w:pPr>
      <w:r w:rsidRPr="00A6373F">
        <w:rPr>
          <w:rFonts w:asciiTheme="minorHAnsi" w:hAnsiTheme="minorHAnsi"/>
          <w:sz w:val="32"/>
          <w:szCs w:val="32"/>
        </w:rPr>
        <w:t>Department of Energy</w:t>
      </w:r>
    </w:p>
    <w:p w:rsidR="00D14C81" w:rsidRPr="00A6373F" w:rsidRDefault="00D14C81" w:rsidP="00D14C81">
      <w:pPr>
        <w:pStyle w:val="Subtitle"/>
        <w:ind w:left="360" w:hanging="360"/>
        <w:rPr>
          <w:rFonts w:asciiTheme="minorHAnsi" w:hAnsiTheme="minorHAnsi"/>
          <w:sz w:val="32"/>
          <w:szCs w:val="32"/>
        </w:rPr>
      </w:pPr>
      <w:r w:rsidRPr="00A6373F">
        <w:rPr>
          <w:rFonts w:asciiTheme="minorHAnsi" w:hAnsiTheme="minorHAnsi"/>
          <w:sz w:val="32"/>
          <w:szCs w:val="32"/>
        </w:rPr>
        <w:t xml:space="preserve">Office of </w:t>
      </w:r>
      <w:r w:rsidR="000139EE">
        <w:rPr>
          <w:rFonts w:asciiTheme="minorHAnsi" w:hAnsiTheme="minorHAnsi"/>
          <w:sz w:val="32"/>
          <w:szCs w:val="32"/>
        </w:rPr>
        <w:t>Acquisition and Project Management</w:t>
      </w:r>
      <w:r w:rsidRPr="00A6373F">
        <w:rPr>
          <w:rFonts w:asciiTheme="minorHAnsi" w:hAnsiTheme="minorHAnsi"/>
          <w:sz w:val="32"/>
          <w:szCs w:val="32"/>
        </w:rPr>
        <w:t xml:space="preserve"> </w:t>
      </w:r>
    </w:p>
    <w:p w:rsidR="00D14C81" w:rsidRPr="00A6373F" w:rsidRDefault="00D14C81" w:rsidP="00D14C81">
      <w:pPr>
        <w:pStyle w:val="Subtitle"/>
        <w:rPr>
          <w:rFonts w:asciiTheme="minorHAnsi" w:hAnsiTheme="minorHAnsi"/>
          <w:sz w:val="32"/>
          <w:szCs w:val="32"/>
        </w:rPr>
      </w:pPr>
      <w:r w:rsidRPr="00A6373F">
        <w:rPr>
          <w:rFonts w:asciiTheme="minorHAnsi" w:hAnsiTheme="minorHAnsi"/>
          <w:sz w:val="32"/>
          <w:szCs w:val="32"/>
        </w:rPr>
        <w:t>Strategic Programs Division (MA-622)</w:t>
      </w:r>
    </w:p>
    <w:p w:rsidR="00D14C81" w:rsidRPr="00A6373F" w:rsidRDefault="00D14C81" w:rsidP="00D14C81">
      <w:pPr>
        <w:pStyle w:val="Subtitle"/>
        <w:rPr>
          <w:rFonts w:asciiTheme="minorHAnsi" w:hAnsiTheme="minorHAnsi"/>
          <w:sz w:val="28"/>
          <w:szCs w:val="28"/>
        </w:rPr>
      </w:pPr>
    </w:p>
    <w:p w:rsidR="00D14C81" w:rsidRPr="00A6373F" w:rsidRDefault="00D14C81" w:rsidP="00D14C81">
      <w:pPr>
        <w:pStyle w:val="Subtitle"/>
        <w:rPr>
          <w:rFonts w:asciiTheme="minorHAnsi" w:hAnsiTheme="minorHAnsi"/>
          <w:sz w:val="28"/>
          <w:szCs w:val="28"/>
        </w:rPr>
      </w:pPr>
    </w:p>
    <w:p w:rsidR="00D14C81" w:rsidRPr="00A6373F" w:rsidRDefault="00D14C81" w:rsidP="00D14C81">
      <w:pPr>
        <w:pStyle w:val="Subtitle"/>
        <w:rPr>
          <w:rFonts w:asciiTheme="minorHAnsi" w:hAnsiTheme="minorHAnsi"/>
          <w:sz w:val="28"/>
          <w:szCs w:val="28"/>
        </w:rPr>
      </w:pPr>
    </w:p>
    <w:p w:rsidR="00D14C81" w:rsidRPr="00A6373F" w:rsidRDefault="00D14C81" w:rsidP="00D14C81">
      <w:pPr>
        <w:pStyle w:val="Subtitle"/>
        <w:rPr>
          <w:rFonts w:asciiTheme="minorHAnsi" w:hAnsiTheme="minorHAnsi"/>
          <w:sz w:val="28"/>
          <w:szCs w:val="28"/>
        </w:rPr>
      </w:pPr>
      <w:r w:rsidRPr="00A6373F">
        <w:rPr>
          <w:rFonts w:asciiTheme="minorHAnsi" w:hAnsiTheme="minorHAnsi"/>
          <w:sz w:val="28"/>
          <w:szCs w:val="28"/>
        </w:rPr>
        <w:t>December 201</w:t>
      </w:r>
      <w:r w:rsidR="00591084">
        <w:rPr>
          <w:rFonts w:asciiTheme="minorHAnsi" w:hAnsiTheme="minorHAnsi"/>
          <w:sz w:val="28"/>
          <w:szCs w:val="28"/>
        </w:rPr>
        <w:t>3</w:t>
      </w:r>
    </w:p>
    <w:p w:rsidR="00D14C81" w:rsidRPr="00A6373F" w:rsidRDefault="00D14C81" w:rsidP="00D14C81">
      <w:pPr>
        <w:pStyle w:val="Subtitle"/>
        <w:rPr>
          <w:rFonts w:asciiTheme="minorHAnsi" w:hAnsiTheme="minorHAnsi"/>
          <w:sz w:val="28"/>
          <w:szCs w:val="28"/>
        </w:rPr>
      </w:pPr>
    </w:p>
    <w:p w:rsidR="00D14C81" w:rsidRPr="00A6373F" w:rsidRDefault="00D14C81" w:rsidP="00D14C81">
      <w:pPr>
        <w:pStyle w:val="Subtitle"/>
        <w:rPr>
          <w:rFonts w:asciiTheme="minorHAnsi" w:hAnsiTheme="minorHAnsi"/>
          <w:sz w:val="28"/>
          <w:szCs w:val="28"/>
        </w:rPr>
      </w:pPr>
    </w:p>
    <w:p w:rsidR="00D14C81" w:rsidRPr="00A6373F" w:rsidRDefault="00D14C81" w:rsidP="00D14C81">
      <w:pPr>
        <w:pStyle w:val="Subtitle"/>
        <w:rPr>
          <w:rFonts w:asciiTheme="minorHAnsi" w:hAnsiTheme="minorHAnsi"/>
          <w:sz w:val="28"/>
          <w:szCs w:val="28"/>
        </w:rPr>
      </w:pPr>
    </w:p>
    <w:p w:rsidR="00D14C81" w:rsidRPr="00A6373F" w:rsidRDefault="00D14C81" w:rsidP="00D14C81">
      <w:pPr>
        <w:pStyle w:val="Contents"/>
        <w:jc w:val="center"/>
      </w:pPr>
      <w:r w:rsidRPr="00A6373F">
        <w:rPr>
          <w:noProof/>
        </w:rPr>
        <w:drawing>
          <wp:inline distT="0" distB="0" distL="0" distR="0">
            <wp:extent cx="2481398" cy="2481398"/>
            <wp:effectExtent l="19050" t="0" r="0" b="0"/>
            <wp:docPr id="4" name="Picture 1" descr="New_DOE_Seal_Color_Hi-Res_0428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DOE_Seal_Color_Hi-Res_042808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305" cy="248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81" w:rsidRPr="00A6373F" w:rsidRDefault="00D14C81" w:rsidP="00D14C81"/>
    <w:p w:rsidR="00F16E4B" w:rsidRPr="00F16E4B" w:rsidRDefault="00F16E4B" w:rsidP="00F16E4B">
      <w:pPr>
        <w:pStyle w:val="BodyText"/>
        <w:spacing w:after="0" w:line="240" w:lineRule="auto"/>
        <w:jc w:val="center"/>
        <w:rPr>
          <w:rFonts w:asciiTheme="minorHAnsi" w:hAnsiTheme="minorHAnsi"/>
          <w:b/>
          <w:sz w:val="28"/>
          <w:szCs w:val="28"/>
        </w:rPr>
      </w:pPr>
      <w:r w:rsidRPr="00F16E4B">
        <w:rPr>
          <w:rFonts w:asciiTheme="minorHAnsi" w:hAnsiTheme="minorHAnsi"/>
          <w:b/>
          <w:sz w:val="28"/>
          <w:szCs w:val="28"/>
        </w:rPr>
        <w:t>Department of Energy</w:t>
      </w:r>
    </w:p>
    <w:p w:rsidR="00F16E4B" w:rsidRPr="00F16E4B" w:rsidRDefault="00F16E4B" w:rsidP="00F16E4B">
      <w:pPr>
        <w:pStyle w:val="BodyText"/>
        <w:spacing w:after="0" w:line="240" w:lineRule="auto"/>
        <w:jc w:val="center"/>
        <w:rPr>
          <w:rFonts w:asciiTheme="minorHAnsi" w:hAnsiTheme="minorHAnsi"/>
          <w:b/>
          <w:sz w:val="28"/>
          <w:szCs w:val="28"/>
        </w:rPr>
      </w:pPr>
      <w:r w:rsidRPr="00F16E4B">
        <w:rPr>
          <w:rFonts w:asciiTheme="minorHAnsi" w:hAnsiTheme="minorHAnsi"/>
          <w:b/>
          <w:sz w:val="28"/>
          <w:szCs w:val="28"/>
        </w:rPr>
        <w:t>FY 201</w:t>
      </w:r>
      <w:r w:rsidR="00591084">
        <w:rPr>
          <w:rFonts w:asciiTheme="minorHAnsi" w:hAnsiTheme="minorHAnsi"/>
          <w:b/>
          <w:sz w:val="28"/>
          <w:szCs w:val="28"/>
        </w:rPr>
        <w:t>3</w:t>
      </w:r>
      <w:r w:rsidRPr="00F16E4B">
        <w:rPr>
          <w:rFonts w:asciiTheme="minorHAnsi" w:hAnsiTheme="minorHAnsi"/>
          <w:b/>
          <w:sz w:val="28"/>
          <w:szCs w:val="28"/>
        </w:rPr>
        <w:t xml:space="preserve"> Service Contract Inventory</w:t>
      </w:r>
    </w:p>
    <w:p w:rsidR="00F16E4B" w:rsidRPr="00F16E4B" w:rsidRDefault="00F16E4B" w:rsidP="00F16E4B">
      <w:pPr>
        <w:pStyle w:val="BodyText"/>
        <w:spacing w:after="0" w:line="240" w:lineRule="auto"/>
        <w:jc w:val="center"/>
        <w:rPr>
          <w:rFonts w:asciiTheme="minorHAnsi" w:hAnsiTheme="minorHAnsi"/>
          <w:b/>
          <w:sz w:val="28"/>
          <w:szCs w:val="28"/>
        </w:rPr>
      </w:pPr>
      <w:r w:rsidRPr="00F16E4B">
        <w:rPr>
          <w:rFonts w:asciiTheme="minorHAnsi" w:hAnsiTheme="minorHAnsi"/>
          <w:b/>
          <w:sz w:val="28"/>
          <w:szCs w:val="28"/>
        </w:rPr>
        <w:t>Plan for Analysis</w:t>
      </w:r>
    </w:p>
    <w:p w:rsidR="00DA5CEB" w:rsidRDefault="00DA5CEB" w:rsidP="00F16E4B">
      <w:pPr>
        <w:pStyle w:val="BodyText"/>
        <w:spacing w:before="120" w:after="120" w:line="240" w:lineRule="auto"/>
        <w:rPr>
          <w:rFonts w:asciiTheme="minorHAnsi" w:hAnsiTheme="minorHAnsi"/>
          <w:szCs w:val="22"/>
        </w:rPr>
      </w:pPr>
    </w:p>
    <w:p w:rsidR="00F16E4B" w:rsidRPr="00F16E4B" w:rsidRDefault="00F16E4B" w:rsidP="00F16E4B">
      <w:pPr>
        <w:pStyle w:val="BodyText"/>
        <w:spacing w:before="120" w:after="120" w:line="240" w:lineRule="auto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The Department of Energy (DOE) approach will be </w:t>
      </w:r>
      <w:r w:rsidRPr="00F16E4B">
        <w:rPr>
          <w:rFonts w:asciiTheme="minorHAnsi" w:hAnsiTheme="minorHAnsi"/>
          <w:szCs w:val="22"/>
        </w:rPr>
        <w:t xml:space="preserve">performed in accordance with the criteria set out in Consolidated Appropriations Act, 2010, (Pub. L. No. 111-117, § 743 (2009)) and Appendix D of the November 5, 2010 OMB </w:t>
      </w:r>
      <w:r w:rsidR="00657A31">
        <w:rPr>
          <w:rFonts w:asciiTheme="minorHAnsi" w:hAnsiTheme="minorHAnsi"/>
          <w:szCs w:val="22"/>
        </w:rPr>
        <w:t>M</w:t>
      </w:r>
      <w:r w:rsidRPr="00F16E4B">
        <w:rPr>
          <w:rFonts w:asciiTheme="minorHAnsi" w:hAnsiTheme="minorHAnsi"/>
          <w:szCs w:val="22"/>
        </w:rPr>
        <w:t xml:space="preserve">emorandum on Service Contract Inventories, and </w:t>
      </w:r>
      <w:r>
        <w:rPr>
          <w:rFonts w:asciiTheme="minorHAnsi" w:hAnsiTheme="minorHAnsi"/>
          <w:szCs w:val="22"/>
        </w:rPr>
        <w:t xml:space="preserve">will </w:t>
      </w:r>
      <w:r w:rsidRPr="00F16E4B">
        <w:rPr>
          <w:rFonts w:asciiTheme="minorHAnsi" w:hAnsiTheme="minorHAnsi"/>
          <w:szCs w:val="22"/>
        </w:rPr>
        <w:t>ultimately identif</w:t>
      </w:r>
      <w:r>
        <w:rPr>
          <w:rFonts w:asciiTheme="minorHAnsi" w:hAnsiTheme="minorHAnsi"/>
          <w:szCs w:val="22"/>
        </w:rPr>
        <w:t>y</w:t>
      </w:r>
      <w:r w:rsidRPr="00F16E4B">
        <w:rPr>
          <w:rFonts w:asciiTheme="minorHAnsi" w:hAnsiTheme="minorHAnsi"/>
          <w:szCs w:val="22"/>
        </w:rPr>
        <w:t xml:space="preserve"> contracts for a more in-depth review.</w:t>
      </w:r>
    </w:p>
    <w:p w:rsidR="00F16E4B" w:rsidRPr="00F16E4B" w:rsidRDefault="00F16E4B" w:rsidP="00F16E4B">
      <w:pPr>
        <w:pStyle w:val="BodyText"/>
        <w:spacing w:before="120" w:after="120" w:line="240" w:lineRule="auto"/>
        <w:rPr>
          <w:rFonts w:asciiTheme="minorHAnsi" w:hAnsiTheme="minorHAnsi"/>
          <w:szCs w:val="22"/>
        </w:rPr>
      </w:pPr>
      <w:r w:rsidRPr="00F16E4B">
        <w:rPr>
          <w:rFonts w:asciiTheme="minorHAnsi" w:hAnsiTheme="minorHAnsi"/>
          <w:szCs w:val="22"/>
        </w:rPr>
        <w:t xml:space="preserve">DOE </w:t>
      </w:r>
      <w:r>
        <w:rPr>
          <w:rFonts w:asciiTheme="minorHAnsi" w:hAnsiTheme="minorHAnsi"/>
          <w:szCs w:val="22"/>
        </w:rPr>
        <w:t>will develop the basic inventory in accordance with OMB guidance using</w:t>
      </w:r>
      <w:r w:rsidRPr="00F16E4B">
        <w:rPr>
          <w:rFonts w:asciiTheme="minorHAnsi" w:hAnsiTheme="minorHAnsi"/>
          <w:szCs w:val="22"/>
        </w:rPr>
        <w:t xml:space="preserve"> FPDS-NG data to address a number of the inventory requirements consistent with the Consolidated Appropriations Act</w:t>
      </w:r>
      <w:r w:rsidR="00581E78">
        <w:rPr>
          <w:rFonts w:asciiTheme="minorHAnsi" w:hAnsiTheme="minorHAnsi"/>
          <w:szCs w:val="22"/>
        </w:rPr>
        <w:t xml:space="preserve">. </w:t>
      </w:r>
      <w:r w:rsidR="00591084">
        <w:rPr>
          <w:rFonts w:asciiTheme="minorHAnsi" w:hAnsiTheme="minorHAnsi"/>
          <w:szCs w:val="22"/>
        </w:rPr>
        <w:t xml:space="preserve"> </w:t>
      </w:r>
      <w:r w:rsidR="00ED273C">
        <w:rPr>
          <w:rFonts w:asciiTheme="minorHAnsi" w:hAnsiTheme="minorHAnsi"/>
          <w:szCs w:val="22"/>
        </w:rPr>
        <w:t>APM</w:t>
      </w:r>
      <w:r w:rsidR="00581E78">
        <w:rPr>
          <w:rFonts w:asciiTheme="minorHAnsi" w:hAnsiTheme="minorHAnsi"/>
          <w:szCs w:val="22"/>
        </w:rPr>
        <w:t xml:space="preserve"> will </w:t>
      </w:r>
      <w:r w:rsidR="00ED273C">
        <w:rPr>
          <w:rFonts w:asciiTheme="minorHAnsi" w:hAnsiTheme="minorHAnsi"/>
          <w:szCs w:val="22"/>
        </w:rPr>
        <w:t xml:space="preserve">provide this list of contracts with special interest functions to the </w:t>
      </w:r>
      <w:r w:rsidR="00581E78">
        <w:rPr>
          <w:rFonts w:asciiTheme="minorHAnsi" w:hAnsiTheme="minorHAnsi"/>
          <w:szCs w:val="22"/>
        </w:rPr>
        <w:t xml:space="preserve">Programs </w:t>
      </w:r>
      <w:r w:rsidRPr="00F16E4B">
        <w:rPr>
          <w:rFonts w:asciiTheme="minorHAnsi" w:hAnsiTheme="minorHAnsi"/>
          <w:szCs w:val="22"/>
        </w:rPr>
        <w:t xml:space="preserve">in order to gather supplemental contract data in response to the criteria required by Section 743.  </w:t>
      </w:r>
    </w:p>
    <w:p w:rsidR="00F16E4B" w:rsidRPr="00F16E4B" w:rsidRDefault="00F16E4B" w:rsidP="00F16E4B">
      <w:pPr>
        <w:pStyle w:val="BodyText"/>
        <w:spacing w:before="120" w:after="120" w:line="240" w:lineRule="auto"/>
        <w:rPr>
          <w:rFonts w:asciiTheme="minorHAnsi" w:hAnsiTheme="minorHAnsi"/>
          <w:szCs w:val="22"/>
        </w:rPr>
      </w:pPr>
      <w:r w:rsidRPr="00F16E4B">
        <w:rPr>
          <w:rFonts w:asciiTheme="minorHAnsi" w:hAnsiTheme="minorHAnsi"/>
          <w:szCs w:val="22"/>
        </w:rPr>
        <w:t xml:space="preserve">DOE </w:t>
      </w:r>
      <w:r>
        <w:rPr>
          <w:rFonts w:asciiTheme="minorHAnsi" w:hAnsiTheme="minorHAnsi"/>
          <w:szCs w:val="22"/>
        </w:rPr>
        <w:t xml:space="preserve">will take </w:t>
      </w:r>
      <w:r w:rsidRPr="00F16E4B">
        <w:rPr>
          <w:rFonts w:asciiTheme="minorHAnsi" w:hAnsiTheme="minorHAnsi"/>
          <w:szCs w:val="22"/>
        </w:rPr>
        <w:t>the following steps in the process of its analysis:</w:t>
      </w:r>
    </w:p>
    <w:p w:rsidR="00581E78" w:rsidRPr="00581E78" w:rsidRDefault="00F16E4B" w:rsidP="00F16E4B">
      <w:pPr>
        <w:pStyle w:val="BodyText"/>
        <w:numPr>
          <w:ilvl w:val="0"/>
          <w:numId w:val="7"/>
        </w:numPr>
        <w:spacing w:before="120" w:after="120" w:line="240" w:lineRule="auto"/>
        <w:rPr>
          <w:rFonts w:asciiTheme="minorHAnsi" w:hAnsiTheme="minorHAnsi"/>
          <w:szCs w:val="22"/>
        </w:rPr>
      </w:pPr>
      <w:r w:rsidRPr="00F16E4B">
        <w:rPr>
          <w:rFonts w:asciiTheme="minorHAnsi" w:hAnsiTheme="minorHAnsi"/>
          <w:b/>
          <w:szCs w:val="22"/>
        </w:rPr>
        <w:t xml:space="preserve">Step 1:  </w:t>
      </w:r>
      <w:r w:rsidR="00581E78">
        <w:rPr>
          <w:rFonts w:asciiTheme="minorHAnsi" w:hAnsiTheme="minorHAnsi"/>
          <w:b/>
          <w:szCs w:val="22"/>
        </w:rPr>
        <w:t>Identify service contracts with special interest functions.</w:t>
      </w:r>
    </w:p>
    <w:p w:rsidR="00F16E4B" w:rsidRPr="00F16E4B" w:rsidRDefault="00581E78" w:rsidP="00F16E4B">
      <w:pPr>
        <w:pStyle w:val="BodyText"/>
        <w:numPr>
          <w:ilvl w:val="0"/>
          <w:numId w:val="7"/>
        </w:numPr>
        <w:spacing w:before="120" w:after="120" w:line="240" w:lineRule="auto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Step 2:  Notify respective programs responsible for contract functions</w:t>
      </w:r>
      <w:r w:rsidR="00F16E4B" w:rsidRPr="00F16E4B">
        <w:rPr>
          <w:rFonts w:asciiTheme="minorHAnsi" w:hAnsiTheme="minorHAnsi"/>
          <w:szCs w:val="22"/>
        </w:rPr>
        <w:t xml:space="preserve">.  </w:t>
      </w:r>
    </w:p>
    <w:p w:rsidR="00581E78" w:rsidRDefault="00F16E4B" w:rsidP="00F16E4B">
      <w:pPr>
        <w:pStyle w:val="BodyText"/>
        <w:numPr>
          <w:ilvl w:val="0"/>
          <w:numId w:val="8"/>
        </w:numPr>
        <w:spacing w:before="120" w:after="120" w:line="240" w:lineRule="auto"/>
        <w:rPr>
          <w:rFonts w:asciiTheme="minorHAnsi" w:hAnsiTheme="minorHAnsi"/>
          <w:szCs w:val="22"/>
        </w:rPr>
      </w:pPr>
      <w:r w:rsidRPr="00F16E4B">
        <w:rPr>
          <w:rFonts w:asciiTheme="minorHAnsi" w:hAnsiTheme="minorHAnsi"/>
          <w:b/>
          <w:szCs w:val="22"/>
        </w:rPr>
        <w:t xml:space="preserve">Step </w:t>
      </w:r>
      <w:r w:rsidR="00DA5CEB">
        <w:rPr>
          <w:rFonts w:asciiTheme="minorHAnsi" w:hAnsiTheme="minorHAnsi"/>
          <w:b/>
          <w:szCs w:val="22"/>
        </w:rPr>
        <w:t>3</w:t>
      </w:r>
      <w:r w:rsidRPr="00F16E4B">
        <w:rPr>
          <w:rFonts w:asciiTheme="minorHAnsi" w:hAnsiTheme="minorHAnsi"/>
          <w:b/>
          <w:szCs w:val="22"/>
        </w:rPr>
        <w:t xml:space="preserve">:  </w:t>
      </w:r>
      <w:r w:rsidR="00DA5CEB">
        <w:rPr>
          <w:rFonts w:asciiTheme="minorHAnsi" w:hAnsiTheme="minorHAnsi"/>
          <w:b/>
          <w:szCs w:val="22"/>
        </w:rPr>
        <w:t>Programs i</w:t>
      </w:r>
      <w:r w:rsidR="00DA5CEB" w:rsidRPr="00F16E4B">
        <w:rPr>
          <w:rFonts w:asciiTheme="minorHAnsi" w:hAnsiTheme="minorHAnsi"/>
          <w:b/>
          <w:szCs w:val="22"/>
        </w:rPr>
        <w:t xml:space="preserve">dentify contracts for in-depth review </w:t>
      </w:r>
      <w:r w:rsidR="00DA5CEB">
        <w:rPr>
          <w:rFonts w:asciiTheme="minorHAnsi" w:hAnsiTheme="minorHAnsi"/>
          <w:b/>
          <w:szCs w:val="22"/>
        </w:rPr>
        <w:t>based on following c</w:t>
      </w:r>
      <w:r w:rsidRPr="00F16E4B">
        <w:rPr>
          <w:rFonts w:asciiTheme="minorHAnsi" w:hAnsiTheme="minorHAnsi"/>
          <w:b/>
          <w:szCs w:val="22"/>
        </w:rPr>
        <w:t>riteria</w:t>
      </w:r>
      <w:r w:rsidR="00DA5CEB">
        <w:rPr>
          <w:rFonts w:asciiTheme="minorHAnsi" w:hAnsiTheme="minorHAnsi"/>
          <w:b/>
          <w:szCs w:val="22"/>
        </w:rPr>
        <w:t>:</w:t>
      </w:r>
      <w:r w:rsidRPr="00F16E4B">
        <w:rPr>
          <w:rFonts w:asciiTheme="minorHAnsi" w:hAnsiTheme="minorHAnsi"/>
          <w:szCs w:val="22"/>
        </w:rPr>
        <w:t xml:space="preserve">  </w:t>
      </w:r>
    </w:p>
    <w:p w:rsidR="00F16E4B" w:rsidRPr="00F16E4B" w:rsidRDefault="00F16E4B" w:rsidP="00581E78">
      <w:pPr>
        <w:pStyle w:val="BodyText"/>
        <w:numPr>
          <w:ilvl w:val="1"/>
          <w:numId w:val="8"/>
        </w:numPr>
        <w:spacing w:before="120" w:after="120" w:line="240" w:lineRule="auto"/>
        <w:rPr>
          <w:rFonts w:asciiTheme="minorHAnsi" w:hAnsiTheme="minorHAnsi"/>
          <w:szCs w:val="22"/>
        </w:rPr>
      </w:pPr>
      <w:r w:rsidRPr="00F16E4B">
        <w:rPr>
          <w:rFonts w:asciiTheme="minorHAnsi" w:hAnsiTheme="minorHAnsi"/>
          <w:szCs w:val="22"/>
        </w:rPr>
        <w:t xml:space="preserve">Based on the 10 criteria identified within </w:t>
      </w:r>
      <w:r w:rsidR="00657A31">
        <w:rPr>
          <w:rFonts w:asciiTheme="minorHAnsi" w:hAnsiTheme="minorHAnsi"/>
          <w:szCs w:val="22"/>
        </w:rPr>
        <w:t xml:space="preserve">the </w:t>
      </w:r>
      <w:r w:rsidR="00657A31" w:rsidRPr="00F16E4B">
        <w:rPr>
          <w:rFonts w:asciiTheme="minorHAnsi" w:hAnsiTheme="minorHAnsi"/>
          <w:szCs w:val="22"/>
        </w:rPr>
        <w:t>Consolidated Appropriations Act</w:t>
      </w:r>
      <w:r w:rsidRPr="00F16E4B">
        <w:rPr>
          <w:rFonts w:asciiTheme="minorHAnsi" w:hAnsiTheme="minorHAnsi"/>
          <w:szCs w:val="22"/>
        </w:rPr>
        <w:t xml:space="preserve">, DOE </w:t>
      </w:r>
      <w:r w:rsidR="00DA5CEB">
        <w:rPr>
          <w:rFonts w:asciiTheme="minorHAnsi" w:hAnsiTheme="minorHAnsi"/>
          <w:szCs w:val="22"/>
        </w:rPr>
        <w:t xml:space="preserve">Programs </w:t>
      </w:r>
      <w:r>
        <w:rPr>
          <w:rFonts w:asciiTheme="minorHAnsi" w:hAnsiTheme="minorHAnsi"/>
          <w:szCs w:val="22"/>
        </w:rPr>
        <w:t xml:space="preserve">will </w:t>
      </w:r>
      <w:r w:rsidRPr="00F16E4B">
        <w:rPr>
          <w:rFonts w:asciiTheme="minorHAnsi" w:hAnsiTheme="minorHAnsi"/>
          <w:szCs w:val="22"/>
        </w:rPr>
        <w:t xml:space="preserve">prioritize its selection of contracts </w:t>
      </w:r>
      <w:r>
        <w:rPr>
          <w:rFonts w:asciiTheme="minorHAnsi" w:hAnsiTheme="minorHAnsi"/>
          <w:szCs w:val="22"/>
        </w:rPr>
        <w:t xml:space="preserve">for further review </w:t>
      </w:r>
      <w:r w:rsidRPr="00F16E4B">
        <w:rPr>
          <w:rFonts w:asciiTheme="minorHAnsi" w:hAnsiTheme="minorHAnsi"/>
          <w:szCs w:val="22"/>
        </w:rPr>
        <w:t>in the following order:</w:t>
      </w:r>
    </w:p>
    <w:p w:rsidR="00F16E4B" w:rsidRPr="00F16E4B" w:rsidRDefault="00F16E4B" w:rsidP="00581E78">
      <w:pPr>
        <w:pStyle w:val="BodyText"/>
        <w:numPr>
          <w:ilvl w:val="2"/>
          <w:numId w:val="8"/>
        </w:numPr>
        <w:spacing w:before="120" w:after="120" w:line="240" w:lineRule="auto"/>
        <w:rPr>
          <w:rFonts w:asciiTheme="minorHAnsi" w:hAnsiTheme="minorHAnsi"/>
          <w:szCs w:val="22"/>
        </w:rPr>
      </w:pPr>
      <w:r w:rsidRPr="00F16E4B">
        <w:rPr>
          <w:rFonts w:asciiTheme="minorHAnsi" w:hAnsiTheme="minorHAnsi"/>
          <w:szCs w:val="22"/>
        </w:rPr>
        <w:t>Tier 1:  Potential for IG performance by contractors;</w:t>
      </w:r>
    </w:p>
    <w:p w:rsidR="00F16E4B" w:rsidRPr="00F16E4B" w:rsidRDefault="00F16E4B" w:rsidP="00581E78">
      <w:pPr>
        <w:pStyle w:val="BodyText"/>
        <w:numPr>
          <w:ilvl w:val="2"/>
          <w:numId w:val="8"/>
        </w:numPr>
        <w:spacing w:before="120" w:after="120" w:line="240" w:lineRule="auto"/>
        <w:rPr>
          <w:rFonts w:asciiTheme="minorHAnsi" w:hAnsiTheme="minorHAnsi"/>
          <w:szCs w:val="22"/>
        </w:rPr>
      </w:pPr>
      <w:r w:rsidRPr="00F16E4B">
        <w:rPr>
          <w:rFonts w:asciiTheme="minorHAnsi" w:hAnsiTheme="minorHAnsi"/>
          <w:szCs w:val="22"/>
        </w:rPr>
        <w:t>Tier 2:  Contracts providing services classified as special interest functions;</w:t>
      </w:r>
    </w:p>
    <w:p w:rsidR="00F16E4B" w:rsidRPr="00F16E4B" w:rsidRDefault="00F16E4B" w:rsidP="00581E78">
      <w:pPr>
        <w:pStyle w:val="BodyText"/>
        <w:numPr>
          <w:ilvl w:val="2"/>
          <w:numId w:val="8"/>
        </w:numPr>
        <w:spacing w:before="120" w:after="120" w:line="240" w:lineRule="auto"/>
        <w:rPr>
          <w:rFonts w:asciiTheme="minorHAnsi" w:hAnsiTheme="minorHAnsi"/>
          <w:szCs w:val="22"/>
        </w:rPr>
      </w:pPr>
      <w:r w:rsidRPr="00F16E4B">
        <w:rPr>
          <w:rFonts w:asciiTheme="minorHAnsi" w:hAnsiTheme="minorHAnsi"/>
          <w:szCs w:val="22"/>
        </w:rPr>
        <w:t xml:space="preserve">Tier 3:  Contracts that do </w:t>
      </w:r>
      <w:r w:rsidRPr="00F16E4B">
        <w:rPr>
          <w:rFonts w:asciiTheme="minorHAnsi" w:hAnsiTheme="minorHAnsi"/>
          <w:i/>
          <w:szCs w:val="22"/>
        </w:rPr>
        <w:t>not</w:t>
      </w:r>
      <w:r w:rsidRPr="00F16E4B">
        <w:rPr>
          <w:rFonts w:asciiTheme="minorHAnsi" w:hAnsiTheme="minorHAnsi"/>
          <w:szCs w:val="22"/>
        </w:rPr>
        <w:t xml:space="preserve"> include special interest functions, but were awarded on a non-competitive basis; and</w:t>
      </w:r>
    </w:p>
    <w:p w:rsidR="00F16E4B" w:rsidRDefault="00F16E4B" w:rsidP="00581E78">
      <w:pPr>
        <w:pStyle w:val="BodyText"/>
        <w:numPr>
          <w:ilvl w:val="2"/>
          <w:numId w:val="8"/>
        </w:numPr>
        <w:spacing w:before="120" w:after="120" w:line="240" w:lineRule="auto"/>
        <w:rPr>
          <w:rFonts w:asciiTheme="minorHAnsi" w:hAnsiTheme="minorHAnsi"/>
          <w:szCs w:val="22"/>
        </w:rPr>
      </w:pPr>
      <w:r w:rsidRPr="00F16E4B">
        <w:rPr>
          <w:rFonts w:asciiTheme="minorHAnsi" w:hAnsiTheme="minorHAnsi"/>
          <w:szCs w:val="22"/>
        </w:rPr>
        <w:t xml:space="preserve">Tier 4:  Contracts that do </w:t>
      </w:r>
      <w:r w:rsidRPr="00F16E4B">
        <w:rPr>
          <w:rFonts w:asciiTheme="minorHAnsi" w:hAnsiTheme="minorHAnsi"/>
          <w:i/>
          <w:szCs w:val="22"/>
        </w:rPr>
        <w:t>not</w:t>
      </w:r>
      <w:r w:rsidRPr="00F16E4B">
        <w:rPr>
          <w:rFonts w:asciiTheme="minorHAnsi" w:hAnsiTheme="minorHAnsi"/>
          <w:szCs w:val="22"/>
        </w:rPr>
        <w:t xml:space="preserve"> include special interest functions, but meet any one of the remaining designated criteria.</w:t>
      </w:r>
    </w:p>
    <w:p w:rsidR="00DA5CEB" w:rsidRPr="00DA5CEB" w:rsidRDefault="00DA5CEB" w:rsidP="00DA5CEB">
      <w:pPr>
        <w:pStyle w:val="BodyText"/>
        <w:numPr>
          <w:ilvl w:val="0"/>
          <w:numId w:val="8"/>
        </w:numPr>
        <w:spacing w:before="120" w:after="120" w:line="240" w:lineRule="auto"/>
        <w:rPr>
          <w:rFonts w:asciiTheme="minorHAnsi" w:hAnsiTheme="minorHAnsi"/>
          <w:szCs w:val="22"/>
        </w:rPr>
      </w:pPr>
      <w:r w:rsidRPr="00F16E4B">
        <w:rPr>
          <w:rFonts w:asciiTheme="minorHAnsi" w:hAnsiTheme="minorHAnsi"/>
          <w:b/>
          <w:szCs w:val="22"/>
        </w:rPr>
        <w:t xml:space="preserve">Step </w:t>
      </w:r>
      <w:r>
        <w:rPr>
          <w:rFonts w:asciiTheme="minorHAnsi" w:hAnsiTheme="minorHAnsi"/>
          <w:b/>
          <w:szCs w:val="22"/>
        </w:rPr>
        <w:t>4</w:t>
      </w:r>
      <w:r w:rsidRPr="00F16E4B">
        <w:rPr>
          <w:rFonts w:asciiTheme="minorHAnsi" w:hAnsiTheme="minorHAnsi"/>
          <w:b/>
          <w:szCs w:val="22"/>
        </w:rPr>
        <w:t xml:space="preserve">:  </w:t>
      </w:r>
      <w:r>
        <w:rPr>
          <w:rFonts w:asciiTheme="minorHAnsi" w:hAnsiTheme="minorHAnsi"/>
          <w:b/>
          <w:szCs w:val="22"/>
        </w:rPr>
        <w:t>Programs e</w:t>
      </w:r>
      <w:r w:rsidRPr="00F16E4B">
        <w:rPr>
          <w:rFonts w:asciiTheme="minorHAnsi" w:hAnsiTheme="minorHAnsi"/>
          <w:b/>
          <w:szCs w:val="22"/>
        </w:rPr>
        <w:t xml:space="preserve">valuate </w:t>
      </w:r>
      <w:r>
        <w:rPr>
          <w:rFonts w:asciiTheme="minorHAnsi" w:hAnsiTheme="minorHAnsi"/>
          <w:b/>
          <w:szCs w:val="22"/>
        </w:rPr>
        <w:t xml:space="preserve">contracts </w:t>
      </w:r>
      <w:r w:rsidRPr="00F16E4B">
        <w:rPr>
          <w:rFonts w:asciiTheme="minorHAnsi" w:hAnsiTheme="minorHAnsi"/>
          <w:b/>
          <w:szCs w:val="22"/>
        </w:rPr>
        <w:t xml:space="preserve">in accordance with </w:t>
      </w:r>
      <w:r>
        <w:rPr>
          <w:rFonts w:asciiTheme="minorHAnsi" w:hAnsiTheme="minorHAnsi"/>
          <w:b/>
          <w:szCs w:val="22"/>
        </w:rPr>
        <w:t>p</w:t>
      </w:r>
      <w:r w:rsidRPr="00F16E4B">
        <w:rPr>
          <w:rFonts w:asciiTheme="minorHAnsi" w:hAnsiTheme="minorHAnsi"/>
          <w:b/>
          <w:szCs w:val="22"/>
        </w:rPr>
        <w:t xml:space="preserve">olicy and </w:t>
      </w:r>
      <w:r>
        <w:rPr>
          <w:rFonts w:asciiTheme="minorHAnsi" w:hAnsiTheme="minorHAnsi"/>
          <w:b/>
          <w:szCs w:val="22"/>
        </w:rPr>
        <w:t>g</w:t>
      </w:r>
      <w:r w:rsidRPr="00F16E4B">
        <w:rPr>
          <w:rFonts w:asciiTheme="minorHAnsi" w:hAnsiTheme="minorHAnsi"/>
          <w:b/>
          <w:szCs w:val="22"/>
        </w:rPr>
        <w:t>uidance.</w:t>
      </w:r>
    </w:p>
    <w:p w:rsidR="00DA5CEB" w:rsidRPr="00DA5CEB" w:rsidRDefault="00DA5CEB" w:rsidP="00DA5CEB">
      <w:pPr>
        <w:pStyle w:val="BodyText"/>
        <w:numPr>
          <w:ilvl w:val="0"/>
          <w:numId w:val="8"/>
        </w:numPr>
        <w:spacing w:before="120" w:after="120" w:line="240" w:lineRule="auto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Step 5:  Programs report results of evaluation to APM for consolidation.</w:t>
      </w:r>
    </w:p>
    <w:p w:rsidR="00DA5CEB" w:rsidRPr="00F16E4B" w:rsidRDefault="00DA5CEB" w:rsidP="00DA5CEB">
      <w:pPr>
        <w:pStyle w:val="BodyText"/>
        <w:numPr>
          <w:ilvl w:val="0"/>
          <w:numId w:val="8"/>
        </w:numPr>
        <w:spacing w:before="120" w:after="120" w:line="240" w:lineRule="auto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Step 6:  APM reports consolidated results of analysis to OMB/OFPP.</w:t>
      </w:r>
      <w:r w:rsidRPr="00F16E4B">
        <w:rPr>
          <w:rFonts w:asciiTheme="minorHAnsi" w:hAnsiTheme="minorHAnsi"/>
          <w:szCs w:val="22"/>
        </w:rPr>
        <w:t xml:space="preserve">  </w:t>
      </w:r>
    </w:p>
    <w:p w:rsidR="00B33172" w:rsidRPr="00F16E4B" w:rsidRDefault="00ED245D">
      <w:pPr>
        <w:rPr>
          <w:rFonts w:asciiTheme="minorHAnsi" w:hAnsiTheme="minorHAnsi"/>
          <w:szCs w:val="22"/>
        </w:rPr>
      </w:pPr>
    </w:p>
    <w:sectPr w:rsidR="00B33172" w:rsidRPr="00F16E4B" w:rsidSect="00145B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E4B" w:rsidRDefault="00F16E4B" w:rsidP="00F16E4B">
      <w:r>
        <w:separator/>
      </w:r>
    </w:p>
  </w:endnote>
  <w:endnote w:type="continuationSeparator" w:id="0">
    <w:p w:rsidR="00F16E4B" w:rsidRDefault="00F16E4B" w:rsidP="00F16E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A5F" w:rsidRDefault="001F5A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A5F" w:rsidRDefault="001F5A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A5F" w:rsidRDefault="001F5A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E4B" w:rsidRDefault="00F16E4B" w:rsidP="00F16E4B">
      <w:r>
        <w:separator/>
      </w:r>
    </w:p>
  </w:footnote>
  <w:footnote w:type="continuationSeparator" w:id="0">
    <w:p w:rsidR="00F16E4B" w:rsidRDefault="00F16E4B" w:rsidP="00F16E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A5F" w:rsidRDefault="001F5A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A5F" w:rsidRDefault="001F5A5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A5F" w:rsidRDefault="001F5A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D4187"/>
    <w:multiLevelType w:val="multilevel"/>
    <w:tmpl w:val="693227E4"/>
    <w:lvl w:ilvl="0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>
    <w:nsid w:val="0E2D7C5E"/>
    <w:multiLevelType w:val="multilevel"/>
    <w:tmpl w:val="3F4009A8"/>
    <w:styleLink w:val="Style2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208385F"/>
    <w:multiLevelType w:val="multilevel"/>
    <w:tmpl w:val="90BE58FC"/>
    <w:styleLink w:val="Style1"/>
    <w:lvl w:ilvl="0">
      <w:start w:val="1"/>
      <w:numFmt w:val="upperRoman"/>
      <w:lvlText w:val="%1"/>
      <w:lvlJc w:val="left"/>
      <w:pPr>
        <w:ind w:left="432" w:hanging="432"/>
      </w:pPr>
      <w:rPr>
        <w:rFonts w:ascii="Calibri" w:hAnsi="Calibri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8CC4472"/>
    <w:multiLevelType w:val="multilevel"/>
    <w:tmpl w:val="34C279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FC714C5"/>
    <w:multiLevelType w:val="hybridMultilevel"/>
    <w:tmpl w:val="EA9AD2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D901F7C"/>
    <w:multiLevelType w:val="hybridMultilevel"/>
    <w:tmpl w:val="06C4E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45F8E"/>
    <w:multiLevelType w:val="hybridMultilevel"/>
    <w:tmpl w:val="2968FCEA"/>
    <w:lvl w:ilvl="0" w:tplc="7FD2FD0E">
      <w:start w:val="1"/>
      <w:numFmt w:val="upperRoman"/>
      <w:pStyle w:val="Heading3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25DBA"/>
    <w:multiLevelType w:val="hybridMultilevel"/>
    <w:tmpl w:val="E4F6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stylePaneFormatFilter w:val="1424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F16E4B"/>
    <w:rsid w:val="000075C8"/>
    <w:rsid w:val="000106A6"/>
    <w:rsid w:val="000127EE"/>
    <w:rsid w:val="000139EE"/>
    <w:rsid w:val="00031D6F"/>
    <w:rsid w:val="00044D12"/>
    <w:rsid w:val="00045A91"/>
    <w:rsid w:val="00060D51"/>
    <w:rsid w:val="0007435B"/>
    <w:rsid w:val="0009715A"/>
    <w:rsid w:val="000A2A94"/>
    <w:rsid w:val="000B2E35"/>
    <w:rsid w:val="000B4B95"/>
    <w:rsid w:val="000B51D1"/>
    <w:rsid w:val="000C188D"/>
    <w:rsid w:val="000D0B1C"/>
    <w:rsid w:val="000D682C"/>
    <w:rsid w:val="000D72DD"/>
    <w:rsid w:val="000E6964"/>
    <w:rsid w:val="000F01B5"/>
    <w:rsid w:val="00123FD0"/>
    <w:rsid w:val="00125909"/>
    <w:rsid w:val="00127769"/>
    <w:rsid w:val="00145B0B"/>
    <w:rsid w:val="001511CE"/>
    <w:rsid w:val="00151996"/>
    <w:rsid w:val="00164941"/>
    <w:rsid w:val="001957B0"/>
    <w:rsid w:val="001A1B75"/>
    <w:rsid w:val="001A41CC"/>
    <w:rsid w:val="001A7478"/>
    <w:rsid w:val="001B4623"/>
    <w:rsid w:val="001B4E92"/>
    <w:rsid w:val="001B739E"/>
    <w:rsid w:val="001B797F"/>
    <w:rsid w:val="001C370B"/>
    <w:rsid w:val="001D0099"/>
    <w:rsid w:val="001E558D"/>
    <w:rsid w:val="001F5A5F"/>
    <w:rsid w:val="002017F8"/>
    <w:rsid w:val="002054EE"/>
    <w:rsid w:val="00222886"/>
    <w:rsid w:val="00223EF4"/>
    <w:rsid w:val="002426F3"/>
    <w:rsid w:val="00244C1E"/>
    <w:rsid w:val="002473CF"/>
    <w:rsid w:val="002656AA"/>
    <w:rsid w:val="00272F55"/>
    <w:rsid w:val="00281DC3"/>
    <w:rsid w:val="002954A3"/>
    <w:rsid w:val="00297D2F"/>
    <w:rsid w:val="002B4271"/>
    <w:rsid w:val="002C2F2B"/>
    <w:rsid w:val="002C34AF"/>
    <w:rsid w:val="002C40FC"/>
    <w:rsid w:val="002C4841"/>
    <w:rsid w:val="002D5116"/>
    <w:rsid w:val="002E14ED"/>
    <w:rsid w:val="002E4C05"/>
    <w:rsid w:val="002E4DBB"/>
    <w:rsid w:val="002E749B"/>
    <w:rsid w:val="00302F5F"/>
    <w:rsid w:val="00302F66"/>
    <w:rsid w:val="00315688"/>
    <w:rsid w:val="00321728"/>
    <w:rsid w:val="003264CC"/>
    <w:rsid w:val="00327EB6"/>
    <w:rsid w:val="00340A85"/>
    <w:rsid w:val="00342E1C"/>
    <w:rsid w:val="00346E67"/>
    <w:rsid w:val="00352709"/>
    <w:rsid w:val="00357CB6"/>
    <w:rsid w:val="0039527B"/>
    <w:rsid w:val="003B2D37"/>
    <w:rsid w:val="003B79F9"/>
    <w:rsid w:val="003C2F03"/>
    <w:rsid w:val="003D16B0"/>
    <w:rsid w:val="00417C8D"/>
    <w:rsid w:val="00420F33"/>
    <w:rsid w:val="00425F84"/>
    <w:rsid w:val="004312BC"/>
    <w:rsid w:val="00445B55"/>
    <w:rsid w:val="0045525D"/>
    <w:rsid w:val="00474AA1"/>
    <w:rsid w:val="0048013F"/>
    <w:rsid w:val="00496F0A"/>
    <w:rsid w:val="004A3906"/>
    <w:rsid w:val="004A4C4A"/>
    <w:rsid w:val="004B62A7"/>
    <w:rsid w:val="004B7E47"/>
    <w:rsid w:val="004C59F5"/>
    <w:rsid w:val="004E3E9F"/>
    <w:rsid w:val="004F1345"/>
    <w:rsid w:val="004F30B8"/>
    <w:rsid w:val="00533A18"/>
    <w:rsid w:val="00550F53"/>
    <w:rsid w:val="00554C38"/>
    <w:rsid w:val="00560885"/>
    <w:rsid w:val="005636D4"/>
    <w:rsid w:val="00566281"/>
    <w:rsid w:val="005713A1"/>
    <w:rsid w:val="005763DE"/>
    <w:rsid w:val="00581E78"/>
    <w:rsid w:val="00591084"/>
    <w:rsid w:val="005926E9"/>
    <w:rsid w:val="005B71BD"/>
    <w:rsid w:val="005D221A"/>
    <w:rsid w:val="005F0321"/>
    <w:rsid w:val="005F04A2"/>
    <w:rsid w:val="005F1AC4"/>
    <w:rsid w:val="005F3B82"/>
    <w:rsid w:val="006074A7"/>
    <w:rsid w:val="006123ED"/>
    <w:rsid w:val="006444CE"/>
    <w:rsid w:val="00657A31"/>
    <w:rsid w:val="006626CE"/>
    <w:rsid w:val="00663ED4"/>
    <w:rsid w:val="00675FF1"/>
    <w:rsid w:val="0069085B"/>
    <w:rsid w:val="006A7753"/>
    <w:rsid w:val="007038E2"/>
    <w:rsid w:val="00704853"/>
    <w:rsid w:val="007155F6"/>
    <w:rsid w:val="00722AA7"/>
    <w:rsid w:val="00731C99"/>
    <w:rsid w:val="00737858"/>
    <w:rsid w:val="00737950"/>
    <w:rsid w:val="00767A54"/>
    <w:rsid w:val="00776303"/>
    <w:rsid w:val="0077688F"/>
    <w:rsid w:val="00777BF0"/>
    <w:rsid w:val="00785E4B"/>
    <w:rsid w:val="00793725"/>
    <w:rsid w:val="007A3352"/>
    <w:rsid w:val="007B04C0"/>
    <w:rsid w:val="007B2784"/>
    <w:rsid w:val="007C44DE"/>
    <w:rsid w:val="007C5607"/>
    <w:rsid w:val="007C5621"/>
    <w:rsid w:val="007C5689"/>
    <w:rsid w:val="007C6FE5"/>
    <w:rsid w:val="007E3352"/>
    <w:rsid w:val="007E335C"/>
    <w:rsid w:val="007F0E10"/>
    <w:rsid w:val="00806579"/>
    <w:rsid w:val="0080790D"/>
    <w:rsid w:val="00816348"/>
    <w:rsid w:val="00821558"/>
    <w:rsid w:val="00822F63"/>
    <w:rsid w:val="0083553C"/>
    <w:rsid w:val="008428D0"/>
    <w:rsid w:val="0085598B"/>
    <w:rsid w:val="0086665A"/>
    <w:rsid w:val="008844BF"/>
    <w:rsid w:val="00884CCB"/>
    <w:rsid w:val="00894703"/>
    <w:rsid w:val="00895DCD"/>
    <w:rsid w:val="0089777D"/>
    <w:rsid w:val="008A1478"/>
    <w:rsid w:val="008A5793"/>
    <w:rsid w:val="008C2325"/>
    <w:rsid w:val="008D7F94"/>
    <w:rsid w:val="008F038A"/>
    <w:rsid w:val="009104B1"/>
    <w:rsid w:val="0091077C"/>
    <w:rsid w:val="009237E4"/>
    <w:rsid w:val="00932426"/>
    <w:rsid w:val="00934034"/>
    <w:rsid w:val="00942C77"/>
    <w:rsid w:val="00942DFE"/>
    <w:rsid w:val="009464AF"/>
    <w:rsid w:val="00952B3A"/>
    <w:rsid w:val="00952EDE"/>
    <w:rsid w:val="009572D5"/>
    <w:rsid w:val="0098434E"/>
    <w:rsid w:val="009A42F6"/>
    <w:rsid w:val="009B234F"/>
    <w:rsid w:val="009B2C7B"/>
    <w:rsid w:val="009C30D2"/>
    <w:rsid w:val="009C6BB8"/>
    <w:rsid w:val="009D4BDD"/>
    <w:rsid w:val="009D513E"/>
    <w:rsid w:val="00A11C8D"/>
    <w:rsid w:val="00A11E40"/>
    <w:rsid w:val="00A235DC"/>
    <w:rsid w:val="00A334BC"/>
    <w:rsid w:val="00A60C73"/>
    <w:rsid w:val="00A74BBD"/>
    <w:rsid w:val="00A77FCC"/>
    <w:rsid w:val="00A86F1A"/>
    <w:rsid w:val="00A873B7"/>
    <w:rsid w:val="00A90327"/>
    <w:rsid w:val="00AA473F"/>
    <w:rsid w:val="00AD3620"/>
    <w:rsid w:val="00AD4D1B"/>
    <w:rsid w:val="00AE1927"/>
    <w:rsid w:val="00B00101"/>
    <w:rsid w:val="00B302BD"/>
    <w:rsid w:val="00B32227"/>
    <w:rsid w:val="00B356CE"/>
    <w:rsid w:val="00B35B92"/>
    <w:rsid w:val="00B446CD"/>
    <w:rsid w:val="00B6769D"/>
    <w:rsid w:val="00B67B0A"/>
    <w:rsid w:val="00B71249"/>
    <w:rsid w:val="00B7634C"/>
    <w:rsid w:val="00B76822"/>
    <w:rsid w:val="00BB4081"/>
    <w:rsid w:val="00BB6FEA"/>
    <w:rsid w:val="00BB776E"/>
    <w:rsid w:val="00BC709A"/>
    <w:rsid w:val="00BD10FC"/>
    <w:rsid w:val="00C114E8"/>
    <w:rsid w:val="00C206AF"/>
    <w:rsid w:val="00C266CB"/>
    <w:rsid w:val="00C330C2"/>
    <w:rsid w:val="00C40CFA"/>
    <w:rsid w:val="00C45402"/>
    <w:rsid w:val="00C75745"/>
    <w:rsid w:val="00C82BCB"/>
    <w:rsid w:val="00CB302A"/>
    <w:rsid w:val="00CB55A1"/>
    <w:rsid w:val="00CB6538"/>
    <w:rsid w:val="00CC3C25"/>
    <w:rsid w:val="00CC4CAD"/>
    <w:rsid w:val="00CC5316"/>
    <w:rsid w:val="00D035C8"/>
    <w:rsid w:val="00D04FD8"/>
    <w:rsid w:val="00D11E27"/>
    <w:rsid w:val="00D14C81"/>
    <w:rsid w:val="00D23CA2"/>
    <w:rsid w:val="00D341DF"/>
    <w:rsid w:val="00D3691F"/>
    <w:rsid w:val="00D42369"/>
    <w:rsid w:val="00D47286"/>
    <w:rsid w:val="00D540A6"/>
    <w:rsid w:val="00D57049"/>
    <w:rsid w:val="00D65921"/>
    <w:rsid w:val="00D75E16"/>
    <w:rsid w:val="00D77B77"/>
    <w:rsid w:val="00D93EF3"/>
    <w:rsid w:val="00DA08CE"/>
    <w:rsid w:val="00DA5536"/>
    <w:rsid w:val="00DA5CEB"/>
    <w:rsid w:val="00DE2EE3"/>
    <w:rsid w:val="00DE3324"/>
    <w:rsid w:val="00DE74B9"/>
    <w:rsid w:val="00E011C4"/>
    <w:rsid w:val="00E01852"/>
    <w:rsid w:val="00E1385C"/>
    <w:rsid w:val="00E21EC6"/>
    <w:rsid w:val="00E32C24"/>
    <w:rsid w:val="00E41C36"/>
    <w:rsid w:val="00E5061A"/>
    <w:rsid w:val="00E61439"/>
    <w:rsid w:val="00E63B7E"/>
    <w:rsid w:val="00E72779"/>
    <w:rsid w:val="00E72785"/>
    <w:rsid w:val="00E74A66"/>
    <w:rsid w:val="00E811BF"/>
    <w:rsid w:val="00E9731D"/>
    <w:rsid w:val="00E97D9F"/>
    <w:rsid w:val="00EA0D94"/>
    <w:rsid w:val="00EA2688"/>
    <w:rsid w:val="00ED245D"/>
    <w:rsid w:val="00ED273C"/>
    <w:rsid w:val="00ED5361"/>
    <w:rsid w:val="00ED674B"/>
    <w:rsid w:val="00EE4FE5"/>
    <w:rsid w:val="00EF4776"/>
    <w:rsid w:val="00F01FAD"/>
    <w:rsid w:val="00F16E4B"/>
    <w:rsid w:val="00F32083"/>
    <w:rsid w:val="00F3667C"/>
    <w:rsid w:val="00F47B03"/>
    <w:rsid w:val="00F53C2A"/>
    <w:rsid w:val="00F55988"/>
    <w:rsid w:val="00F753AC"/>
    <w:rsid w:val="00F967C0"/>
    <w:rsid w:val="00FA4445"/>
    <w:rsid w:val="00FC3916"/>
    <w:rsid w:val="00FC74B3"/>
    <w:rsid w:val="00FD4A66"/>
    <w:rsid w:val="00FF2C94"/>
    <w:rsid w:val="00FF4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E4B"/>
    <w:pPr>
      <w:spacing w:after="0"/>
    </w:pPr>
    <w:rPr>
      <w:rFonts w:ascii="Garamond" w:eastAsia="Times New Roman" w:hAnsi="Garamond" w:cs="Arial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085B"/>
    <w:pPr>
      <w:keepNext/>
      <w:keepLines/>
      <w:numPr>
        <w:numId w:val="4"/>
      </w:numPr>
      <w:spacing w:before="240" w:after="24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85B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9085B"/>
    <w:pPr>
      <w:keepNext/>
      <w:keepLines/>
      <w:numPr>
        <w:numId w:val="1"/>
      </w:numPr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85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85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85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85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85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85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85B"/>
    <w:rPr>
      <w:rFonts w:ascii="Calibri" w:eastAsiaTheme="majorEastAsia" w:hAnsi="Calibr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0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85B"/>
    <w:rPr>
      <w:rFonts w:ascii="Calibri" w:eastAsiaTheme="majorEastAsia" w:hAnsi="Calibri" w:cstheme="majorBidi"/>
      <w:b/>
      <w:bCs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8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8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8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8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8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8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90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085B"/>
    <w:rPr>
      <w:rFonts w:ascii="Calibri" w:eastAsiaTheme="minorEastAsia" w:hAnsi="Calibri"/>
    </w:rPr>
  </w:style>
  <w:style w:type="paragraph" w:styleId="Footer">
    <w:name w:val="footer"/>
    <w:basedOn w:val="Normal"/>
    <w:link w:val="FooterChar"/>
    <w:uiPriority w:val="99"/>
    <w:semiHidden/>
    <w:unhideWhenUsed/>
    <w:rsid w:val="00690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085B"/>
    <w:rPr>
      <w:rFonts w:ascii="Calibri" w:eastAsiaTheme="minorEastAsia" w:hAnsi="Calibri"/>
    </w:rPr>
  </w:style>
  <w:style w:type="paragraph" w:styleId="ListParagraph">
    <w:name w:val="List Paragraph"/>
    <w:basedOn w:val="Normal"/>
    <w:uiPriority w:val="34"/>
    <w:qFormat/>
    <w:rsid w:val="0069085B"/>
    <w:pPr>
      <w:ind w:left="720"/>
      <w:contextualSpacing/>
    </w:pPr>
  </w:style>
  <w:style w:type="paragraph" w:customStyle="1" w:styleId="Default">
    <w:name w:val="Default"/>
    <w:rsid w:val="0069085B"/>
    <w:pPr>
      <w:widowControl w:val="0"/>
      <w:autoSpaceDE w:val="0"/>
      <w:autoSpaceDN w:val="0"/>
      <w:adjustRightInd w:val="0"/>
      <w:spacing w:after="0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69085B"/>
    <w:pPr>
      <w:spacing w:after="263"/>
    </w:pPr>
    <w:rPr>
      <w:color w:val="auto"/>
    </w:rPr>
  </w:style>
  <w:style w:type="paragraph" w:customStyle="1" w:styleId="CM1">
    <w:name w:val="CM1"/>
    <w:basedOn w:val="Default"/>
    <w:next w:val="Default"/>
    <w:uiPriority w:val="99"/>
    <w:rsid w:val="0069085B"/>
    <w:pPr>
      <w:spacing w:line="276" w:lineRule="atLeast"/>
    </w:pPr>
    <w:rPr>
      <w:color w:val="auto"/>
    </w:rPr>
  </w:style>
  <w:style w:type="paragraph" w:customStyle="1" w:styleId="CM2">
    <w:name w:val="CM2"/>
    <w:basedOn w:val="Default"/>
    <w:next w:val="Default"/>
    <w:uiPriority w:val="99"/>
    <w:rsid w:val="0069085B"/>
    <w:pPr>
      <w:spacing w:line="278" w:lineRule="atLeast"/>
    </w:pPr>
    <w:rPr>
      <w:color w:val="auto"/>
    </w:rPr>
  </w:style>
  <w:style w:type="numbering" w:customStyle="1" w:styleId="Style1">
    <w:name w:val="Style1"/>
    <w:uiPriority w:val="99"/>
    <w:rsid w:val="0069085B"/>
    <w:pPr>
      <w:numPr>
        <w:numId w:val="3"/>
      </w:numPr>
    </w:pPr>
  </w:style>
  <w:style w:type="numbering" w:customStyle="1" w:styleId="Style2">
    <w:name w:val="Style2"/>
    <w:uiPriority w:val="99"/>
    <w:rsid w:val="0069085B"/>
    <w:pPr>
      <w:numPr>
        <w:numId w:val="4"/>
      </w:numPr>
    </w:pPr>
  </w:style>
  <w:style w:type="table" w:styleId="TableGrid">
    <w:name w:val="Table Grid"/>
    <w:basedOn w:val="TableNormal"/>
    <w:uiPriority w:val="59"/>
    <w:rsid w:val="0069085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F16E4B"/>
    <w:pPr>
      <w:spacing w:after="284" w:line="280" w:lineRule="atLeast"/>
    </w:pPr>
  </w:style>
  <w:style w:type="character" w:customStyle="1" w:styleId="BodyTextChar">
    <w:name w:val="Body Text Char"/>
    <w:basedOn w:val="DefaultParagraphFont"/>
    <w:link w:val="BodyText"/>
    <w:rsid w:val="00F16E4B"/>
    <w:rPr>
      <w:rFonts w:ascii="Garamond" w:eastAsia="Times New Roman" w:hAnsi="Garamond" w:cs="Arial"/>
      <w:szCs w:val="20"/>
    </w:rPr>
  </w:style>
  <w:style w:type="paragraph" w:styleId="ListBullet">
    <w:name w:val="List Bullet"/>
    <w:basedOn w:val="Normal"/>
    <w:rsid w:val="00F16E4B"/>
    <w:pPr>
      <w:numPr>
        <w:numId w:val="5"/>
      </w:numPr>
      <w:spacing w:after="20" w:line="280" w:lineRule="atLeast"/>
    </w:pPr>
  </w:style>
  <w:style w:type="paragraph" w:styleId="ListBullet2">
    <w:name w:val="List Bullet 2"/>
    <w:basedOn w:val="Normal"/>
    <w:rsid w:val="00F16E4B"/>
    <w:pPr>
      <w:numPr>
        <w:ilvl w:val="1"/>
        <w:numId w:val="5"/>
      </w:numPr>
      <w:spacing w:after="20" w:line="260" w:lineRule="atLeast"/>
    </w:pPr>
  </w:style>
  <w:style w:type="paragraph" w:customStyle="1" w:styleId="StyleHeading5Left">
    <w:name w:val="Style Heading 5 + Left"/>
    <w:basedOn w:val="Heading5"/>
    <w:autoRedefine/>
    <w:rsid w:val="00F16E4B"/>
    <w:pPr>
      <w:keepNext w:val="0"/>
      <w:keepLines w:val="0"/>
      <w:numPr>
        <w:ilvl w:val="0"/>
        <w:numId w:val="0"/>
      </w:numPr>
      <w:spacing w:before="120" w:after="120"/>
    </w:pPr>
    <w:rPr>
      <w:rFonts w:ascii="Times New Roman" w:eastAsia="Times New Roman" w:hAnsi="Times New Roman" w:cs="Times New Roman"/>
      <w:bCs/>
      <w:color w:val="auto"/>
    </w:rPr>
  </w:style>
  <w:style w:type="paragraph" w:styleId="Caption">
    <w:name w:val="caption"/>
    <w:basedOn w:val="Normal"/>
    <w:next w:val="Normal"/>
    <w:unhideWhenUsed/>
    <w:qFormat/>
    <w:rsid w:val="00F16E4B"/>
    <w:pPr>
      <w:spacing w:after="200"/>
    </w:pPr>
    <w:rPr>
      <w:b/>
      <w:bCs/>
      <w:color w:val="4F81BD" w:themeColor="accent1"/>
      <w:sz w:val="18"/>
      <w:szCs w:val="18"/>
    </w:rPr>
  </w:style>
  <w:style w:type="character" w:styleId="FootnoteReference">
    <w:name w:val="footnote reference"/>
    <w:basedOn w:val="DefaultParagraphFont"/>
    <w:rsid w:val="00F16E4B"/>
    <w:rPr>
      <w:vertAlign w:val="superscript"/>
    </w:rPr>
  </w:style>
  <w:style w:type="paragraph" w:styleId="Title">
    <w:name w:val="Title"/>
    <w:basedOn w:val="Normal"/>
    <w:next w:val="BodyText"/>
    <w:link w:val="TitleChar"/>
    <w:qFormat/>
    <w:rsid w:val="00D14C81"/>
    <w:pPr>
      <w:spacing w:before="400" w:after="400" w:line="580" w:lineRule="atLeast"/>
      <w:outlineLvl w:val="0"/>
    </w:pPr>
    <w:rPr>
      <w:bCs/>
      <w:kern w:val="28"/>
      <w:sz w:val="66"/>
      <w:szCs w:val="32"/>
    </w:rPr>
  </w:style>
  <w:style w:type="character" w:customStyle="1" w:styleId="TitleChar">
    <w:name w:val="Title Char"/>
    <w:basedOn w:val="DefaultParagraphFont"/>
    <w:link w:val="Title"/>
    <w:rsid w:val="00D14C81"/>
    <w:rPr>
      <w:rFonts w:ascii="Garamond" w:eastAsia="Times New Roman" w:hAnsi="Garamond" w:cs="Arial"/>
      <w:bCs/>
      <w:kern w:val="28"/>
      <w:sz w:val="66"/>
      <w:szCs w:val="32"/>
    </w:rPr>
  </w:style>
  <w:style w:type="paragraph" w:styleId="Subtitle">
    <w:name w:val="Subtitle"/>
    <w:link w:val="SubtitleChar"/>
    <w:qFormat/>
    <w:rsid w:val="00D14C81"/>
    <w:pPr>
      <w:spacing w:after="0" w:line="280" w:lineRule="atLeast"/>
      <w:outlineLvl w:val="1"/>
    </w:pPr>
    <w:rPr>
      <w:rFonts w:ascii="Arial" w:eastAsia="Times New Roman" w:hAnsi="Arial" w:cs="Arial"/>
      <w:bCs/>
      <w:kern w:val="28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14C81"/>
    <w:rPr>
      <w:rFonts w:ascii="Arial" w:eastAsia="Times New Roman" w:hAnsi="Arial" w:cs="Arial"/>
      <w:bCs/>
      <w:kern w:val="28"/>
      <w:sz w:val="24"/>
      <w:szCs w:val="24"/>
    </w:rPr>
  </w:style>
  <w:style w:type="paragraph" w:customStyle="1" w:styleId="Contents">
    <w:name w:val="Contents"/>
    <w:next w:val="Normal"/>
    <w:rsid w:val="00D14C81"/>
    <w:pPr>
      <w:spacing w:after="2520" w:line="580" w:lineRule="atLeast"/>
    </w:pPr>
    <w:rPr>
      <w:rFonts w:ascii="Garamond" w:eastAsia="Times New Roman" w:hAnsi="Garamond" w:cs="Arial"/>
      <w:sz w:val="4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C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8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davisth</dc:creator>
  <cp:keywords/>
  <dc:description/>
  <cp:lastModifiedBy>davisth</cp:lastModifiedBy>
  <cp:revision>5</cp:revision>
  <cp:lastPrinted>2012-12-26T18:21:00Z</cp:lastPrinted>
  <dcterms:created xsi:type="dcterms:W3CDTF">2013-12-09T16:46:00Z</dcterms:created>
  <dcterms:modified xsi:type="dcterms:W3CDTF">2014-01-31T18:13:00Z</dcterms:modified>
</cp:coreProperties>
</file>