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5409AD37" w:rsidR="001E4871" w:rsidRPr="00111F27" w:rsidRDefault="00494161" w:rsidP="002779A9">
      <w:pPr>
        <w:jc w:val="right"/>
        <w:rPr>
          <w:rFonts w:ascii="Cambria" w:hAnsi="Cambria"/>
          <w:b/>
          <w:sz w:val="28"/>
          <w:szCs w:val="28"/>
        </w:rPr>
      </w:pPr>
      <w:r>
        <w:rPr>
          <w:noProof/>
        </w:rPr>
        <mc:AlternateContent>
          <mc:Choice Requires="wps">
            <w:drawing>
              <wp:anchor distT="0" distB="0" distL="114300" distR="114300" simplePos="0" relativeHeight="251659264" behindDoc="0" locked="0" layoutInCell="1" allowOverlap="1" wp14:anchorId="5934177C" wp14:editId="5B5CC0B1">
                <wp:simplePos x="0" y="0"/>
                <wp:positionH relativeFrom="column">
                  <wp:posOffset>-47625</wp:posOffset>
                </wp:positionH>
                <wp:positionV relativeFrom="paragraph">
                  <wp:posOffset>57150</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1E4871" w:rsidRPr="001E4871" w:rsidRDefault="001E4871"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5pt;margin-top:4.5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">
                <v:textbox>
                  <w:txbxContent>
                    <w:p w14:paraId="607B971D" w14:textId="77777777" w:rsidR="001E4871" w:rsidRPr="001E4871" w:rsidRDefault="001E4871" w:rsidP="00111F27">
                      <w:pPr>
                        <w:rPr>
                          <w:i/>
                          <w:sz w:val="18"/>
                          <w:szCs w:val="18"/>
                        </w:rPr>
                      </w:pPr>
                      <w:r w:rsidRPr="001E4871">
                        <w:rPr>
                          <w:sz w:val="18"/>
                          <w:szCs w:val="18"/>
                        </w:rPr>
                        <w:t>Insert user logo</w:t>
                      </w:r>
                    </w:p>
                  </w:txbxContent>
                </v:textbox>
                <w10:wrap type="square"/>
              </v:shape>
            </w:pict>
          </mc:Fallback>
        </mc:AlternateContent>
      </w:r>
      <w:r w:rsidR="004B63DE">
        <w:rPr>
          <w:rFonts w:ascii="Cambria" w:hAnsi="Cambria"/>
          <w:b/>
          <w:sz w:val="28"/>
          <w:szCs w:val="28"/>
        </w:rPr>
        <w:t xml:space="preserve">Financing </w:t>
      </w:r>
      <w:r w:rsidR="000C1A06">
        <w:rPr>
          <w:rFonts w:ascii="Cambria" w:hAnsi="Cambria"/>
          <w:b/>
          <w:sz w:val="28"/>
          <w:szCs w:val="28"/>
        </w:rPr>
        <w:t>Pre-Qualification</w:t>
      </w:r>
    </w:p>
    <w:p w14:paraId="5814797E" w14:textId="62B22711" w:rsidR="00BB7156" w:rsidRDefault="002A33B4" w:rsidP="002779A9">
      <w:pPr>
        <w:pBdr>
          <w:bottom w:val="single" w:sz="12" w:space="1" w:color="auto"/>
        </w:pBdr>
        <w:jc w:val="right"/>
        <w:rPr>
          <w:rFonts w:ascii="Cambria" w:hAnsi="Cambria"/>
          <w:b/>
          <w:sz w:val="28"/>
          <w:szCs w:val="28"/>
        </w:rPr>
      </w:pP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p>
    <w:p w14:paraId="01442DD5" w14:textId="77777777" w:rsidR="002A33B4" w:rsidRPr="00111F27" w:rsidRDefault="002A33B4" w:rsidP="002779A9">
      <w:pPr>
        <w:pBdr>
          <w:bottom w:val="single" w:sz="12" w:space="1" w:color="auto"/>
        </w:pBdr>
        <w:rPr>
          <w:rFonts w:ascii="Cambria" w:hAnsi="Cambria"/>
          <w:sz w:val="16"/>
          <w:szCs w:val="16"/>
        </w:rPr>
      </w:pPr>
    </w:p>
    <w:p w14:paraId="2485BF27" w14:textId="77777777" w:rsidR="00FF1E20" w:rsidRDefault="00FF1E20" w:rsidP="002779A9">
      <w:pPr>
        <w:rPr>
          <w:rFonts w:ascii="Cambria" w:hAnsi="Cambria"/>
          <w:sz w:val="32"/>
          <w:szCs w:val="32"/>
        </w:rPr>
      </w:pPr>
    </w:p>
    <w:p w14:paraId="0CC6E5EA" w14:textId="67CBD5A7" w:rsidR="00083C28" w:rsidRDefault="000C1A06" w:rsidP="002779A9">
      <w:pPr>
        <w:pStyle w:val="Heading1"/>
        <w:numPr>
          <w:ilvl w:val="0"/>
          <w:numId w:val="0"/>
        </w:numPr>
        <w:ind w:left="360" w:hanging="360"/>
      </w:pPr>
      <w:r>
        <w:t>Pre-Qualifying Financing Firms</w:t>
      </w:r>
    </w:p>
    <w:p w14:paraId="54D7711B" w14:textId="77777777" w:rsidR="000C1A06" w:rsidRDefault="000C1A06" w:rsidP="002779A9">
      <w:pPr>
        <w:rPr>
          <w:lang w:val="en"/>
        </w:rPr>
      </w:pPr>
    </w:p>
    <w:p w14:paraId="681B0D65" w14:textId="37C991AC" w:rsidR="000C1A06" w:rsidRDefault="000C1A06" w:rsidP="002779A9">
      <w:pPr>
        <w:rPr>
          <w:lang w:val="en"/>
        </w:rPr>
      </w:pPr>
      <w:r>
        <w:rPr>
          <w:lang w:val="en"/>
        </w:rPr>
        <w:t xml:space="preserve">It is not recommended to pre-qualify financing firms.   However, firms could be pre-identified and required to abide by the following code of ethics.   </w:t>
      </w:r>
    </w:p>
    <w:p w14:paraId="082D4A2E" w14:textId="77777777" w:rsidR="000C1A06" w:rsidRDefault="000C1A06" w:rsidP="002779A9">
      <w:pPr>
        <w:rPr>
          <w:lang w:val="en"/>
        </w:rPr>
      </w:pPr>
      <w:bookmarkStart w:id="0" w:name="_GoBack"/>
      <w:bookmarkEnd w:id="0"/>
    </w:p>
    <w:p w14:paraId="11D0597D" w14:textId="2D5AECD3" w:rsidR="000C1A06" w:rsidRPr="00F92F33" w:rsidRDefault="000C1A06" w:rsidP="00F92F33">
      <w:pPr>
        <w:pStyle w:val="Heading1"/>
        <w:numPr>
          <w:ilvl w:val="0"/>
          <w:numId w:val="0"/>
        </w:numPr>
        <w:ind w:left="360" w:hanging="360"/>
      </w:pPr>
      <w:r w:rsidRPr="00F92F33">
        <w:t>Code of Ethics</w:t>
      </w:r>
      <w:r w:rsidR="00FF3841">
        <w:t xml:space="preserve"> for Financing Firms</w:t>
      </w:r>
    </w:p>
    <w:p w14:paraId="0105CBFB" w14:textId="77777777" w:rsidR="000C1A06" w:rsidRDefault="000C1A06" w:rsidP="002779A9">
      <w:pPr>
        <w:rPr>
          <w:lang w:val="en"/>
        </w:rPr>
      </w:pPr>
    </w:p>
    <w:p w14:paraId="588C0CCC" w14:textId="07F65364" w:rsidR="000C1A06" w:rsidRPr="000C1A06" w:rsidRDefault="000C1A06" w:rsidP="000C1A06">
      <w:pPr>
        <w:rPr>
          <w:lang w:val="en"/>
        </w:rPr>
      </w:pPr>
      <w:r w:rsidRPr="000C1A06">
        <w:rPr>
          <w:lang w:val="en"/>
        </w:rPr>
        <w:t>Any and all providers of financing in these matters, i.e. any form of financing for a State or Local Government, agree</w:t>
      </w:r>
      <w:r>
        <w:rPr>
          <w:lang w:val="en"/>
        </w:rPr>
        <w:t xml:space="preserve">, in advance, to the following:  </w:t>
      </w:r>
    </w:p>
    <w:p w14:paraId="0FD3E2A0" w14:textId="77777777" w:rsidR="000C1A06" w:rsidRPr="000C1A06" w:rsidRDefault="000C1A06" w:rsidP="000C1A06">
      <w:pPr>
        <w:rPr>
          <w:lang w:val="en"/>
        </w:rPr>
      </w:pPr>
    </w:p>
    <w:p w14:paraId="4EA9D8E9" w14:textId="649B1C46" w:rsidR="000C1A06" w:rsidRPr="000C1A06" w:rsidRDefault="000C1A06" w:rsidP="000C1A06">
      <w:pPr>
        <w:pStyle w:val="ListParagraph"/>
        <w:numPr>
          <w:ilvl w:val="0"/>
          <w:numId w:val="18"/>
        </w:numPr>
        <w:rPr>
          <w:lang w:val="en"/>
        </w:rPr>
      </w:pPr>
      <w:r w:rsidRPr="000C1A06">
        <w:rPr>
          <w:lang w:val="en"/>
        </w:rPr>
        <w:t xml:space="preserve">The finance provider shall be (a) An </w:t>
      </w:r>
      <w:proofErr w:type="gramStart"/>
      <w:r w:rsidRPr="000C1A06">
        <w:rPr>
          <w:lang w:val="en"/>
        </w:rPr>
        <w:t>FDIC  Member</w:t>
      </w:r>
      <w:proofErr w:type="gramEnd"/>
      <w:r w:rsidRPr="000C1A06">
        <w:rPr>
          <w:lang w:val="en"/>
        </w:rPr>
        <w:t xml:space="preserve"> Bank; or, (b) A FINRA  Registered “broker dealer”; or, (c) A currently registered Municipal Advisor , i.e. registered with the MSRB  and SEC.</w:t>
      </w:r>
    </w:p>
    <w:p w14:paraId="4C5D9AE6" w14:textId="77777777" w:rsidR="000C1A06" w:rsidRDefault="000C1A06" w:rsidP="000C1A06">
      <w:pPr>
        <w:rPr>
          <w:lang w:val="en"/>
        </w:rPr>
      </w:pPr>
    </w:p>
    <w:p w14:paraId="64F332BE" w14:textId="4182A76B" w:rsidR="000C1A06" w:rsidRPr="000C1A06" w:rsidRDefault="000C1A06" w:rsidP="000C1A06">
      <w:pPr>
        <w:pStyle w:val="ListParagraph"/>
        <w:numPr>
          <w:ilvl w:val="0"/>
          <w:numId w:val="18"/>
        </w:numPr>
        <w:rPr>
          <w:lang w:val="en"/>
        </w:rPr>
      </w:pPr>
      <w:r w:rsidRPr="000C1A06">
        <w:rPr>
          <w:lang w:val="en"/>
        </w:rPr>
        <w:t>The submitting firm shall, at all times, accurately and truthfully serve the parties to any transaction in a professional manner, including and not limited to the reasonable requests for confidentiality of the parties; provide accurate and truthful information in and for the transaction to all parties to the transaction; and, fully comply with and respect all federal, state and local laws and policies in and for the proposed transaction.</w:t>
      </w:r>
    </w:p>
    <w:p w14:paraId="4D0D4B3A" w14:textId="77777777" w:rsidR="000C1A06" w:rsidRDefault="000C1A06" w:rsidP="000C1A06">
      <w:pPr>
        <w:rPr>
          <w:lang w:val="en"/>
        </w:rPr>
      </w:pPr>
    </w:p>
    <w:p w14:paraId="60EE8388" w14:textId="043053D8" w:rsidR="000C1A06" w:rsidRPr="000C1A06" w:rsidRDefault="000C1A06" w:rsidP="000C1A06">
      <w:pPr>
        <w:pStyle w:val="ListParagraph"/>
        <w:numPr>
          <w:ilvl w:val="0"/>
          <w:numId w:val="18"/>
        </w:numPr>
        <w:rPr>
          <w:lang w:val="en"/>
        </w:rPr>
      </w:pPr>
      <w:r w:rsidRPr="000C1A06">
        <w:rPr>
          <w:lang w:val="en"/>
        </w:rPr>
        <w:t>Any and all funding proposals or commitments will be the good faith representation of the submitting firm of a transaction(s) that is likely to be consummated under the terms and conditions presented and not willingly mislead any party to the transaction.</w:t>
      </w:r>
    </w:p>
    <w:p w14:paraId="7296704D" w14:textId="77777777" w:rsidR="000C1A06" w:rsidRDefault="000C1A06" w:rsidP="000C1A06">
      <w:pPr>
        <w:rPr>
          <w:lang w:val="en"/>
        </w:rPr>
      </w:pPr>
    </w:p>
    <w:p w14:paraId="3938D073" w14:textId="181ED9CE" w:rsidR="000C1A06" w:rsidRPr="000C1A06" w:rsidRDefault="000C1A06" w:rsidP="000C1A06">
      <w:pPr>
        <w:pStyle w:val="ListParagraph"/>
        <w:numPr>
          <w:ilvl w:val="0"/>
          <w:numId w:val="18"/>
        </w:numPr>
        <w:rPr>
          <w:lang w:val="en"/>
        </w:rPr>
      </w:pPr>
      <w:r w:rsidRPr="000C1A06">
        <w:rPr>
          <w:lang w:val="en"/>
        </w:rPr>
        <w:t>Funds received by the submitting firm shall be accurately and faithfully accounted for at all times and applied as defined in any proposals or commitments issued by the submitting firm</w:t>
      </w:r>
    </w:p>
    <w:p w14:paraId="5E14CB4A" w14:textId="77777777" w:rsidR="000C1A06" w:rsidRDefault="000C1A06" w:rsidP="000C1A06">
      <w:pPr>
        <w:rPr>
          <w:lang w:val="en"/>
        </w:rPr>
      </w:pPr>
    </w:p>
    <w:p w14:paraId="000B9D4D" w14:textId="06895880" w:rsidR="000C1A06" w:rsidRPr="000C1A06" w:rsidRDefault="000C1A06" w:rsidP="000C1A06">
      <w:pPr>
        <w:pStyle w:val="ListParagraph"/>
        <w:numPr>
          <w:ilvl w:val="0"/>
          <w:numId w:val="18"/>
        </w:numPr>
        <w:rPr>
          <w:lang w:val="en"/>
        </w:rPr>
      </w:pPr>
      <w:r w:rsidRPr="000C1A06">
        <w:rPr>
          <w:lang w:val="en"/>
        </w:rPr>
        <w:t>No funds shall be paid to any party outside the transaction without the express written consent of the parties with this provision including and not limited to referral fees, broker fees or other compensation paid directly or indirectly to any employee, agents or others with direct or indirect association with the parties to any transaction.</w:t>
      </w:r>
    </w:p>
    <w:sectPr w:rsidR="000C1A06" w:rsidRPr="000C1A06" w:rsidSect="005628DF">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6B3C8" w14:textId="77777777" w:rsidR="00F40B59" w:rsidRDefault="00F40B59" w:rsidP="003520F6">
      <w:r>
        <w:separator/>
      </w:r>
    </w:p>
  </w:endnote>
  <w:endnote w:type="continuationSeparator" w:id="0">
    <w:p w14:paraId="29243157" w14:textId="77777777" w:rsidR="00F40B59" w:rsidRDefault="00F40B59"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1E4871" w:rsidRDefault="001E4871"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1E4871" w:rsidRDefault="001E4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643468"/>
      <w:docPartObj>
        <w:docPartGallery w:val="Page Numbers (Bottom of Page)"/>
        <w:docPartUnique/>
      </w:docPartObj>
    </w:sdtPr>
    <w:sdtEndPr>
      <w:rPr>
        <w:noProof/>
      </w:rPr>
    </w:sdtEndPr>
    <w:sdtContent>
      <w:p w14:paraId="51FCDDA4" w14:textId="77777777" w:rsidR="00494161" w:rsidRDefault="00494161" w:rsidP="00494161">
        <w:pPr>
          <w:pStyle w:val="Footer"/>
          <w:jc w:val="right"/>
          <w:rPr>
            <w:noProof/>
            <w:sz w:val="20"/>
            <w:szCs w:val="20"/>
          </w:rPr>
        </w:pPr>
        <w:r w:rsidRPr="00494161">
          <w:rPr>
            <w:sz w:val="20"/>
            <w:szCs w:val="20"/>
          </w:rPr>
          <w:fldChar w:fldCharType="begin"/>
        </w:r>
        <w:r w:rsidRPr="00494161">
          <w:rPr>
            <w:sz w:val="20"/>
            <w:szCs w:val="20"/>
          </w:rPr>
          <w:instrText xml:space="preserve"> PAGE   \* MERGEFORMAT </w:instrText>
        </w:r>
        <w:r w:rsidRPr="00494161">
          <w:rPr>
            <w:sz w:val="20"/>
            <w:szCs w:val="20"/>
          </w:rPr>
          <w:fldChar w:fldCharType="separate"/>
        </w:r>
        <w:r w:rsidR="0011588F">
          <w:rPr>
            <w:noProof/>
            <w:sz w:val="20"/>
            <w:szCs w:val="20"/>
          </w:rPr>
          <w:t>1</w:t>
        </w:r>
        <w:r w:rsidRPr="00494161">
          <w:rPr>
            <w:noProof/>
            <w:sz w:val="20"/>
            <w:szCs w:val="20"/>
          </w:rPr>
          <w:fldChar w:fldCharType="end"/>
        </w:r>
      </w:p>
      <w:p w14:paraId="1530B4C0" w14:textId="4E752A19" w:rsidR="00494161" w:rsidRDefault="004B63DE" w:rsidP="00494161">
        <w:pPr>
          <w:pStyle w:val="Footer"/>
          <w:jc w:val="right"/>
          <w:rPr>
            <w:rFonts w:cstheme="majorHAnsi"/>
            <w:sz w:val="20"/>
            <w:szCs w:val="20"/>
          </w:rPr>
        </w:pPr>
        <w:r>
          <w:rPr>
            <w:rFonts w:cstheme="majorHAnsi"/>
            <w:sz w:val="20"/>
            <w:szCs w:val="20"/>
          </w:rPr>
          <w:t xml:space="preserve">Financing </w:t>
        </w:r>
        <w:r w:rsidR="000C1A06">
          <w:rPr>
            <w:rFonts w:cstheme="majorHAnsi"/>
            <w:sz w:val="20"/>
            <w:szCs w:val="20"/>
          </w:rPr>
          <w:t>Firm Pre-Qualification</w:t>
        </w:r>
      </w:p>
      <w:p w14:paraId="46FA0B1F" w14:textId="08FFEFA2" w:rsidR="00494161" w:rsidRDefault="0011588F">
        <w:pPr>
          <w:pStyle w:val="Footer"/>
          <w:jc w:val="right"/>
        </w:pPr>
      </w:p>
    </w:sdtContent>
  </w:sdt>
  <w:p w14:paraId="3EC65228" w14:textId="6503344B" w:rsidR="00CD2BFC" w:rsidRPr="00CE1394" w:rsidRDefault="00CD2BFC" w:rsidP="00BB7156">
    <w:pPr>
      <w:pStyle w:val="Footer"/>
      <w:jc w:val="center"/>
      <w:rPr>
        <w:rFonts w:cstheme="maj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67605" w14:textId="77777777" w:rsidR="00F40B59" w:rsidRDefault="00F40B59" w:rsidP="003520F6">
      <w:r>
        <w:separator/>
      </w:r>
    </w:p>
  </w:footnote>
  <w:footnote w:type="continuationSeparator" w:id="0">
    <w:p w14:paraId="0A745FEE" w14:textId="77777777" w:rsidR="00F40B59" w:rsidRDefault="00F40B59"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A48260C"/>
    <w:multiLevelType w:val="multilevel"/>
    <w:tmpl w:val="B3963088"/>
    <w:lvl w:ilvl="0">
      <w:start w:val="1"/>
      <w:numFmt w:val="decimal"/>
      <w:pStyle w:val="Heading1"/>
      <w:lvlText w:val="%1.0"/>
      <w:lvlJc w:val="left"/>
      <w:pPr>
        <w:tabs>
          <w:tab w:val="num" w:pos="360"/>
        </w:tabs>
        <w:ind w:left="360" w:hanging="360"/>
      </w:pPr>
      <w:rPr>
        <w:rFonts w:ascii="Cambria" w:hAnsi="Cambria" w:hint="default"/>
        <w:b/>
        <w:i w:val="0"/>
        <w:sz w:val="28"/>
        <w:szCs w:val="28"/>
      </w:rPr>
    </w:lvl>
    <w:lvl w:ilvl="1">
      <w:start w:val="1"/>
      <w:numFmt w:val="decimal"/>
      <w:pStyle w:val="Heading3"/>
      <w:lvlText w:val="%1.%2"/>
      <w:lvlJc w:val="left"/>
      <w:pPr>
        <w:tabs>
          <w:tab w:val="num" w:pos="792"/>
        </w:tabs>
        <w:ind w:left="792" w:hanging="432"/>
      </w:pPr>
      <w:rPr>
        <w:rFonts w:hint="default"/>
        <w:i w:val="0"/>
      </w:rPr>
    </w:lvl>
    <w:lvl w:ilvl="2">
      <w:start w:val="1"/>
      <w:numFmt w:val="decimal"/>
      <w:pStyle w:val="Heading4"/>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A8F4EB2"/>
    <w:multiLevelType w:val="hybridMultilevel"/>
    <w:tmpl w:val="B6BE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917DF"/>
    <w:multiLevelType w:val="hybridMultilevel"/>
    <w:tmpl w:val="F9E8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D53F4"/>
    <w:multiLevelType w:val="multilevel"/>
    <w:tmpl w:val="DDDA94FA"/>
    <w:lvl w:ilvl="0">
      <w:start w:val="1"/>
      <w:numFmt w:val="decimal"/>
      <w:lvlText w:val="%1.0"/>
      <w:lvlJc w:val="left"/>
      <w:pPr>
        <w:tabs>
          <w:tab w:val="num" w:pos="360"/>
        </w:tabs>
        <w:ind w:left="360" w:hanging="360"/>
      </w:pPr>
      <w:rPr>
        <w:rFonts w:ascii="Cambria" w:hAnsi="Cambria" w:hint="default"/>
        <w:b/>
        <w:i w:val="0"/>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13E761F"/>
    <w:multiLevelType w:val="hybridMultilevel"/>
    <w:tmpl w:val="BA6EAFA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nsid w:val="23A65F4A"/>
    <w:multiLevelType w:val="hybridMultilevel"/>
    <w:tmpl w:val="CAE4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37E12"/>
    <w:multiLevelType w:val="hybridMultilevel"/>
    <w:tmpl w:val="3724AC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CE6629"/>
    <w:multiLevelType w:val="hybridMultilevel"/>
    <w:tmpl w:val="0D36139E"/>
    <w:lvl w:ilvl="0" w:tplc="0409000F">
      <w:start w:val="1"/>
      <w:numFmt w:val="decimal"/>
      <w:lvlText w:val="%1."/>
      <w:lvlJc w:val="left"/>
      <w:pPr>
        <w:tabs>
          <w:tab w:val="num" w:pos="3960"/>
        </w:tabs>
        <w:ind w:left="3960" w:hanging="360"/>
      </w:p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9">
    <w:nsid w:val="44F47631"/>
    <w:multiLevelType w:val="multilevel"/>
    <w:tmpl w:val="FEE2DBA0"/>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9435036"/>
    <w:multiLevelType w:val="hybridMultilevel"/>
    <w:tmpl w:val="BA82962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4BE1318F"/>
    <w:multiLevelType w:val="multilevel"/>
    <w:tmpl w:val="FEE2DBA0"/>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61D85FC4"/>
    <w:multiLevelType w:val="hybridMultilevel"/>
    <w:tmpl w:val="4C085AE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C762E95"/>
    <w:multiLevelType w:val="hybridMultilevel"/>
    <w:tmpl w:val="7D662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CF95144"/>
    <w:multiLevelType w:val="hybridMultilevel"/>
    <w:tmpl w:val="E42E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C62527"/>
    <w:multiLevelType w:val="hybridMultilevel"/>
    <w:tmpl w:val="F40C35B8"/>
    <w:lvl w:ilvl="0" w:tplc="3C4EF91E">
      <w:start w:val="1"/>
      <w:numFmt w:val="bullet"/>
      <w:lvlText w:val=""/>
      <w:lvlJc w:val="left"/>
      <w:pPr>
        <w:tabs>
          <w:tab w:val="num" w:pos="3960"/>
        </w:tabs>
        <w:ind w:left="3960" w:hanging="360"/>
      </w:pPr>
      <w:rPr>
        <w:rFonts w:ascii="Symbol" w:hAnsi="Symbol" w:hint="default"/>
        <w:color w:val="auto"/>
      </w:rPr>
    </w:lvl>
    <w:lvl w:ilvl="1" w:tplc="04090003" w:tentative="1">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6">
    <w:nsid w:val="7AFB5373"/>
    <w:multiLevelType w:val="hybridMultilevel"/>
    <w:tmpl w:val="40660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01233"/>
    <w:multiLevelType w:val="hybridMultilevel"/>
    <w:tmpl w:val="E4C02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3"/>
  </w:num>
  <w:num w:numId="3">
    <w:abstractNumId w:val="17"/>
  </w:num>
  <w:num w:numId="4">
    <w:abstractNumId w:val="10"/>
  </w:num>
  <w:num w:numId="5">
    <w:abstractNumId w:val="6"/>
  </w:num>
  <w:num w:numId="6">
    <w:abstractNumId w:val="9"/>
  </w:num>
  <w:num w:numId="7">
    <w:abstractNumId w:val="11"/>
  </w:num>
  <w:num w:numId="8">
    <w:abstractNumId w:val="4"/>
  </w:num>
  <w:num w:numId="9">
    <w:abstractNumId w:val="16"/>
  </w:num>
  <w:num w:numId="10">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1">
    <w:abstractNumId w:val="12"/>
  </w:num>
  <w:num w:numId="12">
    <w:abstractNumId w:val="7"/>
  </w:num>
  <w:num w:numId="13">
    <w:abstractNumId w:val="15"/>
  </w:num>
  <w:num w:numId="14">
    <w:abstractNumId w:val="8"/>
  </w:num>
  <w:num w:numId="15">
    <w:abstractNumId w:val="5"/>
  </w:num>
  <w:num w:numId="16">
    <w:abstractNumId w:val="14"/>
  </w:num>
  <w:num w:numId="17">
    <w:abstractNumId w:val="2"/>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30729"/>
    <w:rsid w:val="00083C28"/>
    <w:rsid w:val="000A6B4A"/>
    <w:rsid w:val="000C1A06"/>
    <w:rsid w:val="000C6B9A"/>
    <w:rsid w:val="00111F27"/>
    <w:rsid w:val="0011588F"/>
    <w:rsid w:val="001E4871"/>
    <w:rsid w:val="002131BD"/>
    <w:rsid w:val="002779A9"/>
    <w:rsid w:val="002A33B4"/>
    <w:rsid w:val="002C7FF0"/>
    <w:rsid w:val="002E233A"/>
    <w:rsid w:val="002F7F44"/>
    <w:rsid w:val="003520F6"/>
    <w:rsid w:val="004302A6"/>
    <w:rsid w:val="0043713F"/>
    <w:rsid w:val="00494161"/>
    <w:rsid w:val="004B43E0"/>
    <w:rsid w:val="004B63DE"/>
    <w:rsid w:val="004D0D75"/>
    <w:rsid w:val="004D50B8"/>
    <w:rsid w:val="00505298"/>
    <w:rsid w:val="005628DF"/>
    <w:rsid w:val="005C30AF"/>
    <w:rsid w:val="006452EE"/>
    <w:rsid w:val="006724FF"/>
    <w:rsid w:val="00684031"/>
    <w:rsid w:val="007149C8"/>
    <w:rsid w:val="007D2DA8"/>
    <w:rsid w:val="007F5F6E"/>
    <w:rsid w:val="00880131"/>
    <w:rsid w:val="008E54E8"/>
    <w:rsid w:val="0092574D"/>
    <w:rsid w:val="009863EA"/>
    <w:rsid w:val="009D3B6D"/>
    <w:rsid w:val="00A6642D"/>
    <w:rsid w:val="00A67FAF"/>
    <w:rsid w:val="00A77034"/>
    <w:rsid w:val="00A97422"/>
    <w:rsid w:val="00AC647D"/>
    <w:rsid w:val="00B90132"/>
    <w:rsid w:val="00BB7156"/>
    <w:rsid w:val="00BD1FC2"/>
    <w:rsid w:val="00BD74B1"/>
    <w:rsid w:val="00C1453F"/>
    <w:rsid w:val="00C86165"/>
    <w:rsid w:val="00CB1F86"/>
    <w:rsid w:val="00CD1CC2"/>
    <w:rsid w:val="00CD2BFC"/>
    <w:rsid w:val="00CE1394"/>
    <w:rsid w:val="00CF6952"/>
    <w:rsid w:val="00D622BB"/>
    <w:rsid w:val="00D707FD"/>
    <w:rsid w:val="00DB6127"/>
    <w:rsid w:val="00DE057A"/>
    <w:rsid w:val="00E01B7E"/>
    <w:rsid w:val="00EB7724"/>
    <w:rsid w:val="00ED0350"/>
    <w:rsid w:val="00F21785"/>
    <w:rsid w:val="00F40B59"/>
    <w:rsid w:val="00F413F8"/>
    <w:rsid w:val="00F92F33"/>
    <w:rsid w:val="00FD2181"/>
    <w:rsid w:val="00FD2E16"/>
    <w:rsid w:val="00FF1E20"/>
    <w:rsid w:val="00FF3841"/>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A6642D"/>
    <w:pPr>
      <w:numPr>
        <w:numId w:val="1"/>
      </w:numPr>
      <w:outlineLvl w:val="0"/>
    </w:pPr>
    <w:rPr>
      <w:b/>
      <w:sz w:val="28"/>
      <w:szCs w:val="28"/>
    </w:rPr>
  </w:style>
  <w:style w:type="paragraph" w:styleId="Heading2">
    <w:name w:val="heading 2"/>
    <w:basedOn w:val="Normal"/>
    <w:next w:val="Normal"/>
    <w:link w:val="Heading2Char"/>
    <w:uiPriority w:val="9"/>
    <w:unhideWhenUsed/>
    <w:qFormat/>
    <w:rsid w:val="00A6642D"/>
    <w:pPr>
      <w:tabs>
        <w:tab w:val="num" w:pos="-2520"/>
        <w:tab w:val="left" w:pos="-1710"/>
      </w:tabs>
      <w:outlineLvl w:val="1"/>
    </w:pPr>
    <w:rPr>
      <w:b/>
      <w:sz w:val="26"/>
      <w:szCs w:val="26"/>
    </w:rPr>
  </w:style>
  <w:style w:type="paragraph" w:styleId="Heading3">
    <w:name w:val="heading 3"/>
    <w:basedOn w:val="Normal"/>
    <w:next w:val="Normal"/>
    <w:link w:val="Heading3Char"/>
    <w:uiPriority w:val="9"/>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iPriority w:val="9"/>
    <w:unhideWhenUsed/>
    <w:qFormat/>
    <w:rsid w:val="00A6642D"/>
    <w:pPr>
      <w:numPr>
        <w:ilvl w:val="2"/>
        <w:numId w:val="1"/>
      </w:numPr>
      <w:tabs>
        <w:tab w:val="clear" w:pos="1440"/>
      </w:tabs>
      <w:ind w:left="1440" w:firstLine="36"/>
      <w:outlineLvl w:val="3"/>
    </w:pPr>
    <w:rPr>
      <w:b/>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iPriority w:val="9"/>
    <w:semiHidden/>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6642D"/>
    <w:rPr>
      <w:b/>
      <w:sz w:val="28"/>
      <w:szCs w:val="28"/>
    </w:rPr>
  </w:style>
  <w:style w:type="character" w:customStyle="1" w:styleId="Heading2Char">
    <w:name w:val="Heading 2 Char"/>
    <w:basedOn w:val="DefaultParagraphFont"/>
    <w:link w:val="Heading2"/>
    <w:uiPriority w:val="9"/>
    <w:rsid w:val="00A6642D"/>
    <w:rPr>
      <w:b/>
      <w:sz w:val="26"/>
      <w:szCs w:val="26"/>
    </w:rPr>
  </w:style>
  <w:style w:type="character" w:customStyle="1" w:styleId="Heading3Char">
    <w:name w:val="Heading 3 Char"/>
    <w:basedOn w:val="DefaultParagraphFont"/>
    <w:link w:val="Heading3"/>
    <w:uiPriority w:val="9"/>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iPriority w:val="99"/>
    <w:semiHidden/>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A6642D"/>
    <w:pPr>
      <w:numPr>
        <w:numId w:val="1"/>
      </w:numPr>
      <w:outlineLvl w:val="0"/>
    </w:pPr>
    <w:rPr>
      <w:b/>
      <w:sz w:val="28"/>
      <w:szCs w:val="28"/>
    </w:rPr>
  </w:style>
  <w:style w:type="paragraph" w:styleId="Heading2">
    <w:name w:val="heading 2"/>
    <w:basedOn w:val="Normal"/>
    <w:next w:val="Normal"/>
    <w:link w:val="Heading2Char"/>
    <w:uiPriority w:val="9"/>
    <w:unhideWhenUsed/>
    <w:qFormat/>
    <w:rsid w:val="00A6642D"/>
    <w:pPr>
      <w:tabs>
        <w:tab w:val="num" w:pos="-2520"/>
        <w:tab w:val="left" w:pos="-1710"/>
      </w:tabs>
      <w:outlineLvl w:val="1"/>
    </w:pPr>
    <w:rPr>
      <w:b/>
      <w:sz w:val="26"/>
      <w:szCs w:val="26"/>
    </w:rPr>
  </w:style>
  <w:style w:type="paragraph" w:styleId="Heading3">
    <w:name w:val="heading 3"/>
    <w:basedOn w:val="Normal"/>
    <w:next w:val="Normal"/>
    <w:link w:val="Heading3Char"/>
    <w:uiPriority w:val="9"/>
    <w:unhideWhenUsed/>
    <w:qFormat/>
    <w:rsid w:val="00A6642D"/>
    <w:pPr>
      <w:numPr>
        <w:ilvl w:val="1"/>
        <w:numId w:val="1"/>
      </w:numPr>
      <w:tabs>
        <w:tab w:val="clear" w:pos="792"/>
        <w:tab w:val="num" w:pos="-1350"/>
      </w:tabs>
      <w:ind w:left="720" w:firstLine="0"/>
      <w:outlineLvl w:val="2"/>
    </w:pPr>
    <w:rPr>
      <w:b/>
    </w:rPr>
  </w:style>
  <w:style w:type="paragraph" w:styleId="Heading4">
    <w:name w:val="heading 4"/>
    <w:basedOn w:val="Normal"/>
    <w:next w:val="Normal"/>
    <w:link w:val="Heading4Char"/>
    <w:uiPriority w:val="9"/>
    <w:unhideWhenUsed/>
    <w:qFormat/>
    <w:rsid w:val="00A6642D"/>
    <w:pPr>
      <w:numPr>
        <w:ilvl w:val="2"/>
        <w:numId w:val="1"/>
      </w:numPr>
      <w:tabs>
        <w:tab w:val="clear" w:pos="1440"/>
      </w:tabs>
      <w:ind w:left="1440" w:firstLine="36"/>
      <w:outlineLvl w:val="3"/>
    </w:pPr>
    <w:rPr>
      <w:b/>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iPriority w:val="9"/>
    <w:semiHidden/>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A6642D"/>
    <w:rPr>
      <w:b/>
      <w:sz w:val="28"/>
      <w:szCs w:val="28"/>
    </w:rPr>
  </w:style>
  <w:style w:type="character" w:customStyle="1" w:styleId="Heading2Char">
    <w:name w:val="Heading 2 Char"/>
    <w:basedOn w:val="DefaultParagraphFont"/>
    <w:link w:val="Heading2"/>
    <w:uiPriority w:val="9"/>
    <w:rsid w:val="00A6642D"/>
    <w:rPr>
      <w:b/>
      <w:sz w:val="26"/>
      <w:szCs w:val="26"/>
    </w:rPr>
  </w:style>
  <w:style w:type="character" w:customStyle="1" w:styleId="Heading3Char">
    <w:name w:val="Heading 3 Char"/>
    <w:basedOn w:val="DefaultParagraphFont"/>
    <w:link w:val="Heading3"/>
    <w:uiPriority w:val="9"/>
    <w:rsid w:val="00A6642D"/>
    <w:rPr>
      <w:b/>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iPriority w:val="99"/>
    <w:semiHidden/>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rsid w:val="00A6642D"/>
    <w:rPr>
      <w:b/>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EFEA1-0D5B-4545-B17F-4FF3634F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Financing Pre-Qualification</dc:title>
  <dc:subject>Document contains code of ethics required for pre-qualified financing firms. </dc:subject>
  <dc:creator>Sarah Yardley</dc:creator>
  <cp:lastModifiedBy>Nicole Harrison</cp:lastModifiedBy>
  <cp:revision>6</cp:revision>
  <dcterms:created xsi:type="dcterms:W3CDTF">2014-01-28T04:02:00Z</dcterms:created>
  <dcterms:modified xsi:type="dcterms:W3CDTF">2014-06-26T19:28:00Z</dcterms:modified>
</cp:coreProperties>
</file>