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4" w:rsidRDefault="004C0E24" w:rsidP="0096133A">
      <w:pPr>
        <w:jc w:val="center"/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Reviewer Instructions</w:t>
      </w:r>
    </w:p>
    <w:p w:rsidR="00004075" w:rsidRDefault="004C0E24" w:rsidP="0096133A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QTR Chapter 8:</w:t>
      </w:r>
      <w:r w:rsidR="00004075" w:rsidRPr="00004075">
        <w:rPr>
          <w:b/>
          <w:i/>
          <w:sz w:val="28"/>
        </w:rPr>
        <w:t xml:space="preserve"> Increasing Efficiency and Effectiveness of Industry and Manufacturing</w:t>
      </w:r>
    </w:p>
    <w:p w:rsidR="00004075" w:rsidRDefault="00004075" w:rsidP="0096133A">
      <w:pPr>
        <w:jc w:val="center"/>
        <w:rPr>
          <w:b/>
          <w:i/>
          <w:sz w:val="28"/>
        </w:rPr>
      </w:pPr>
    </w:p>
    <w:p w:rsidR="00004075" w:rsidRDefault="00004075" w:rsidP="0096133A">
      <w:pPr>
        <w:jc w:val="center"/>
        <w:rPr>
          <w:b/>
          <w:i/>
          <w:sz w:val="28"/>
        </w:rPr>
      </w:pPr>
    </w:p>
    <w:p w:rsidR="0096133A" w:rsidRDefault="0096133A" w:rsidP="00004075">
      <w:pPr>
        <w:rPr>
          <w:sz w:val="24"/>
          <w:szCs w:val="24"/>
          <w:u w:val="single"/>
        </w:rPr>
      </w:pPr>
      <w:r w:rsidRPr="006C29E8">
        <w:rPr>
          <w:sz w:val="24"/>
          <w:szCs w:val="24"/>
          <w:u w:val="single"/>
        </w:rPr>
        <w:t xml:space="preserve">This document </w:t>
      </w:r>
      <w:r w:rsidR="00136D7E" w:rsidRPr="006C29E8">
        <w:rPr>
          <w:sz w:val="24"/>
          <w:szCs w:val="24"/>
          <w:u w:val="single"/>
        </w:rPr>
        <w:t>provides</w:t>
      </w:r>
      <w:r w:rsidRPr="006C29E8">
        <w:rPr>
          <w:sz w:val="24"/>
          <w:szCs w:val="24"/>
          <w:u w:val="single"/>
        </w:rPr>
        <w:t xml:space="preserve"> </w:t>
      </w:r>
      <w:r w:rsidR="00D90E36" w:rsidRPr="006C29E8">
        <w:rPr>
          <w:sz w:val="24"/>
          <w:szCs w:val="24"/>
          <w:u w:val="single"/>
        </w:rPr>
        <w:t>I</w:t>
      </w:r>
      <w:r w:rsidRPr="006C29E8">
        <w:rPr>
          <w:sz w:val="24"/>
          <w:szCs w:val="24"/>
          <w:u w:val="single"/>
        </w:rPr>
        <w:t xml:space="preserve">nstructions </w:t>
      </w:r>
      <w:r w:rsidR="00D90E36" w:rsidRPr="006C29E8">
        <w:rPr>
          <w:sz w:val="24"/>
          <w:szCs w:val="24"/>
          <w:u w:val="single"/>
        </w:rPr>
        <w:t>(page</w:t>
      </w:r>
      <w:r w:rsidR="00D93B1F">
        <w:rPr>
          <w:sz w:val="24"/>
          <w:szCs w:val="24"/>
          <w:u w:val="single"/>
        </w:rPr>
        <w:t>s</w:t>
      </w:r>
      <w:r w:rsidR="00D90E36" w:rsidRPr="006C29E8">
        <w:rPr>
          <w:sz w:val="24"/>
          <w:szCs w:val="24"/>
          <w:u w:val="single"/>
        </w:rPr>
        <w:t xml:space="preserve"> 1</w:t>
      </w:r>
      <w:r w:rsidR="00D93B1F">
        <w:rPr>
          <w:sz w:val="24"/>
          <w:szCs w:val="24"/>
          <w:u w:val="single"/>
        </w:rPr>
        <w:t>-2</w:t>
      </w:r>
      <w:r w:rsidR="00D90E36" w:rsidRPr="006C29E8">
        <w:rPr>
          <w:sz w:val="24"/>
          <w:szCs w:val="24"/>
          <w:u w:val="single"/>
        </w:rPr>
        <w:t xml:space="preserve">) </w:t>
      </w:r>
      <w:r w:rsidRPr="006C29E8">
        <w:rPr>
          <w:sz w:val="24"/>
          <w:szCs w:val="24"/>
          <w:u w:val="single"/>
        </w:rPr>
        <w:t xml:space="preserve">and a </w:t>
      </w:r>
      <w:r w:rsidR="005E199D" w:rsidRPr="005E199D">
        <w:rPr>
          <w:b/>
          <w:color w:val="C00000"/>
          <w:sz w:val="24"/>
          <w:szCs w:val="24"/>
          <w:u w:val="single"/>
        </w:rPr>
        <w:t>Comment Form</w:t>
      </w:r>
      <w:r w:rsidR="00D90E36" w:rsidRPr="005E199D">
        <w:rPr>
          <w:color w:val="C00000"/>
          <w:sz w:val="24"/>
          <w:szCs w:val="24"/>
          <w:u w:val="single"/>
        </w:rPr>
        <w:t xml:space="preserve"> </w:t>
      </w:r>
      <w:r w:rsidR="00D90E36" w:rsidRPr="006C29E8">
        <w:rPr>
          <w:sz w:val="24"/>
          <w:szCs w:val="24"/>
          <w:u w:val="single"/>
        </w:rPr>
        <w:t xml:space="preserve">(page </w:t>
      </w:r>
      <w:r w:rsidR="00D93B1F">
        <w:rPr>
          <w:sz w:val="24"/>
          <w:szCs w:val="24"/>
          <w:u w:val="single"/>
        </w:rPr>
        <w:t>3</w:t>
      </w:r>
      <w:r w:rsidR="00D90E36" w:rsidRPr="006C29E8">
        <w:rPr>
          <w:sz w:val="24"/>
          <w:szCs w:val="24"/>
          <w:u w:val="single"/>
        </w:rPr>
        <w:t>)</w:t>
      </w:r>
      <w:r w:rsidRPr="006C29E8">
        <w:rPr>
          <w:sz w:val="24"/>
          <w:szCs w:val="24"/>
          <w:u w:val="single"/>
        </w:rPr>
        <w:t xml:space="preserve"> for</w:t>
      </w:r>
      <w:r w:rsidR="00ED51B1" w:rsidRPr="006C29E8">
        <w:rPr>
          <w:sz w:val="24"/>
          <w:szCs w:val="24"/>
          <w:u w:val="single"/>
        </w:rPr>
        <w:t xml:space="preserve"> prepar</w:t>
      </w:r>
      <w:r w:rsidRPr="006C29E8">
        <w:rPr>
          <w:sz w:val="24"/>
          <w:szCs w:val="24"/>
          <w:u w:val="single"/>
        </w:rPr>
        <w:t>ing</w:t>
      </w:r>
      <w:r w:rsidR="00ED51B1" w:rsidRPr="006C29E8">
        <w:rPr>
          <w:sz w:val="24"/>
          <w:szCs w:val="24"/>
          <w:u w:val="single"/>
        </w:rPr>
        <w:t xml:space="preserve"> and submit</w:t>
      </w:r>
      <w:r w:rsidRPr="006C29E8">
        <w:rPr>
          <w:sz w:val="24"/>
          <w:szCs w:val="24"/>
          <w:u w:val="single"/>
        </w:rPr>
        <w:t>ting</w:t>
      </w:r>
      <w:r w:rsidR="00ED51B1" w:rsidRPr="006C29E8">
        <w:rPr>
          <w:sz w:val="24"/>
          <w:szCs w:val="24"/>
          <w:u w:val="single"/>
        </w:rPr>
        <w:t xml:space="preserve"> </w:t>
      </w:r>
      <w:r w:rsidR="00F46059" w:rsidRPr="006C29E8">
        <w:rPr>
          <w:sz w:val="24"/>
          <w:szCs w:val="24"/>
          <w:u w:val="single"/>
        </w:rPr>
        <w:t xml:space="preserve">your </w:t>
      </w:r>
      <w:r w:rsidR="00ED51B1" w:rsidRPr="006C29E8">
        <w:rPr>
          <w:sz w:val="24"/>
          <w:szCs w:val="24"/>
          <w:u w:val="single"/>
        </w:rPr>
        <w:t>comments</w:t>
      </w:r>
      <w:r w:rsidR="00F7690C">
        <w:rPr>
          <w:sz w:val="24"/>
          <w:szCs w:val="24"/>
          <w:u w:val="single"/>
        </w:rPr>
        <w:t xml:space="preserve"> on the Chapter 8 Technology Assessments</w:t>
      </w:r>
      <w:r w:rsidRPr="006C29E8">
        <w:rPr>
          <w:sz w:val="24"/>
          <w:szCs w:val="24"/>
          <w:u w:val="single"/>
        </w:rPr>
        <w:t>.</w:t>
      </w:r>
    </w:p>
    <w:p w:rsidR="004C0E24" w:rsidRPr="006C29E8" w:rsidRDefault="004C0E24" w:rsidP="00004075">
      <w:pPr>
        <w:rPr>
          <w:sz w:val="24"/>
          <w:szCs w:val="24"/>
          <w:u w:val="single"/>
        </w:rPr>
      </w:pPr>
    </w:p>
    <w:p w:rsidR="006C29E8" w:rsidRDefault="006C29E8" w:rsidP="006C29E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C29E8">
        <w:rPr>
          <w:sz w:val="24"/>
          <w:szCs w:val="24"/>
        </w:rPr>
        <w:t xml:space="preserve">Technology Assessments can be found at: </w:t>
      </w:r>
    </w:p>
    <w:p w:rsidR="006C29E8" w:rsidRPr="006C29E8" w:rsidRDefault="00F7062E" w:rsidP="006C29E8">
      <w:pPr>
        <w:ind w:left="360" w:firstLine="360"/>
        <w:rPr>
          <w:sz w:val="24"/>
          <w:szCs w:val="24"/>
        </w:rPr>
      </w:pPr>
      <w:hyperlink r:id="rId9" w:history="1">
        <w:r w:rsidR="006C29E8" w:rsidRPr="006C29E8">
          <w:rPr>
            <w:rStyle w:val="Hyperlink"/>
            <w:sz w:val="24"/>
            <w:szCs w:val="24"/>
          </w:rPr>
          <w:t>http://energy.gov/downloads/webinar-qtr-chapter-8-industry-and-manufacturing</w:t>
        </w:r>
      </w:hyperlink>
      <w:r w:rsidR="006C29E8" w:rsidRPr="006C29E8">
        <w:rPr>
          <w:sz w:val="24"/>
          <w:szCs w:val="24"/>
        </w:rPr>
        <w:t xml:space="preserve"> </w:t>
      </w:r>
    </w:p>
    <w:p w:rsidR="006C29E8" w:rsidRDefault="006C29E8" w:rsidP="006C29E8">
      <w:pPr>
        <w:pStyle w:val="ListParagraph"/>
        <w:numPr>
          <w:ilvl w:val="0"/>
          <w:numId w:val="2"/>
        </w:numPr>
        <w:rPr>
          <w:sz w:val="24"/>
        </w:rPr>
      </w:pPr>
      <w:r w:rsidRPr="006C29E8">
        <w:rPr>
          <w:sz w:val="24"/>
        </w:rPr>
        <w:t>Comment Period for Chapter 8 Technology Assessments: Feb. 11</w:t>
      </w:r>
      <w:r w:rsidRPr="006C29E8">
        <w:rPr>
          <w:sz w:val="24"/>
          <w:vertAlign w:val="superscript"/>
        </w:rPr>
        <w:t>th</w:t>
      </w:r>
      <w:r w:rsidRPr="006C29E8">
        <w:rPr>
          <w:sz w:val="24"/>
        </w:rPr>
        <w:t xml:space="preserve"> – </w:t>
      </w:r>
      <w:r w:rsidRPr="003C681B">
        <w:rPr>
          <w:b/>
          <w:color w:val="FF0000"/>
          <w:sz w:val="24"/>
        </w:rPr>
        <w:t>Feb 2</w:t>
      </w:r>
      <w:r w:rsidR="003C681B" w:rsidRPr="003C681B">
        <w:rPr>
          <w:b/>
          <w:color w:val="FF0000"/>
          <w:sz w:val="24"/>
        </w:rPr>
        <w:t>4</w:t>
      </w:r>
      <w:r w:rsidR="003C681B" w:rsidRPr="003C681B">
        <w:rPr>
          <w:b/>
          <w:color w:val="FF0000"/>
          <w:sz w:val="24"/>
          <w:vertAlign w:val="superscript"/>
        </w:rPr>
        <w:t>th</w:t>
      </w:r>
      <w:r w:rsidR="003C681B">
        <w:rPr>
          <w:sz w:val="24"/>
        </w:rPr>
        <w:t xml:space="preserve">. </w:t>
      </w:r>
    </w:p>
    <w:p w:rsidR="003C681B" w:rsidRPr="003C681B" w:rsidRDefault="003C681B" w:rsidP="003C681B">
      <w:pPr>
        <w:pStyle w:val="ListParagraph"/>
        <w:numPr>
          <w:ilvl w:val="1"/>
          <w:numId w:val="2"/>
        </w:numPr>
        <w:rPr>
          <w:b/>
          <w:sz w:val="24"/>
        </w:rPr>
      </w:pPr>
      <w:r w:rsidRPr="003C681B">
        <w:rPr>
          <w:b/>
          <w:sz w:val="24"/>
        </w:rPr>
        <w:t>NOTE: The comment period has been extended. The webinar recording is incorrect.</w:t>
      </w:r>
    </w:p>
    <w:p w:rsidR="006C29E8" w:rsidRPr="006C29E8" w:rsidRDefault="006C29E8" w:rsidP="006C29E8">
      <w:pPr>
        <w:pStyle w:val="ListParagraph"/>
        <w:numPr>
          <w:ilvl w:val="0"/>
          <w:numId w:val="2"/>
        </w:numPr>
      </w:pPr>
      <w:r w:rsidRPr="006C29E8">
        <w:rPr>
          <w:sz w:val="24"/>
        </w:rPr>
        <w:t>Comment</w:t>
      </w:r>
      <w:r>
        <w:rPr>
          <w:sz w:val="24"/>
        </w:rPr>
        <w:t xml:space="preserve">s to </w:t>
      </w:r>
      <w:r w:rsidR="008024B2">
        <w:rPr>
          <w:sz w:val="24"/>
        </w:rPr>
        <w:t xml:space="preserve">be </w:t>
      </w:r>
      <w:r>
        <w:rPr>
          <w:sz w:val="24"/>
        </w:rPr>
        <w:t xml:space="preserve">entered on the </w:t>
      </w:r>
      <w:r w:rsidR="005E199D" w:rsidRPr="005E199D">
        <w:rPr>
          <w:b/>
          <w:color w:val="C00000"/>
          <w:sz w:val="24"/>
        </w:rPr>
        <w:t>C</w:t>
      </w:r>
      <w:r w:rsidRPr="005E199D">
        <w:rPr>
          <w:b/>
          <w:color w:val="C00000"/>
          <w:sz w:val="24"/>
        </w:rPr>
        <w:t xml:space="preserve">omment </w:t>
      </w:r>
      <w:r w:rsidR="005E199D" w:rsidRPr="005E199D">
        <w:rPr>
          <w:b/>
          <w:color w:val="C00000"/>
          <w:sz w:val="24"/>
        </w:rPr>
        <w:t>F</w:t>
      </w:r>
      <w:r w:rsidRPr="005E199D">
        <w:rPr>
          <w:b/>
          <w:color w:val="C00000"/>
          <w:sz w:val="24"/>
        </w:rPr>
        <w:t>orm</w:t>
      </w:r>
      <w:r w:rsidRPr="005E199D">
        <w:rPr>
          <w:color w:val="C00000"/>
          <w:sz w:val="24"/>
        </w:rPr>
        <w:t xml:space="preserve"> </w:t>
      </w:r>
      <w:r>
        <w:rPr>
          <w:sz w:val="24"/>
        </w:rPr>
        <w:t>(attached)</w:t>
      </w:r>
      <w:r w:rsidR="008024B2">
        <w:rPr>
          <w:sz w:val="24"/>
        </w:rPr>
        <w:t>.</w:t>
      </w:r>
    </w:p>
    <w:p w:rsidR="0096133A" w:rsidRPr="008024B2" w:rsidRDefault="006C29E8" w:rsidP="006C29E8">
      <w:pPr>
        <w:pStyle w:val="ListParagraph"/>
        <w:numPr>
          <w:ilvl w:val="0"/>
          <w:numId w:val="2"/>
        </w:numPr>
      </w:pPr>
      <w:r w:rsidRPr="005E199D">
        <w:rPr>
          <w:b/>
          <w:color w:val="C00000"/>
          <w:sz w:val="24"/>
        </w:rPr>
        <w:t xml:space="preserve">Comment </w:t>
      </w:r>
      <w:r w:rsidR="005E199D" w:rsidRPr="005E199D">
        <w:rPr>
          <w:b/>
          <w:color w:val="C00000"/>
          <w:sz w:val="24"/>
        </w:rPr>
        <w:t>F</w:t>
      </w:r>
      <w:r w:rsidRPr="005E199D">
        <w:rPr>
          <w:b/>
          <w:color w:val="C00000"/>
          <w:sz w:val="24"/>
        </w:rPr>
        <w:t>orms</w:t>
      </w:r>
      <w:r>
        <w:rPr>
          <w:sz w:val="24"/>
        </w:rPr>
        <w:t xml:space="preserve"> to be sent to this email address: </w:t>
      </w:r>
      <w:hyperlink r:id="rId10" w:history="1">
        <w:r w:rsidR="008024B2" w:rsidRPr="001A1628">
          <w:rPr>
            <w:rStyle w:val="Hyperlink"/>
            <w:sz w:val="24"/>
          </w:rPr>
          <w:t>QTR_Chapter8@ee.doe.gov</w:t>
        </w:r>
      </w:hyperlink>
      <w:r w:rsidR="008024B2">
        <w:rPr>
          <w:sz w:val="24"/>
        </w:rPr>
        <w:t xml:space="preserve"> </w:t>
      </w:r>
    </w:p>
    <w:p w:rsidR="008024B2" w:rsidRDefault="008024B2" w:rsidP="006C29E8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Comments will not be accepted after </w:t>
      </w:r>
      <w:r w:rsidRPr="003C681B">
        <w:rPr>
          <w:b/>
          <w:color w:val="FF0000"/>
          <w:sz w:val="24"/>
        </w:rPr>
        <w:t>Feb. 2</w:t>
      </w:r>
      <w:r w:rsidR="003C681B" w:rsidRPr="003C681B">
        <w:rPr>
          <w:b/>
          <w:color w:val="FF0000"/>
          <w:sz w:val="24"/>
        </w:rPr>
        <w:t>4</w:t>
      </w:r>
      <w:r w:rsidR="003C681B" w:rsidRPr="003C681B">
        <w:rPr>
          <w:b/>
          <w:color w:val="FF0000"/>
          <w:sz w:val="24"/>
          <w:vertAlign w:val="superscript"/>
        </w:rPr>
        <w:t>th</w:t>
      </w:r>
      <w:r w:rsidR="003C681B" w:rsidRPr="003C681B">
        <w:rPr>
          <w:b/>
          <w:color w:val="FF0000"/>
          <w:sz w:val="24"/>
        </w:rPr>
        <w:t>.</w:t>
      </w:r>
      <w:r w:rsidR="003C681B" w:rsidRPr="003C681B">
        <w:rPr>
          <w:color w:val="FF0000"/>
          <w:sz w:val="24"/>
        </w:rPr>
        <w:t xml:space="preserve"> </w:t>
      </w:r>
    </w:p>
    <w:p w:rsidR="00ED51B1" w:rsidRPr="009B2152" w:rsidRDefault="00ED51B1" w:rsidP="0096133A">
      <w:pPr>
        <w:rPr>
          <w:sz w:val="24"/>
        </w:rPr>
      </w:pPr>
      <w:r w:rsidRPr="009B2152">
        <w:rPr>
          <w:sz w:val="24"/>
        </w:rPr>
        <w:t xml:space="preserve">We appreciate your willingness to follow these instructions </w:t>
      </w:r>
      <w:r w:rsidR="008056F5" w:rsidRPr="009B2152">
        <w:rPr>
          <w:sz w:val="24"/>
        </w:rPr>
        <w:t>in order to</w:t>
      </w:r>
      <w:r w:rsidRPr="009B2152">
        <w:rPr>
          <w:sz w:val="24"/>
        </w:rPr>
        <w:t xml:space="preserve"> </w:t>
      </w:r>
      <w:r w:rsidR="00C854C0" w:rsidRPr="009B2152">
        <w:rPr>
          <w:sz w:val="24"/>
        </w:rPr>
        <w:t>facilitate</w:t>
      </w:r>
      <w:r w:rsidRPr="009B2152">
        <w:rPr>
          <w:sz w:val="24"/>
        </w:rPr>
        <w:t xml:space="preserve"> </w:t>
      </w:r>
      <w:r w:rsidR="00C854C0" w:rsidRPr="009B2152">
        <w:rPr>
          <w:sz w:val="24"/>
        </w:rPr>
        <w:t xml:space="preserve">the </w:t>
      </w:r>
      <w:r w:rsidR="0071019F" w:rsidRPr="009B2152">
        <w:rPr>
          <w:sz w:val="24"/>
        </w:rPr>
        <w:t>collection and organization</w:t>
      </w:r>
      <w:r w:rsidRPr="009B2152">
        <w:rPr>
          <w:sz w:val="24"/>
        </w:rPr>
        <w:t xml:space="preserve"> of your highly valued </w:t>
      </w:r>
      <w:r w:rsidR="007E57AB" w:rsidRPr="009B2152">
        <w:rPr>
          <w:sz w:val="24"/>
        </w:rPr>
        <w:t>contributions</w:t>
      </w:r>
      <w:r w:rsidRPr="009B2152">
        <w:rPr>
          <w:sz w:val="24"/>
        </w:rPr>
        <w:t>.</w:t>
      </w:r>
    </w:p>
    <w:p w:rsidR="00ED51B1" w:rsidRPr="009B2152" w:rsidRDefault="00ED51B1" w:rsidP="0096133A">
      <w:pPr>
        <w:rPr>
          <w:sz w:val="24"/>
        </w:rPr>
      </w:pPr>
    </w:p>
    <w:p w:rsidR="00B67D8D" w:rsidRPr="009B2152" w:rsidRDefault="002F6362" w:rsidP="0096133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Each Technology Assessment</w:t>
      </w:r>
      <w:r w:rsidR="004C3F36">
        <w:rPr>
          <w:sz w:val="24"/>
        </w:rPr>
        <w:t xml:space="preserve"> (TA)</w:t>
      </w:r>
      <w:r w:rsidR="00B67D8D" w:rsidRPr="009B2152">
        <w:rPr>
          <w:sz w:val="24"/>
        </w:rPr>
        <w:t xml:space="preserve"> is in PDF format and has pag</w:t>
      </w:r>
      <w:r w:rsidR="004D4F1A">
        <w:rPr>
          <w:sz w:val="24"/>
        </w:rPr>
        <w:t>e numbers and line numbers</w:t>
      </w:r>
      <w:r w:rsidR="00B67D8D" w:rsidRPr="009B2152">
        <w:rPr>
          <w:sz w:val="24"/>
        </w:rPr>
        <w:t xml:space="preserve">. </w:t>
      </w:r>
    </w:p>
    <w:p w:rsidR="00A12F47" w:rsidRPr="009B2152" w:rsidRDefault="00A12F47" w:rsidP="00A12F47">
      <w:pPr>
        <w:pStyle w:val="ListParagraph"/>
        <w:spacing w:after="0" w:line="240" w:lineRule="auto"/>
        <w:rPr>
          <w:sz w:val="24"/>
        </w:rPr>
      </w:pPr>
    </w:p>
    <w:p w:rsidR="00B91717" w:rsidRPr="009B2152" w:rsidRDefault="00B91717" w:rsidP="000F0F1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 w:rsidRPr="009B2152">
        <w:rPr>
          <w:sz w:val="24"/>
        </w:rPr>
        <w:t xml:space="preserve">We are </w:t>
      </w:r>
      <w:r w:rsidR="001A567D" w:rsidRPr="009B2152">
        <w:rPr>
          <w:sz w:val="24"/>
        </w:rPr>
        <w:t xml:space="preserve">primarily </w:t>
      </w:r>
      <w:r w:rsidRPr="009B2152">
        <w:rPr>
          <w:sz w:val="24"/>
        </w:rPr>
        <w:t xml:space="preserve">seeking technical </w:t>
      </w:r>
      <w:r w:rsidR="00D21CFB" w:rsidRPr="009B2152">
        <w:rPr>
          <w:sz w:val="24"/>
        </w:rPr>
        <w:t xml:space="preserve">expertise </w:t>
      </w:r>
      <w:r w:rsidR="00F25428">
        <w:rPr>
          <w:sz w:val="24"/>
        </w:rPr>
        <w:t>to help</w:t>
      </w:r>
      <w:r w:rsidR="001A567D" w:rsidRPr="009B2152">
        <w:rPr>
          <w:sz w:val="24"/>
        </w:rPr>
        <w:t xml:space="preserve"> fill </w:t>
      </w:r>
      <w:r w:rsidR="000C3F19" w:rsidRPr="009B2152">
        <w:rPr>
          <w:sz w:val="24"/>
        </w:rPr>
        <w:t xml:space="preserve">apparent </w:t>
      </w:r>
      <w:r w:rsidR="001A567D" w:rsidRPr="009B2152">
        <w:rPr>
          <w:sz w:val="24"/>
        </w:rPr>
        <w:t>gaps</w:t>
      </w:r>
      <w:r w:rsidR="004C3F36">
        <w:rPr>
          <w:sz w:val="24"/>
        </w:rPr>
        <w:t xml:space="preserve"> in the TA</w:t>
      </w:r>
      <w:r w:rsidR="00D21CFB" w:rsidRPr="009B2152">
        <w:rPr>
          <w:sz w:val="24"/>
        </w:rPr>
        <w:t>s</w:t>
      </w:r>
      <w:r w:rsidR="001A567D" w:rsidRPr="009B2152">
        <w:rPr>
          <w:sz w:val="24"/>
        </w:rPr>
        <w:t xml:space="preserve">, and </w:t>
      </w:r>
      <w:r w:rsidR="004C0E24">
        <w:rPr>
          <w:sz w:val="24"/>
        </w:rPr>
        <w:t xml:space="preserve">to </w:t>
      </w:r>
      <w:r w:rsidR="001A567D" w:rsidRPr="009B2152">
        <w:rPr>
          <w:sz w:val="24"/>
        </w:rPr>
        <w:t>identify and correct factual errors</w:t>
      </w:r>
      <w:r w:rsidR="00D21CFB" w:rsidRPr="009B2152">
        <w:rPr>
          <w:sz w:val="24"/>
        </w:rPr>
        <w:t>. Other comments you may have are also welcomed.</w:t>
      </w:r>
    </w:p>
    <w:p w:rsidR="00430F1A" w:rsidRPr="009B2152" w:rsidRDefault="00430F1A" w:rsidP="00430F1A">
      <w:pPr>
        <w:pStyle w:val="ListParagraph"/>
        <w:spacing w:after="0" w:line="240" w:lineRule="auto"/>
        <w:rPr>
          <w:sz w:val="24"/>
        </w:rPr>
      </w:pPr>
    </w:p>
    <w:p w:rsidR="00430F1A" w:rsidRPr="009B2152" w:rsidRDefault="000C3F19" w:rsidP="00430F1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 w:rsidRPr="009B2152">
        <w:rPr>
          <w:sz w:val="24"/>
        </w:rPr>
        <w:t>Please p</w:t>
      </w:r>
      <w:r w:rsidR="00430F1A" w:rsidRPr="009B2152">
        <w:rPr>
          <w:sz w:val="24"/>
        </w:rPr>
        <w:t>rovide references to back up facts, data</w:t>
      </w:r>
      <w:r w:rsidR="000F0DD5" w:rsidRPr="009B2152">
        <w:rPr>
          <w:sz w:val="24"/>
        </w:rPr>
        <w:t>,</w:t>
      </w:r>
      <w:r w:rsidR="00430F1A" w:rsidRPr="009B2152">
        <w:rPr>
          <w:sz w:val="24"/>
        </w:rPr>
        <w:t xml:space="preserve"> and your comments if possible. DOE reserves the discretion to include or not include any comment</w:t>
      </w:r>
      <w:r w:rsidRPr="009B2152">
        <w:rPr>
          <w:sz w:val="24"/>
        </w:rPr>
        <w:t xml:space="preserve"> received</w:t>
      </w:r>
      <w:r w:rsidR="00430F1A" w:rsidRPr="009B2152">
        <w:rPr>
          <w:sz w:val="24"/>
        </w:rPr>
        <w:t>, and we prefer statements and data backed by cited sources of information.</w:t>
      </w:r>
    </w:p>
    <w:p w:rsidR="00B91717" w:rsidRPr="009B2152" w:rsidRDefault="00B91717" w:rsidP="000F0F12">
      <w:pPr>
        <w:pStyle w:val="ListParagraph"/>
        <w:spacing w:after="0" w:line="240" w:lineRule="auto"/>
        <w:rPr>
          <w:sz w:val="24"/>
        </w:rPr>
      </w:pPr>
    </w:p>
    <w:p w:rsidR="00ED51B1" w:rsidRPr="009B2152" w:rsidRDefault="00ED51B1" w:rsidP="000F0F1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b/>
          <w:sz w:val="24"/>
        </w:rPr>
      </w:pPr>
      <w:r w:rsidRPr="009B2152">
        <w:rPr>
          <w:sz w:val="24"/>
        </w:rPr>
        <w:t xml:space="preserve">Submit </w:t>
      </w:r>
      <w:r w:rsidR="00AE72FF" w:rsidRPr="009B2152">
        <w:rPr>
          <w:sz w:val="24"/>
          <w:u w:val="single"/>
        </w:rPr>
        <w:t>all</w:t>
      </w:r>
      <w:r w:rsidRPr="009B2152">
        <w:rPr>
          <w:sz w:val="24"/>
        </w:rPr>
        <w:t xml:space="preserve"> your comments in a</w:t>
      </w:r>
      <w:r w:rsidRPr="009B2152">
        <w:rPr>
          <w:b/>
          <w:sz w:val="24"/>
        </w:rPr>
        <w:t xml:space="preserve"> single Word document</w:t>
      </w:r>
      <w:r w:rsidRPr="009B2152">
        <w:rPr>
          <w:sz w:val="24"/>
        </w:rPr>
        <w:t xml:space="preserve">—even if you are commenting on more than one </w:t>
      </w:r>
      <w:r w:rsidR="006C06B5">
        <w:rPr>
          <w:sz w:val="24"/>
        </w:rPr>
        <w:t>TA</w:t>
      </w:r>
      <w:r w:rsidRPr="009B2152">
        <w:rPr>
          <w:b/>
          <w:sz w:val="24"/>
        </w:rPr>
        <w:t>.</w:t>
      </w:r>
    </w:p>
    <w:p w:rsidR="001B2DE3" w:rsidRPr="009B2152" w:rsidRDefault="001B2DE3" w:rsidP="000F0F12">
      <w:pPr>
        <w:pStyle w:val="ListParagraph"/>
        <w:spacing w:after="0" w:line="240" w:lineRule="auto"/>
        <w:ind w:left="0"/>
        <w:rPr>
          <w:sz w:val="24"/>
        </w:rPr>
      </w:pPr>
    </w:p>
    <w:p w:rsidR="000B4191" w:rsidRPr="009B2152" w:rsidRDefault="005A74E4" w:rsidP="000B4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Designate</w:t>
      </w:r>
      <w:r w:rsidR="000B4191" w:rsidRPr="009B2152">
        <w:rPr>
          <w:sz w:val="24"/>
        </w:rPr>
        <w:t xml:space="preserve"> each comment </w:t>
      </w:r>
      <w:r w:rsidR="00B60F73">
        <w:rPr>
          <w:sz w:val="24"/>
        </w:rPr>
        <w:t xml:space="preserve">you have on the </w:t>
      </w:r>
      <w:r w:rsidR="008024B2">
        <w:rPr>
          <w:sz w:val="24"/>
        </w:rPr>
        <w:t>TA</w:t>
      </w:r>
      <w:r w:rsidR="00207BE0">
        <w:rPr>
          <w:sz w:val="24"/>
        </w:rPr>
        <w:t xml:space="preserve"> content</w:t>
      </w:r>
      <w:r w:rsidR="00B60F73">
        <w:rPr>
          <w:sz w:val="24"/>
        </w:rPr>
        <w:t xml:space="preserve">s </w:t>
      </w:r>
      <w:r w:rsidR="000B4191" w:rsidRPr="009B2152">
        <w:rPr>
          <w:sz w:val="24"/>
        </w:rPr>
        <w:t xml:space="preserve">with the following protocol: </w:t>
      </w:r>
      <w:r w:rsidR="000B4191" w:rsidRPr="009B2152">
        <w:rPr>
          <w:b/>
          <w:sz w:val="24"/>
        </w:rPr>
        <w:t>[</w:t>
      </w:r>
      <w:r w:rsidR="000B4191" w:rsidRPr="009B2152">
        <w:rPr>
          <w:b/>
          <w:bCs/>
          <w:sz w:val="24"/>
        </w:rPr>
        <w:t>Document Code</w:t>
      </w:r>
      <w:r w:rsidR="003727D0">
        <w:rPr>
          <w:b/>
          <w:bCs/>
          <w:sz w:val="24"/>
        </w:rPr>
        <w:t>;</w:t>
      </w:r>
      <w:r w:rsidR="000B4191" w:rsidRPr="009B2152">
        <w:rPr>
          <w:b/>
          <w:bCs/>
          <w:sz w:val="24"/>
        </w:rPr>
        <w:t xml:space="preserve"> </w:t>
      </w:r>
      <w:r w:rsidR="000B4191">
        <w:rPr>
          <w:b/>
          <w:bCs/>
          <w:sz w:val="24"/>
        </w:rPr>
        <w:t xml:space="preserve">Start </w:t>
      </w:r>
      <w:r w:rsidR="000B4191" w:rsidRPr="009B2152">
        <w:rPr>
          <w:b/>
          <w:bCs/>
          <w:sz w:val="24"/>
        </w:rPr>
        <w:t xml:space="preserve">Page </w:t>
      </w:r>
      <w:r w:rsidR="00B60F73">
        <w:rPr>
          <w:b/>
          <w:bCs/>
          <w:sz w:val="24"/>
        </w:rPr>
        <w:t>#</w:t>
      </w:r>
      <w:r w:rsidR="003727D0">
        <w:rPr>
          <w:b/>
          <w:bCs/>
          <w:sz w:val="24"/>
        </w:rPr>
        <w:t>;</w:t>
      </w:r>
      <w:r w:rsidR="000B4191" w:rsidRPr="009B2152">
        <w:rPr>
          <w:b/>
          <w:bCs/>
          <w:sz w:val="24"/>
        </w:rPr>
        <w:t xml:space="preserve"> </w:t>
      </w:r>
      <w:r w:rsidR="000B4191">
        <w:rPr>
          <w:b/>
          <w:bCs/>
          <w:sz w:val="24"/>
        </w:rPr>
        <w:t xml:space="preserve">Start </w:t>
      </w:r>
      <w:r w:rsidR="000B4191" w:rsidRPr="009B2152">
        <w:rPr>
          <w:b/>
          <w:bCs/>
          <w:sz w:val="24"/>
        </w:rPr>
        <w:t xml:space="preserve">Line </w:t>
      </w:r>
      <w:r w:rsidR="00B60F73">
        <w:rPr>
          <w:b/>
          <w:bCs/>
          <w:sz w:val="24"/>
        </w:rPr>
        <w:t>#</w:t>
      </w:r>
      <w:r w:rsidR="003727D0">
        <w:rPr>
          <w:b/>
          <w:bCs/>
          <w:sz w:val="24"/>
        </w:rPr>
        <w:t>;</w:t>
      </w:r>
      <w:r w:rsidR="000B4191">
        <w:rPr>
          <w:b/>
          <w:bCs/>
          <w:sz w:val="24"/>
        </w:rPr>
        <w:t xml:space="preserve"> End</w:t>
      </w:r>
      <w:r w:rsidR="000B4191" w:rsidRPr="009B2152">
        <w:rPr>
          <w:b/>
          <w:bCs/>
          <w:sz w:val="24"/>
        </w:rPr>
        <w:t xml:space="preserve"> Page </w:t>
      </w:r>
      <w:r w:rsidR="00B60F73">
        <w:rPr>
          <w:b/>
          <w:bCs/>
          <w:sz w:val="24"/>
        </w:rPr>
        <w:t>#</w:t>
      </w:r>
      <w:r w:rsidR="003727D0">
        <w:rPr>
          <w:b/>
          <w:bCs/>
          <w:sz w:val="24"/>
        </w:rPr>
        <w:t>;</w:t>
      </w:r>
      <w:r w:rsidR="000B4191">
        <w:rPr>
          <w:b/>
          <w:bCs/>
          <w:sz w:val="24"/>
        </w:rPr>
        <w:t xml:space="preserve"> End</w:t>
      </w:r>
      <w:r w:rsidR="000B4191" w:rsidRPr="009B2152">
        <w:rPr>
          <w:b/>
          <w:bCs/>
          <w:sz w:val="24"/>
        </w:rPr>
        <w:t xml:space="preserve"> Line </w:t>
      </w:r>
      <w:r w:rsidR="00B60F73">
        <w:rPr>
          <w:b/>
          <w:bCs/>
          <w:sz w:val="24"/>
        </w:rPr>
        <w:t>#</w:t>
      </w:r>
      <w:r w:rsidR="000B4191" w:rsidRPr="009B2152">
        <w:rPr>
          <w:b/>
          <w:bCs/>
          <w:sz w:val="24"/>
        </w:rPr>
        <w:t>]</w:t>
      </w:r>
    </w:p>
    <w:p w:rsidR="000B4191" w:rsidRPr="009B2152" w:rsidRDefault="000B4191" w:rsidP="000B4191">
      <w:pPr>
        <w:pStyle w:val="ListParagraph"/>
        <w:spacing w:after="0" w:line="240" w:lineRule="auto"/>
        <w:ind w:left="1440"/>
        <w:rPr>
          <w:sz w:val="24"/>
        </w:rPr>
      </w:pPr>
    </w:p>
    <w:p w:rsidR="001B2DE3" w:rsidRPr="009B2152" w:rsidRDefault="001B2DE3" w:rsidP="000B4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 w:rsidRPr="009B2152">
        <w:rPr>
          <w:sz w:val="24"/>
        </w:rPr>
        <w:t>For simplification, use the following document codes</w:t>
      </w:r>
      <w:r w:rsidR="00801A01">
        <w:rPr>
          <w:sz w:val="24"/>
        </w:rPr>
        <w:t xml:space="preserve"> for the </w:t>
      </w:r>
      <w:r w:rsidR="008024B2">
        <w:rPr>
          <w:sz w:val="24"/>
        </w:rPr>
        <w:t>fourteen</w:t>
      </w:r>
      <w:r w:rsidR="00801A01">
        <w:rPr>
          <w:sz w:val="24"/>
        </w:rPr>
        <w:t xml:space="preserve"> </w:t>
      </w:r>
      <w:r w:rsidR="008024B2">
        <w:rPr>
          <w:sz w:val="24"/>
        </w:rPr>
        <w:t>TAs</w:t>
      </w:r>
      <w:r w:rsidRPr="009B2152">
        <w:rPr>
          <w:sz w:val="24"/>
        </w:rPr>
        <w:t>:</w:t>
      </w:r>
    </w:p>
    <w:p w:rsidR="0041516A" w:rsidRPr="0041516A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AM – Additive Manufacturing</w:t>
      </w:r>
    </w:p>
    <w:p w:rsidR="0041516A" w:rsidRPr="0041516A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CHP – Combined Heat and Power</w:t>
      </w:r>
    </w:p>
    <w:p w:rsidR="0041516A" w:rsidRPr="00614466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C</w:t>
      </w:r>
      <w:r w:rsidR="004C0E24">
        <w:rPr>
          <w:b/>
          <w:sz w:val="24"/>
        </w:rPr>
        <w:t>R</w:t>
      </w:r>
      <w:r>
        <w:rPr>
          <w:b/>
          <w:sz w:val="24"/>
        </w:rPr>
        <w:t>M – Critical Materials</w:t>
      </w:r>
    </w:p>
    <w:p w:rsidR="00614466" w:rsidRPr="0041516A" w:rsidRDefault="00614466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C</w:t>
      </w:r>
      <w:r w:rsidR="004C0E24">
        <w:rPr>
          <w:b/>
          <w:sz w:val="24"/>
        </w:rPr>
        <w:t>OMP</w:t>
      </w:r>
      <w:r>
        <w:rPr>
          <w:b/>
          <w:sz w:val="24"/>
        </w:rPr>
        <w:t xml:space="preserve"> – Composite Materials</w:t>
      </w:r>
    </w:p>
    <w:p w:rsidR="0041516A" w:rsidRPr="0041516A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 xml:space="preserve">MFI – </w:t>
      </w:r>
      <w:r w:rsidR="00614466">
        <w:rPr>
          <w:b/>
          <w:sz w:val="24"/>
        </w:rPr>
        <w:t xml:space="preserve">Flow of </w:t>
      </w:r>
      <w:r>
        <w:rPr>
          <w:b/>
          <w:sz w:val="24"/>
        </w:rPr>
        <w:t>Material</w:t>
      </w:r>
      <w:r w:rsidR="00614466">
        <w:rPr>
          <w:b/>
          <w:sz w:val="24"/>
        </w:rPr>
        <w:t>s</w:t>
      </w:r>
      <w:r>
        <w:rPr>
          <w:b/>
          <w:sz w:val="24"/>
        </w:rPr>
        <w:t xml:space="preserve"> Flow Through Industry</w:t>
      </w:r>
      <w:r w:rsidR="00614466">
        <w:rPr>
          <w:b/>
          <w:sz w:val="24"/>
        </w:rPr>
        <w:t xml:space="preserve"> (Sustainable Manufacturing)</w:t>
      </w:r>
    </w:p>
    <w:p w:rsidR="0041516A" w:rsidRPr="0041516A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lastRenderedPageBreak/>
        <w:t>MHSC – Materials for Harsh Service Conditions</w:t>
      </w:r>
    </w:p>
    <w:p w:rsidR="0041516A" w:rsidRPr="0041516A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PI – Process Intensification</w:t>
      </w:r>
    </w:p>
    <w:p w:rsidR="0041516A" w:rsidRPr="0041516A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R2R –</w:t>
      </w:r>
      <w:r w:rsidR="00614466">
        <w:rPr>
          <w:b/>
          <w:sz w:val="24"/>
        </w:rPr>
        <w:t xml:space="preserve"> Roll-to-</w:t>
      </w:r>
      <w:r>
        <w:rPr>
          <w:b/>
          <w:sz w:val="24"/>
        </w:rPr>
        <w:t>Roll Processing</w:t>
      </w:r>
    </w:p>
    <w:p w:rsidR="001B2DE3" w:rsidRPr="00D93B1F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T</w:t>
      </w:r>
      <w:r w:rsidR="004C0E24">
        <w:rPr>
          <w:b/>
          <w:sz w:val="24"/>
        </w:rPr>
        <w:t>E</w:t>
      </w:r>
      <w:r>
        <w:rPr>
          <w:b/>
          <w:sz w:val="24"/>
        </w:rPr>
        <w:t xml:space="preserve"> – Thermoelectric Materials</w:t>
      </w:r>
      <w:r w:rsidR="00614466">
        <w:rPr>
          <w:b/>
          <w:sz w:val="24"/>
        </w:rPr>
        <w:t>, Devices, and Systems</w:t>
      </w:r>
    </w:p>
    <w:p w:rsidR="00D93B1F" w:rsidRPr="00D93B1F" w:rsidRDefault="00D93B1F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WHR – Waste Heat Recovery</w:t>
      </w:r>
    </w:p>
    <w:p w:rsidR="00D93B1F" w:rsidRPr="00614466" w:rsidRDefault="0041516A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WBG – Wide Bandgap</w:t>
      </w:r>
      <w:r w:rsidR="00614466">
        <w:rPr>
          <w:b/>
          <w:sz w:val="24"/>
        </w:rPr>
        <w:t xml:space="preserve"> Power Electronics</w:t>
      </w:r>
    </w:p>
    <w:p w:rsidR="00614466" w:rsidRPr="00614466" w:rsidRDefault="00614466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PH – Process Heating</w:t>
      </w:r>
    </w:p>
    <w:p w:rsidR="00614466" w:rsidRPr="00614466" w:rsidRDefault="004C0E24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ASCMP</w:t>
      </w:r>
      <w:r w:rsidR="00614466">
        <w:rPr>
          <w:b/>
          <w:sz w:val="24"/>
        </w:rPr>
        <w:t xml:space="preserve"> – Advanced Sensors, Controls, Models and Platforms</w:t>
      </w:r>
    </w:p>
    <w:p w:rsidR="00614466" w:rsidRPr="004D4F1A" w:rsidRDefault="00614466" w:rsidP="000B4191">
      <w:pPr>
        <w:pStyle w:val="ListParagraph"/>
        <w:numPr>
          <w:ilvl w:val="1"/>
          <w:numId w:val="1"/>
        </w:numPr>
        <w:spacing w:after="0" w:line="240" w:lineRule="auto"/>
        <w:ind w:left="720" w:firstLine="360"/>
        <w:rPr>
          <w:sz w:val="24"/>
        </w:rPr>
      </w:pPr>
      <w:r>
        <w:rPr>
          <w:b/>
          <w:sz w:val="24"/>
        </w:rPr>
        <w:t>NGM – Next Generation Materials and their Manufacture</w:t>
      </w:r>
    </w:p>
    <w:p w:rsidR="001B2DE3" w:rsidRPr="009B2152" w:rsidRDefault="001B2DE3" w:rsidP="00F6402F">
      <w:pPr>
        <w:rPr>
          <w:sz w:val="24"/>
        </w:rPr>
      </w:pPr>
    </w:p>
    <w:p w:rsidR="00ED51B1" w:rsidRDefault="005073ED" w:rsidP="000A3C9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 w:rsidRPr="009B2152">
        <w:rPr>
          <w:sz w:val="24"/>
        </w:rPr>
        <w:t>If you are commenting on a table, figure</w:t>
      </w:r>
      <w:r w:rsidR="00AC5067">
        <w:rPr>
          <w:sz w:val="24"/>
        </w:rPr>
        <w:t>,</w:t>
      </w:r>
      <w:r w:rsidRPr="009B2152">
        <w:rPr>
          <w:sz w:val="24"/>
        </w:rPr>
        <w:t xml:space="preserve"> or text box, </w:t>
      </w:r>
      <w:r w:rsidR="003D0AE3" w:rsidRPr="009B2152">
        <w:rPr>
          <w:sz w:val="24"/>
        </w:rPr>
        <w:t xml:space="preserve">clearly </w:t>
      </w:r>
      <w:r w:rsidRPr="009B2152">
        <w:rPr>
          <w:sz w:val="24"/>
        </w:rPr>
        <w:t xml:space="preserve">identify it </w:t>
      </w:r>
      <w:r w:rsidR="003D0AE3" w:rsidRPr="009B2152">
        <w:rPr>
          <w:sz w:val="24"/>
        </w:rPr>
        <w:t>in your comment (Figure 3, Table 7, etc.)</w:t>
      </w:r>
    </w:p>
    <w:p w:rsidR="00F70BB2" w:rsidRPr="00F519E8" w:rsidRDefault="00F70BB2" w:rsidP="00F519E8">
      <w:pPr>
        <w:rPr>
          <w:sz w:val="24"/>
        </w:rPr>
      </w:pPr>
    </w:p>
    <w:p w:rsidR="00F70BB2" w:rsidRPr="009B2152" w:rsidRDefault="00F70BB2" w:rsidP="00F70BB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 w:rsidRPr="009B2152">
        <w:rPr>
          <w:sz w:val="24"/>
        </w:rPr>
        <w:t xml:space="preserve">Save the </w:t>
      </w:r>
      <w:r w:rsidR="003040E2" w:rsidRPr="009B2152">
        <w:rPr>
          <w:sz w:val="24"/>
        </w:rPr>
        <w:t xml:space="preserve">Word </w:t>
      </w:r>
      <w:r w:rsidRPr="009B2152">
        <w:rPr>
          <w:sz w:val="24"/>
        </w:rPr>
        <w:t xml:space="preserve">document with the following filename: </w:t>
      </w:r>
      <w:r w:rsidR="00F25428">
        <w:rPr>
          <w:b/>
          <w:bCs/>
          <w:sz w:val="24"/>
        </w:rPr>
        <w:t>Lastname-Firstname-</w:t>
      </w:r>
      <w:r w:rsidR="002E6BAB">
        <w:rPr>
          <w:b/>
          <w:bCs/>
          <w:sz w:val="24"/>
        </w:rPr>
        <w:t>Chapter8TA</w:t>
      </w:r>
      <w:r w:rsidRPr="009B2152">
        <w:rPr>
          <w:sz w:val="24"/>
        </w:rPr>
        <w:t>.</w:t>
      </w:r>
    </w:p>
    <w:p w:rsidR="00F70BB2" w:rsidRPr="009B2152" w:rsidRDefault="00F70BB2" w:rsidP="000F0F12">
      <w:pPr>
        <w:pStyle w:val="ListParagraph"/>
        <w:spacing w:after="0" w:line="240" w:lineRule="auto"/>
        <w:rPr>
          <w:sz w:val="24"/>
        </w:rPr>
      </w:pPr>
    </w:p>
    <w:p w:rsidR="00ED51B1" w:rsidRPr="009B2152" w:rsidRDefault="00244593" w:rsidP="000F0F1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4"/>
        </w:rPr>
      </w:pPr>
      <w:r w:rsidRPr="009B2152">
        <w:rPr>
          <w:sz w:val="24"/>
        </w:rPr>
        <w:t>Email</w:t>
      </w:r>
      <w:r w:rsidR="00ED51B1" w:rsidRPr="009B2152">
        <w:rPr>
          <w:sz w:val="24"/>
        </w:rPr>
        <w:t xml:space="preserve"> your Word document to </w:t>
      </w:r>
      <w:hyperlink r:id="rId11" w:history="1">
        <w:r w:rsidR="00F25428" w:rsidRPr="009D01EC">
          <w:rPr>
            <w:rStyle w:val="Hyperlink"/>
            <w:sz w:val="24"/>
          </w:rPr>
          <w:t>QTR_Chapter8@ee.doe.gov</w:t>
        </w:r>
      </w:hyperlink>
      <w:r w:rsidR="00ED51B1" w:rsidRPr="009B2152">
        <w:rPr>
          <w:sz w:val="24"/>
        </w:rPr>
        <w:t xml:space="preserve"> with the Subject line</w:t>
      </w:r>
      <w:r w:rsidRPr="009B2152">
        <w:rPr>
          <w:sz w:val="24"/>
        </w:rPr>
        <w:t xml:space="preserve"> </w:t>
      </w:r>
      <w:r w:rsidR="00ED51B1" w:rsidRPr="009B2152">
        <w:rPr>
          <w:sz w:val="24"/>
        </w:rPr>
        <w:t>the same as your document filename (</w:t>
      </w:r>
      <w:r w:rsidR="002E6BAB">
        <w:rPr>
          <w:b/>
          <w:bCs/>
          <w:sz w:val="24"/>
        </w:rPr>
        <w:t>Lastname-Firstname-Chapter8TA</w:t>
      </w:r>
      <w:r w:rsidR="00ED51B1" w:rsidRPr="009B2152">
        <w:rPr>
          <w:b/>
          <w:bCs/>
          <w:sz w:val="24"/>
        </w:rPr>
        <w:t>)</w:t>
      </w:r>
      <w:r w:rsidR="004C0E24">
        <w:rPr>
          <w:b/>
          <w:bCs/>
          <w:sz w:val="24"/>
        </w:rPr>
        <w:t>.</w:t>
      </w:r>
    </w:p>
    <w:p w:rsidR="00486B09" w:rsidRDefault="00486B09">
      <w:pPr>
        <w:spacing w:after="200" w:line="276" w:lineRule="auto"/>
      </w:pPr>
    </w:p>
    <w:p w:rsidR="004C0E24" w:rsidRPr="004C0E24" w:rsidRDefault="004C0E24" w:rsidP="004C0E24">
      <w:pPr>
        <w:rPr>
          <w:sz w:val="24"/>
          <w:u w:val="single"/>
        </w:rPr>
      </w:pPr>
      <w:r w:rsidRPr="004C0E24">
        <w:rPr>
          <w:sz w:val="24"/>
          <w:u w:val="single"/>
        </w:rPr>
        <w:t>Please use the Comment Form on the following page for submission of your feedback.</w:t>
      </w:r>
    </w:p>
    <w:p w:rsidR="004C0E24" w:rsidRDefault="004C0E24">
      <w:pPr>
        <w:spacing w:after="200" w:line="276" w:lineRule="auto"/>
      </w:pPr>
    </w:p>
    <w:p w:rsidR="00131C06" w:rsidRDefault="00131C06">
      <w:pPr>
        <w:spacing w:after="200" w:line="276" w:lineRule="auto"/>
      </w:pPr>
    </w:p>
    <w:p w:rsidR="00F25428" w:rsidRDefault="00F25428" w:rsidP="00EC6317">
      <w:pPr>
        <w:spacing w:line="276" w:lineRule="auto"/>
        <w:jc w:val="center"/>
        <w:rPr>
          <w:b/>
          <w:bCs/>
          <w:sz w:val="28"/>
        </w:rPr>
      </w:pPr>
    </w:p>
    <w:p w:rsidR="00F25428" w:rsidRDefault="00F25428" w:rsidP="00EC6317">
      <w:pPr>
        <w:spacing w:line="276" w:lineRule="auto"/>
        <w:jc w:val="center"/>
        <w:rPr>
          <w:b/>
          <w:bCs/>
          <w:sz w:val="28"/>
        </w:rPr>
      </w:pPr>
    </w:p>
    <w:p w:rsidR="008024B2" w:rsidRDefault="008024B2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F25428" w:rsidRDefault="00F25428" w:rsidP="00EC6317">
      <w:pPr>
        <w:spacing w:line="276" w:lineRule="auto"/>
        <w:jc w:val="center"/>
        <w:rPr>
          <w:b/>
          <w:bCs/>
          <w:sz w:val="28"/>
        </w:rPr>
      </w:pPr>
    </w:p>
    <w:p w:rsidR="00F25428" w:rsidRPr="00E87193" w:rsidRDefault="00F25428" w:rsidP="00EC6317">
      <w:pPr>
        <w:spacing w:line="276" w:lineRule="auto"/>
        <w:jc w:val="center"/>
        <w:rPr>
          <w:b/>
          <w:bCs/>
          <w:sz w:val="28"/>
        </w:rPr>
      </w:pPr>
    </w:p>
    <w:p w:rsidR="005E199D" w:rsidRPr="00E87193" w:rsidRDefault="005E199D" w:rsidP="00EC6317">
      <w:pPr>
        <w:spacing w:line="276" w:lineRule="auto"/>
        <w:jc w:val="center"/>
        <w:rPr>
          <w:sz w:val="36"/>
          <w:szCs w:val="36"/>
          <w:u w:val="single"/>
        </w:rPr>
      </w:pPr>
      <w:r w:rsidRPr="00E87193">
        <w:rPr>
          <w:b/>
          <w:sz w:val="36"/>
          <w:szCs w:val="36"/>
          <w:u w:val="single"/>
        </w:rPr>
        <w:t>Comment Form</w:t>
      </w:r>
      <w:r w:rsidRPr="00E87193">
        <w:rPr>
          <w:sz w:val="36"/>
          <w:szCs w:val="36"/>
          <w:u w:val="single"/>
        </w:rPr>
        <w:t xml:space="preserve"> </w:t>
      </w:r>
    </w:p>
    <w:p w:rsidR="007B2E7D" w:rsidRPr="00EC6317" w:rsidRDefault="007B2E7D" w:rsidP="00EC6317">
      <w:pPr>
        <w:spacing w:line="276" w:lineRule="auto"/>
        <w:jc w:val="center"/>
        <w:rPr>
          <w:b/>
          <w:sz w:val="28"/>
        </w:rPr>
      </w:pPr>
      <w:r w:rsidRPr="00EC6317">
        <w:rPr>
          <w:b/>
          <w:bCs/>
          <w:sz w:val="28"/>
        </w:rPr>
        <w:t>2015 QTR</w:t>
      </w:r>
      <w:r w:rsidR="00EC6317">
        <w:rPr>
          <w:b/>
          <w:bCs/>
          <w:sz w:val="28"/>
        </w:rPr>
        <w:t xml:space="preserve"> </w:t>
      </w:r>
      <w:r w:rsidR="00E8412A">
        <w:rPr>
          <w:b/>
          <w:bCs/>
          <w:sz w:val="28"/>
        </w:rPr>
        <w:t>Chapter 8 Technology Assessments</w:t>
      </w:r>
    </w:p>
    <w:p w:rsidR="0079362D" w:rsidRDefault="0079362D" w:rsidP="00EC6317">
      <w:pPr>
        <w:spacing w:line="276" w:lineRule="auto"/>
        <w:rPr>
          <w:b/>
        </w:rPr>
      </w:pPr>
    </w:p>
    <w:p w:rsidR="00515390" w:rsidRDefault="00691D05" w:rsidP="00EC6317">
      <w:pPr>
        <w:spacing w:line="276" w:lineRule="auto"/>
        <w:rPr>
          <w:b/>
        </w:rPr>
      </w:pPr>
      <w:r>
        <w:rPr>
          <w:b/>
        </w:rPr>
        <w:t>[NAME]</w:t>
      </w:r>
    </w:p>
    <w:p w:rsidR="00691D05" w:rsidRDefault="00691D05" w:rsidP="00EC6317">
      <w:pPr>
        <w:spacing w:line="276" w:lineRule="auto"/>
        <w:rPr>
          <w:b/>
        </w:rPr>
      </w:pPr>
      <w:r>
        <w:rPr>
          <w:b/>
        </w:rPr>
        <w:t>[TITLE]</w:t>
      </w:r>
    </w:p>
    <w:p w:rsidR="00691D05" w:rsidRDefault="00691D05" w:rsidP="00EC6317">
      <w:pPr>
        <w:spacing w:line="276" w:lineRule="auto"/>
        <w:rPr>
          <w:b/>
        </w:rPr>
      </w:pPr>
      <w:r>
        <w:rPr>
          <w:b/>
        </w:rPr>
        <w:t>[ORGANIZATION]</w:t>
      </w:r>
    </w:p>
    <w:p w:rsidR="00691D05" w:rsidRDefault="00691D05" w:rsidP="00EC6317">
      <w:pPr>
        <w:spacing w:line="276" w:lineRule="auto"/>
        <w:rPr>
          <w:b/>
        </w:rPr>
      </w:pPr>
      <w:r>
        <w:rPr>
          <w:b/>
        </w:rPr>
        <w:t>[EMAIL]</w:t>
      </w:r>
    </w:p>
    <w:p w:rsidR="00691D05" w:rsidRDefault="00691D05" w:rsidP="00EC6317">
      <w:pPr>
        <w:spacing w:line="276" w:lineRule="auto"/>
        <w:rPr>
          <w:b/>
        </w:rPr>
      </w:pPr>
      <w:r>
        <w:rPr>
          <w:b/>
        </w:rPr>
        <w:t>[PHONE NUMBER]</w:t>
      </w:r>
    </w:p>
    <w:p w:rsidR="00EC6317" w:rsidRPr="0028202D" w:rsidRDefault="00EC6317" w:rsidP="00EC6317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20"/>
        <w:gridCol w:w="620"/>
        <w:gridCol w:w="569"/>
        <w:gridCol w:w="629"/>
        <w:gridCol w:w="6427"/>
      </w:tblGrid>
      <w:tr w:rsidR="0028202D" w:rsidRPr="005C54A8" w:rsidTr="003178AB">
        <w:tc>
          <w:tcPr>
            <w:tcW w:w="638" w:type="dxa"/>
            <w:tcBorders>
              <w:bottom w:val="single" w:sz="4" w:space="0" w:color="auto"/>
            </w:tcBorders>
          </w:tcPr>
          <w:p w:rsidR="00515390" w:rsidRPr="00D11A26" w:rsidRDefault="00515390" w:rsidP="003716B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>Doc</w:t>
            </w:r>
            <w:r w:rsidR="0028202D"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 Code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515390" w:rsidRPr="00D11A26" w:rsidRDefault="00515390" w:rsidP="003716B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Start </w:t>
            </w:r>
            <w:proofErr w:type="spellStart"/>
            <w:r w:rsidR="005C54A8" w:rsidRPr="00D11A26">
              <w:rPr>
                <w:rFonts w:asciiTheme="minorHAnsi" w:hAnsiTheme="minorHAnsi"/>
                <w:b/>
                <w:sz w:val="20"/>
                <w:szCs w:val="20"/>
              </w:rPr>
              <w:t>Pg</w:t>
            </w:r>
            <w:proofErr w:type="spellEnd"/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515390" w:rsidRPr="00D11A26" w:rsidRDefault="00515390" w:rsidP="003716B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Start </w:t>
            </w:r>
            <w:r w:rsidR="005C54A8" w:rsidRPr="00D11A26">
              <w:rPr>
                <w:rFonts w:asciiTheme="minorHAnsi" w:hAnsiTheme="minorHAnsi"/>
                <w:b/>
                <w:sz w:val="20"/>
                <w:szCs w:val="20"/>
              </w:rPr>
              <w:t>Ln</w:t>
            </w: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515390" w:rsidRPr="00D11A26" w:rsidRDefault="00515390" w:rsidP="003716B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End </w:t>
            </w:r>
            <w:proofErr w:type="spellStart"/>
            <w:r w:rsidR="005C54A8" w:rsidRPr="00D11A26">
              <w:rPr>
                <w:rFonts w:asciiTheme="minorHAnsi" w:hAnsiTheme="minorHAnsi"/>
                <w:b/>
                <w:sz w:val="20"/>
                <w:szCs w:val="20"/>
              </w:rPr>
              <w:t>Pg</w:t>
            </w:r>
            <w:proofErr w:type="spellEnd"/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15390" w:rsidRPr="00D11A26" w:rsidRDefault="00515390" w:rsidP="003716B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End </w:t>
            </w:r>
            <w:r w:rsidR="005C54A8" w:rsidRPr="00D11A26">
              <w:rPr>
                <w:rFonts w:asciiTheme="minorHAnsi" w:hAnsiTheme="minorHAnsi"/>
                <w:b/>
                <w:sz w:val="20"/>
                <w:szCs w:val="20"/>
              </w:rPr>
              <w:t>Ln</w:t>
            </w: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6498" w:type="dxa"/>
            <w:tcBorders>
              <w:bottom w:val="single" w:sz="4" w:space="0" w:color="auto"/>
            </w:tcBorders>
          </w:tcPr>
          <w:p w:rsidR="00515390" w:rsidRDefault="00515390" w:rsidP="003716B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11A26">
              <w:rPr>
                <w:rFonts w:asciiTheme="minorHAnsi" w:hAnsiTheme="minorHAnsi"/>
                <w:b/>
                <w:sz w:val="20"/>
                <w:szCs w:val="20"/>
              </w:rPr>
              <w:t>Comment</w:t>
            </w:r>
          </w:p>
          <w:p w:rsidR="00AA30DE" w:rsidRPr="00D11A26" w:rsidRDefault="00AA30DE" w:rsidP="003716B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87193">
              <w:rPr>
                <w:rFonts w:asciiTheme="minorHAnsi" w:hAnsiTheme="minorHAnsi"/>
                <w:b/>
                <w:color w:val="C00000"/>
                <w:sz w:val="20"/>
                <w:szCs w:val="20"/>
              </w:rPr>
              <w:t>EXAMPLE COMMENTS BELOW</w:t>
            </w:r>
            <w:r w:rsidR="00E87193" w:rsidRPr="00E87193">
              <w:rPr>
                <w:rFonts w:asciiTheme="minorHAnsi" w:hAnsiTheme="minorHAnsi"/>
                <w:b/>
                <w:color w:val="C00000"/>
                <w:sz w:val="20"/>
                <w:szCs w:val="20"/>
              </w:rPr>
              <w:t xml:space="preserve"> – PLEASE REPLACE WITH YOUR FEEDBACK</w:t>
            </w:r>
          </w:p>
        </w:tc>
      </w:tr>
      <w:tr w:rsidR="0028202D" w:rsidRPr="005C54A8" w:rsidTr="00FA65A9">
        <w:tc>
          <w:tcPr>
            <w:tcW w:w="638" w:type="dxa"/>
            <w:shd w:val="clear" w:color="auto" w:fill="auto"/>
          </w:tcPr>
          <w:p w:rsidR="00515390" w:rsidRPr="00D11A26" w:rsidRDefault="004C0E24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MHSC</w:t>
            </w:r>
          </w:p>
        </w:tc>
        <w:tc>
          <w:tcPr>
            <w:tcW w:w="620" w:type="dxa"/>
            <w:shd w:val="clear" w:color="auto" w:fill="auto"/>
          </w:tcPr>
          <w:p w:rsidR="00515390" w:rsidRPr="00D11A26" w:rsidRDefault="004C0E24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515390" w:rsidRPr="00D11A26" w:rsidRDefault="004C0E24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570" w:type="dxa"/>
            <w:shd w:val="clear" w:color="auto" w:fill="auto"/>
          </w:tcPr>
          <w:p w:rsidR="00515390" w:rsidRPr="00D11A26" w:rsidRDefault="004C0E24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515390" w:rsidRPr="00D11A26" w:rsidRDefault="004C0E24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6498" w:type="dxa"/>
            <w:shd w:val="clear" w:color="auto" w:fill="auto"/>
          </w:tcPr>
          <w:p w:rsidR="00515390" w:rsidRPr="00D11A26" w:rsidRDefault="004C0E24" w:rsidP="00E871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Current text reads: “</w:t>
            </w:r>
            <w:r w:rsidR="00E87193">
              <w:rPr>
                <w:rFonts w:asciiTheme="minorHAnsi" w:hAnsiTheme="minorHAnsi"/>
                <w:sz w:val="20"/>
                <w:szCs w:val="20"/>
              </w:rPr>
              <w:t>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any sources of industrial waste heat are currently unrecoverable because recuperator alloys are incompatible with corrosive, high-temperature flue gases.” </w:t>
            </w:r>
            <w:r w:rsidR="00E87193">
              <w:rPr>
                <w:rFonts w:asciiTheme="minorHAnsi" w:hAnsiTheme="minorHAnsi"/>
                <w:sz w:val="20"/>
                <w:szCs w:val="20"/>
              </w:rPr>
              <w:t xml:space="preserve">It would be better to specify “waste heat recovery equipment” rather than </w:t>
            </w:r>
            <w:r>
              <w:rPr>
                <w:rFonts w:asciiTheme="minorHAnsi" w:hAnsiTheme="minorHAnsi"/>
                <w:sz w:val="20"/>
                <w:szCs w:val="20"/>
              </w:rPr>
              <w:t>“recuperator</w:t>
            </w:r>
            <w:r w:rsidR="00E87193">
              <w:rPr>
                <w:rFonts w:ascii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” </w:t>
            </w:r>
            <w:r w:rsidR="00E87193">
              <w:rPr>
                <w:rFonts w:asciiTheme="minorHAnsi" w:hAnsiTheme="minorHAnsi"/>
                <w:sz w:val="20"/>
                <w:szCs w:val="20"/>
              </w:rPr>
              <w:t xml:space="preserve">which is </w:t>
            </w:r>
            <w:r>
              <w:rPr>
                <w:rFonts w:asciiTheme="minorHAnsi" w:hAnsiTheme="minorHAnsi"/>
                <w:sz w:val="20"/>
                <w:szCs w:val="20"/>
              </w:rPr>
              <w:t>too narrow</w:t>
            </w:r>
            <w:r w:rsidR="00E87193">
              <w:rPr>
                <w:rFonts w:asciiTheme="minorHAnsi" w:hAnsiTheme="minorHAnsi"/>
                <w:sz w:val="20"/>
                <w:szCs w:val="20"/>
              </w:rPr>
              <w:t xml:space="preserve">. WHR equipment includes heat exchangers, </w:t>
            </w:r>
            <w:proofErr w:type="spellStart"/>
            <w:r w:rsidR="00E87193">
              <w:rPr>
                <w:rFonts w:asciiTheme="minorHAnsi" w:hAnsiTheme="minorHAnsi"/>
                <w:sz w:val="20"/>
                <w:szCs w:val="20"/>
              </w:rPr>
              <w:t>recuperators</w:t>
            </w:r>
            <w:proofErr w:type="spellEnd"/>
            <w:r w:rsidR="00E87193">
              <w:rPr>
                <w:rFonts w:asciiTheme="minorHAnsi" w:hAnsiTheme="minorHAnsi"/>
                <w:sz w:val="20"/>
                <w:szCs w:val="20"/>
              </w:rPr>
              <w:t xml:space="preserve">, regenerators, etc.—not just </w:t>
            </w:r>
            <w:proofErr w:type="spellStart"/>
            <w:r w:rsidR="00E87193">
              <w:rPr>
                <w:rFonts w:asciiTheme="minorHAnsi" w:hAnsiTheme="minorHAnsi"/>
                <w:sz w:val="20"/>
                <w:szCs w:val="20"/>
              </w:rPr>
              <w:t>recuperators</w:t>
            </w:r>
            <w:proofErr w:type="spellEnd"/>
            <w:r w:rsidR="00E87193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28202D" w:rsidRPr="005C54A8" w:rsidTr="00FA65A9">
        <w:tc>
          <w:tcPr>
            <w:tcW w:w="638" w:type="dxa"/>
            <w:shd w:val="clear" w:color="auto" w:fill="auto"/>
          </w:tcPr>
          <w:p w:rsidR="00515390" w:rsidRPr="00D11A26" w:rsidRDefault="00E87193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MFI</w:t>
            </w:r>
          </w:p>
        </w:tc>
        <w:tc>
          <w:tcPr>
            <w:tcW w:w="620" w:type="dxa"/>
            <w:shd w:val="clear" w:color="auto" w:fill="auto"/>
          </w:tcPr>
          <w:p w:rsidR="00515390" w:rsidRPr="00D11A26" w:rsidRDefault="00E87193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515390" w:rsidRPr="00D11A26" w:rsidRDefault="00E87193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67</w:t>
            </w:r>
          </w:p>
        </w:tc>
        <w:tc>
          <w:tcPr>
            <w:tcW w:w="570" w:type="dxa"/>
            <w:shd w:val="clear" w:color="auto" w:fill="auto"/>
          </w:tcPr>
          <w:p w:rsidR="00515390" w:rsidRPr="00D11A26" w:rsidRDefault="00E87193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515390" w:rsidRPr="00D11A26" w:rsidRDefault="00E87193" w:rsidP="000F0F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69</w:t>
            </w:r>
          </w:p>
        </w:tc>
        <w:tc>
          <w:tcPr>
            <w:tcW w:w="6498" w:type="dxa"/>
            <w:shd w:val="clear" w:color="auto" w:fill="auto"/>
          </w:tcPr>
          <w:p w:rsidR="001667FA" w:rsidRPr="00E87193" w:rsidRDefault="00E87193" w:rsidP="00971666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E87193">
              <w:rPr>
                <w:rFonts w:asciiTheme="minorHAnsi" w:hAnsiTheme="minorHAnsi"/>
                <w:sz w:val="20"/>
                <w:szCs w:val="20"/>
              </w:rPr>
              <w:t>Here, supply chain is defined as not including end-</w:t>
            </w:r>
            <w:proofErr w:type="gramStart"/>
            <w:r w:rsidRPr="00E87193">
              <w:rPr>
                <w:rFonts w:asciiTheme="minorHAnsi" w:hAnsiTheme="minorHAnsi"/>
                <w:sz w:val="20"/>
                <w:szCs w:val="20"/>
              </w:rPr>
              <w:t>use,</w:t>
            </w:r>
            <w:proofErr w:type="gramEnd"/>
            <w:r w:rsidRPr="00E87193">
              <w:rPr>
                <w:rFonts w:asciiTheme="minorHAnsi" w:hAnsiTheme="minorHAnsi"/>
                <w:sz w:val="20"/>
                <w:szCs w:val="20"/>
              </w:rPr>
              <w:t xml:space="preserve"> however, elsewhere it is used in the context of cradle-to-grave.  This is confusing to the reader.  Perhaps defining and using terminology like cradle-to-gate, gate-to-grave, </w:t>
            </w:r>
            <w:proofErr w:type="gramStart"/>
            <w:r w:rsidRPr="00E87193">
              <w:rPr>
                <w:rFonts w:asciiTheme="minorHAnsi" w:hAnsiTheme="minorHAnsi"/>
                <w:sz w:val="20"/>
                <w:szCs w:val="20"/>
              </w:rPr>
              <w:t>cradle</w:t>
            </w:r>
            <w:proofErr w:type="gramEnd"/>
            <w:r w:rsidRPr="00E87193">
              <w:rPr>
                <w:rFonts w:asciiTheme="minorHAnsi" w:hAnsiTheme="minorHAnsi"/>
                <w:sz w:val="20"/>
                <w:szCs w:val="20"/>
              </w:rPr>
              <w:t>-to-grave would be helpful?</w:t>
            </w:r>
          </w:p>
        </w:tc>
      </w:tr>
      <w:tr w:rsidR="0028202D" w:rsidRPr="005C54A8" w:rsidTr="003716BF">
        <w:tc>
          <w:tcPr>
            <w:tcW w:w="63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8202D" w:rsidRPr="005C54A8" w:rsidTr="003716BF">
        <w:tc>
          <w:tcPr>
            <w:tcW w:w="63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8202D" w:rsidRPr="005C54A8" w:rsidTr="003716BF">
        <w:tc>
          <w:tcPr>
            <w:tcW w:w="63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8202D" w:rsidRPr="005C54A8" w:rsidTr="003716BF">
        <w:tc>
          <w:tcPr>
            <w:tcW w:w="63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8202D" w:rsidRPr="005C54A8" w:rsidTr="003716BF">
        <w:tc>
          <w:tcPr>
            <w:tcW w:w="63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515390" w:rsidRPr="00D11A26" w:rsidRDefault="00515390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284D" w:rsidRPr="005C54A8" w:rsidTr="003716BF">
        <w:tc>
          <w:tcPr>
            <w:tcW w:w="63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284D" w:rsidRPr="005C54A8" w:rsidTr="003716BF">
        <w:tc>
          <w:tcPr>
            <w:tcW w:w="63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284D" w:rsidRPr="005C54A8" w:rsidTr="003716BF">
        <w:tc>
          <w:tcPr>
            <w:tcW w:w="63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284D" w:rsidRPr="005C54A8" w:rsidTr="003716BF">
        <w:tc>
          <w:tcPr>
            <w:tcW w:w="63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284D" w:rsidRPr="005C54A8" w:rsidTr="003716BF">
        <w:tc>
          <w:tcPr>
            <w:tcW w:w="63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284D" w:rsidRPr="005C54A8" w:rsidTr="003716BF">
        <w:tc>
          <w:tcPr>
            <w:tcW w:w="63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284D" w:rsidRPr="005C54A8" w:rsidTr="003716BF">
        <w:tc>
          <w:tcPr>
            <w:tcW w:w="63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498" w:type="dxa"/>
          </w:tcPr>
          <w:p w:rsidR="00FC284D" w:rsidRPr="00D11A26" w:rsidRDefault="00FC284D" w:rsidP="000F0F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6402F" w:rsidRPr="005C54A8" w:rsidRDefault="00F6402F" w:rsidP="000F0F12">
      <w:pPr>
        <w:rPr>
          <w:sz w:val="18"/>
          <w:szCs w:val="18"/>
        </w:rPr>
      </w:pPr>
    </w:p>
    <w:sectPr w:rsidR="00F6402F" w:rsidRPr="005C54A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62E" w:rsidRDefault="00F7062E" w:rsidP="005C54A8">
      <w:r>
        <w:separator/>
      </w:r>
    </w:p>
  </w:endnote>
  <w:endnote w:type="continuationSeparator" w:id="0">
    <w:p w:rsidR="00F7062E" w:rsidRDefault="00F7062E" w:rsidP="005C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546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0422" w:rsidRDefault="00EB0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C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54A8" w:rsidRDefault="005C5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62E" w:rsidRDefault="00F7062E" w:rsidP="005C54A8">
      <w:r>
        <w:separator/>
      </w:r>
    </w:p>
  </w:footnote>
  <w:footnote w:type="continuationSeparator" w:id="0">
    <w:p w:rsidR="00F7062E" w:rsidRDefault="00F7062E" w:rsidP="005C5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9D5"/>
    <w:multiLevelType w:val="hybridMultilevel"/>
    <w:tmpl w:val="7C0E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443B8"/>
    <w:multiLevelType w:val="hybridMultilevel"/>
    <w:tmpl w:val="6F72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B1"/>
    <w:rsid w:val="00004075"/>
    <w:rsid w:val="0002706F"/>
    <w:rsid w:val="0006099C"/>
    <w:rsid w:val="00080B37"/>
    <w:rsid w:val="000A3C9D"/>
    <w:rsid w:val="000B2FED"/>
    <w:rsid w:val="000B4191"/>
    <w:rsid w:val="000C3F19"/>
    <w:rsid w:val="000D24A7"/>
    <w:rsid w:val="000F0DD5"/>
    <w:rsid w:val="000F0F12"/>
    <w:rsid w:val="000F268C"/>
    <w:rsid w:val="00131C06"/>
    <w:rsid w:val="00136D7E"/>
    <w:rsid w:val="001667FA"/>
    <w:rsid w:val="001A567D"/>
    <w:rsid w:val="001B2DE3"/>
    <w:rsid w:val="001F0A67"/>
    <w:rsid w:val="001F2BFA"/>
    <w:rsid w:val="00207BE0"/>
    <w:rsid w:val="002228B3"/>
    <w:rsid w:val="00244593"/>
    <w:rsid w:val="00253F0D"/>
    <w:rsid w:val="0028202D"/>
    <w:rsid w:val="002E6BAB"/>
    <w:rsid w:val="002F4C89"/>
    <w:rsid w:val="002F6362"/>
    <w:rsid w:val="003040E2"/>
    <w:rsid w:val="003178AB"/>
    <w:rsid w:val="00341ED7"/>
    <w:rsid w:val="003716BF"/>
    <w:rsid w:val="003727D0"/>
    <w:rsid w:val="0037541D"/>
    <w:rsid w:val="003C681B"/>
    <w:rsid w:val="003D0AE3"/>
    <w:rsid w:val="0041516A"/>
    <w:rsid w:val="00430F1A"/>
    <w:rsid w:val="004665BE"/>
    <w:rsid w:val="00486B09"/>
    <w:rsid w:val="004B00A8"/>
    <w:rsid w:val="004C0E24"/>
    <w:rsid w:val="004C3F36"/>
    <w:rsid w:val="004D4F1A"/>
    <w:rsid w:val="004F4E3B"/>
    <w:rsid w:val="005073ED"/>
    <w:rsid w:val="00515390"/>
    <w:rsid w:val="0052540C"/>
    <w:rsid w:val="0053180D"/>
    <w:rsid w:val="005428F7"/>
    <w:rsid w:val="005A74E4"/>
    <w:rsid w:val="005C54A8"/>
    <w:rsid w:val="005C7E37"/>
    <w:rsid w:val="005E199D"/>
    <w:rsid w:val="00614466"/>
    <w:rsid w:val="00625B5D"/>
    <w:rsid w:val="00691D05"/>
    <w:rsid w:val="006C06B5"/>
    <w:rsid w:val="006C29E8"/>
    <w:rsid w:val="0071019F"/>
    <w:rsid w:val="00793332"/>
    <w:rsid w:val="0079362D"/>
    <w:rsid w:val="007B2E7D"/>
    <w:rsid w:val="007E57AB"/>
    <w:rsid w:val="00800B74"/>
    <w:rsid w:val="00801A01"/>
    <w:rsid w:val="008024B2"/>
    <w:rsid w:val="008056F5"/>
    <w:rsid w:val="008412BE"/>
    <w:rsid w:val="008859B8"/>
    <w:rsid w:val="008B1F74"/>
    <w:rsid w:val="008F62ED"/>
    <w:rsid w:val="00917290"/>
    <w:rsid w:val="009568B4"/>
    <w:rsid w:val="0096133A"/>
    <w:rsid w:val="00971666"/>
    <w:rsid w:val="00974051"/>
    <w:rsid w:val="00983B5C"/>
    <w:rsid w:val="009B2152"/>
    <w:rsid w:val="009D67D6"/>
    <w:rsid w:val="00A12F47"/>
    <w:rsid w:val="00A516AE"/>
    <w:rsid w:val="00A63504"/>
    <w:rsid w:val="00AA30DE"/>
    <w:rsid w:val="00AC5067"/>
    <w:rsid w:val="00AE56A3"/>
    <w:rsid w:val="00AE72FF"/>
    <w:rsid w:val="00B01E17"/>
    <w:rsid w:val="00B56486"/>
    <w:rsid w:val="00B60F73"/>
    <w:rsid w:val="00B67D8D"/>
    <w:rsid w:val="00B70C5A"/>
    <w:rsid w:val="00B72156"/>
    <w:rsid w:val="00B80504"/>
    <w:rsid w:val="00B83A0E"/>
    <w:rsid w:val="00B91717"/>
    <w:rsid w:val="00BE12FF"/>
    <w:rsid w:val="00BE2453"/>
    <w:rsid w:val="00C2188A"/>
    <w:rsid w:val="00C40F16"/>
    <w:rsid w:val="00C8183B"/>
    <w:rsid w:val="00C854C0"/>
    <w:rsid w:val="00CC037A"/>
    <w:rsid w:val="00CD1A2C"/>
    <w:rsid w:val="00D06C30"/>
    <w:rsid w:val="00D11A26"/>
    <w:rsid w:val="00D156F9"/>
    <w:rsid w:val="00D21CFB"/>
    <w:rsid w:val="00D342BF"/>
    <w:rsid w:val="00D5542E"/>
    <w:rsid w:val="00D90E36"/>
    <w:rsid w:val="00D93B1F"/>
    <w:rsid w:val="00D9642C"/>
    <w:rsid w:val="00DA329C"/>
    <w:rsid w:val="00DB5CA7"/>
    <w:rsid w:val="00E71D0A"/>
    <w:rsid w:val="00E8412A"/>
    <w:rsid w:val="00E87193"/>
    <w:rsid w:val="00E93368"/>
    <w:rsid w:val="00EB0422"/>
    <w:rsid w:val="00EB68E5"/>
    <w:rsid w:val="00EC6317"/>
    <w:rsid w:val="00ED51B1"/>
    <w:rsid w:val="00F25428"/>
    <w:rsid w:val="00F40437"/>
    <w:rsid w:val="00F46059"/>
    <w:rsid w:val="00F519E8"/>
    <w:rsid w:val="00F63935"/>
    <w:rsid w:val="00F6402F"/>
    <w:rsid w:val="00F7062E"/>
    <w:rsid w:val="00F70BB2"/>
    <w:rsid w:val="00F746AE"/>
    <w:rsid w:val="00F7690C"/>
    <w:rsid w:val="00FA65A9"/>
    <w:rsid w:val="00FC284D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B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1B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51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5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4A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5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4A8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A65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B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1B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51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5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4A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5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4A8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A65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QTR_Chapter8@ee.doe.gov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QTR_Chapter8@ee.doe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ergy.gov/downloads/webinar-qtr-chapter-8-industry-and-manufactu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C2DD0-FD4A-43AD-8F5C-264E00AE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Blackman, Jordan [USA]</dc:creator>
  <cp:lastModifiedBy>tm</cp:lastModifiedBy>
  <cp:revision>2</cp:revision>
  <dcterms:created xsi:type="dcterms:W3CDTF">2015-02-13T16:04:00Z</dcterms:created>
  <dcterms:modified xsi:type="dcterms:W3CDTF">2015-02-13T16:04:00Z</dcterms:modified>
</cp:coreProperties>
</file>