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supp_table_s2_sensitivity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analysis</w:t>
            </w:r>
          </w:p>
        </w:tc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conclusion_change</w:t>
            </w:r>
          </w:p>
        </w:tc>
      </w:tr>
      <w:tr>
        <w:tc>
          <w:tcPr>
            <w:tcW w:type="dxa" w:w="2880"/>
          </w:tcPr>
          <w:p>
            <w:r>
              <w:t>complete_case_primary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No material change</w:t>
            </w:r>
          </w:p>
        </w:tc>
      </w:tr>
      <w:tr>
        <w:tc>
          <w:tcPr>
            <w:tcW w:type="dxa" w:w="2880"/>
          </w:tcPr>
          <w:p>
            <w:r>
              <w:t>available_case_per_test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No material change</w:t>
            </w:r>
          </w:p>
        </w:tc>
      </w:tr>
      <w:tr>
        <w:tc>
          <w:tcPr>
            <w:tcW w:type="dxa" w:w="2880"/>
          </w:tcPr>
          <w:p>
            <w:r>
              <w:t>multiple_imputation_m50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Not materially different from complete-case</w:t>
            </w:r>
          </w:p>
        </w:tc>
      </w:tr>
      <w:tr>
        <w:tc>
          <w:tcPr>
            <w:tcW w:type="dxa" w:w="2880"/>
          </w:tcPr>
          <w:p>
            <w:r>
              <w:t>exclude_missing_gt_20pct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No material change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