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Care Approval IQ · V3.1 Re-Evaluation</w:t>
      </w:r>
    </w:p>
    <w:p>
      <w:pPr>
        <w:jc w:val="center"/>
      </w:pPr>
      <w:r>
        <w:rPr>
          <w:i/>
          <w:sz w:val="22"/>
        </w:rPr>
        <w:t>Microsoft Agent-a-Thon 2026 · Architect Track · Independent Judge-Style Assessment</w:t>
      </w:r>
    </w:p>
    <w:p>
      <w:pPr>
        <w:jc w:val="center"/>
      </w:pPr>
      <w:r>
        <w:rPr>
          <w:b/>
          <w:sz w:val="32"/>
        </w:rPr>
        <w:t>Overall assessment: 9.2 / 10</w:t>
      </w:r>
    </w:p>
    <w:p>
      <w:r>
        <w:t>This assessment evaluates the upgraded V3.1 Technical Design Document and V2.1 architecture as if reviewed by a Microsoft Agent-a-Thon Architect-track judge. It deliberately focuses on architectural credibility, multi-agent justification, safety, evaluation evidence, Microsoft technology usage, and demo potential.</w:t>
      </w:r>
    </w:p>
    <w:p>
      <w:pPr>
        <w:pStyle w:val="Heading1"/>
      </w:pPr>
      <w:r>
        <w:t>1. Executive judgement</w:t>
      </w:r>
    </w:p>
    <w:p>
      <w:r>
        <w:t>V3.1 is now a seriously strong submission. The changes address the biggest weaknesses identified in V2 — especially the human-approval contradiction, the agent/executor relationship, and the lack of a meaningful multi-agent comparison.</w:t>
      </w:r>
    </w:p>
    <w:p>
      <w:r>
        <w:rPr>
          <w:b/>
        </w:rPr>
        <w:t xml:space="preserve">Verdict: </w:t>
      </w:r>
      <w:r>
        <w:rPr>
          <w:b/>
        </w:rPr>
        <w:t>Strong shortlist / finalist territory.</w:t>
      </w:r>
    </w:p>
    <w:p>
      <w:r>
        <w:t>The architecture now presents a clear separation between AI reasoning, deterministic workflow control, human authority, and external payer action. The remaining gap to a potential winning submission is primarily proof rather than additional architecture.</w:t>
      </w:r>
    </w:p>
    <w:p>
      <w:pPr>
        <w:pStyle w:val="Heading1"/>
      </w:pPr>
      <w:r>
        <w:t>2. Scorecard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Area</w:t>
            </w:r>
          </w:p>
        </w:tc>
        <w:tc>
          <w:tcPr>
            <w:tcW w:type="dxa" w:w="2520"/>
          </w:tcPr>
          <w:p>
            <w:r>
              <w:t>V2</w:t>
            </w:r>
          </w:p>
        </w:tc>
        <w:tc>
          <w:tcPr>
            <w:tcW w:type="dxa" w:w="2520"/>
          </w:tcPr>
          <w:p>
            <w:r>
              <w:t>V3.1</w:t>
            </w:r>
          </w:p>
        </w:tc>
        <w:tc>
          <w:tcPr>
            <w:tcW w:type="dxa" w:w="2520"/>
          </w:tcPr>
          <w:p>
            <w:r>
              <w:t>Assessment</w:t>
            </w:r>
          </w:p>
        </w:tc>
      </w:tr>
      <w:tr>
        <w:tc>
          <w:tcPr>
            <w:tcW w:type="dxa" w:w="2520"/>
          </w:tcPr>
          <w:p>
            <w:r>
              <w:t>Problem / business value</w:t>
            </w:r>
          </w:p>
        </w:tc>
        <w:tc>
          <w:tcPr>
            <w:tcW w:type="dxa" w:w="2520"/>
          </w:tcPr>
          <w:p>
            <w:r>
              <w:t>9.0</w:t>
            </w:r>
          </w:p>
        </w:tc>
        <w:tc>
          <w:tcPr>
            <w:tcW w:type="dxa" w:w="2520"/>
          </w:tcPr>
          <w:p>
            <w:r>
              <w:t>9.2</w:t>
            </w:r>
          </w:p>
        </w:tc>
        <w:tc>
          <w:tcPr>
            <w:tcW w:type="dxa" w:w="2520"/>
          </w:tcPr>
          <w:p>
            <w:r>
              <w:t>Strong</w:t>
            </w:r>
          </w:p>
        </w:tc>
      </w:tr>
      <w:tr>
        <w:tc>
          <w:tcPr>
            <w:tcW w:type="dxa" w:w="2520"/>
          </w:tcPr>
          <w:p>
            <w:r>
              <w:t>Architecture</w:t>
            </w:r>
          </w:p>
        </w:tc>
        <w:tc>
          <w:tcPr>
            <w:tcW w:type="dxa" w:w="2520"/>
          </w:tcPr>
          <w:p>
            <w:r>
              <w:t>9.3</w:t>
            </w:r>
          </w:p>
        </w:tc>
        <w:tc>
          <w:tcPr>
            <w:tcW w:type="dxa" w:w="2520"/>
          </w:tcPr>
          <w:p>
            <w:r>
              <w:t>9.5</w:t>
            </w:r>
          </w:p>
        </w:tc>
        <w:tc>
          <w:tcPr>
            <w:tcW w:type="dxa" w:w="2520"/>
          </w:tcPr>
          <w:p>
            <w:r>
              <w:t>Excellent</w:t>
            </w:r>
          </w:p>
        </w:tc>
      </w:tr>
      <w:tr>
        <w:tc>
          <w:tcPr>
            <w:tcW w:type="dxa" w:w="2520"/>
          </w:tcPr>
          <w:p>
            <w:r>
              <w:t>Microsoft Foundry</w:t>
            </w:r>
          </w:p>
        </w:tc>
        <w:tc>
          <w:tcPr>
            <w:tcW w:type="dxa" w:w="2520"/>
          </w:tcPr>
          <w:p>
            <w:r>
              <w:t>9.0</w:t>
            </w:r>
          </w:p>
        </w:tc>
        <w:tc>
          <w:tcPr>
            <w:tcW w:type="dxa" w:w="2520"/>
          </w:tcPr>
          <w:p>
            <w:r>
              <w:t>9.3</w:t>
            </w:r>
          </w:p>
        </w:tc>
        <w:tc>
          <w:tcPr>
            <w:tcW w:type="dxa" w:w="2520"/>
          </w:tcPr>
          <w:p>
            <w:r>
              <w:t>Excellent</w:t>
            </w:r>
          </w:p>
        </w:tc>
      </w:tr>
      <w:tr>
        <w:tc>
          <w:tcPr>
            <w:tcW w:type="dxa" w:w="2520"/>
          </w:tcPr>
          <w:p>
            <w:r>
              <w:t>Multi-agent justification</w:t>
            </w:r>
          </w:p>
        </w:tc>
        <w:tc>
          <w:tcPr>
            <w:tcW w:type="dxa" w:w="2520"/>
          </w:tcPr>
          <w:p>
            <w:r>
              <w:t>9.0</w:t>
            </w:r>
          </w:p>
        </w:tc>
        <w:tc>
          <w:tcPr>
            <w:tcW w:type="dxa" w:w="2520"/>
          </w:tcPr>
          <w:p>
            <w:r>
              <w:t>9.5</w:t>
            </w:r>
          </w:p>
        </w:tc>
        <w:tc>
          <w:tcPr>
            <w:tcW w:type="dxa" w:w="2520"/>
          </w:tcPr>
          <w:p>
            <w:r>
              <w:t>Major improvement</w:t>
            </w:r>
          </w:p>
        </w:tc>
      </w:tr>
      <w:tr>
        <w:tc>
          <w:tcPr>
            <w:tcW w:type="dxa" w:w="2520"/>
          </w:tcPr>
          <w:p>
            <w:r>
              <w:t>Responsible AI / safety</w:t>
            </w:r>
          </w:p>
        </w:tc>
        <w:tc>
          <w:tcPr>
            <w:tcW w:type="dxa" w:w="2520"/>
          </w:tcPr>
          <w:p>
            <w:r>
              <w:t>9.2</w:t>
            </w:r>
          </w:p>
        </w:tc>
        <w:tc>
          <w:tcPr>
            <w:tcW w:type="dxa" w:w="2520"/>
          </w:tcPr>
          <w:p>
            <w:r>
              <w:t>9.6</w:t>
            </w:r>
          </w:p>
        </w:tc>
        <w:tc>
          <w:tcPr>
            <w:tcW w:type="dxa" w:w="2520"/>
          </w:tcPr>
          <w:p>
            <w:r>
              <w:t>Excellent</w:t>
            </w:r>
          </w:p>
        </w:tc>
      </w:tr>
      <w:tr>
        <w:tc>
          <w:tcPr>
            <w:tcW w:type="dxa" w:w="2520"/>
          </w:tcPr>
          <w:p>
            <w:r>
              <w:t>Technical execution</w:t>
            </w:r>
          </w:p>
        </w:tc>
        <w:tc>
          <w:tcPr>
            <w:tcW w:type="dxa" w:w="2520"/>
          </w:tcPr>
          <w:p>
            <w:r>
              <w:t>9.2</w:t>
            </w:r>
          </w:p>
        </w:tc>
        <w:tc>
          <w:tcPr>
            <w:tcW w:type="dxa" w:w="2520"/>
          </w:tcPr>
          <w:p>
            <w:r>
              <w:t>9.4</w:t>
            </w:r>
          </w:p>
        </w:tc>
        <w:tc>
          <w:tcPr>
            <w:tcW w:type="dxa" w:w="2520"/>
          </w:tcPr>
          <w:p>
            <w:r>
              <w:t>Excellent</w:t>
            </w:r>
          </w:p>
        </w:tc>
      </w:tr>
      <w:tr>
        <w:tc>
          <w:tcPr>
            <w:tcW w:type="dxa" w:w="2520"/>
          </w:tcPr>
          <w:p>
            <w:r>
              <w:t>Evaluation</w:t>
            </w:r>
          </w:p>
        </w:tc>
        <w:tc>
          <w:tcPr>
            <w:tcW w:type="dxa" w:w="2520"/>
          </w:tcPr>
          <w:p>
            <w:r>
              <w:t>8.0</w:t>
            </w:r>
          </w:p>
        </w:tc>
        <w:tc>
          <w:tcPr>
            <w:tcW w:type="dxa" w:w="2520"/>
          </w:tcPr>
          <w:p>
            <w:r>
              <w:t>8.8</w:t>
            </w:r>
          </w:p>
        </w:tc>
        <w:tc>
          <w:tcPr>
            <w:tcW w:type="dxa" w:w="2520"/>
          </w:tcPr>
          <w:p>
            <w:r>
              <w:t>Much better</w:t>
            </w:r>
          </w:p>
        </w:tc>
      </w:tr>
      <w:tr>
        <w:tc>
          <w:tcPr>
            <w:tcW w:type="dxa" w:w="2520"/>
          </w:tcPr>
          <w:p>
            <w:r>
              <w:t>UX / demo</w:t>
            </w:r>
          </w:p>
        </w:tc>
        <w:tc>
          <w:tcPr>
            <w:tcW w:type="dxa" w:w="2520"/>
          </w:tcPr>
          <w:p>
            <w:r>
              <w:t>8.8</w:t>
            </w:r>
          </w:p>
        </w:tc>
        <w:tc>
          <w:tcPr>
            <w:tcW w:type="dxa" w:w="2520"/>
          </w:tcPr>
          <w:p>
            <w:r>
              <w:t>9.0</w:t>
            </w:r>
          </w:p>
        </w:tc>
        <w:tc>
          <w:tcPr>
            <w:tcW w:type="dxa" w:w="2520"/>
          </w:tcPr>
          <w:p>
            <w:r>
              <w:t>Strong</w:t>
            </w:r>
          </w:p>
        </w:tc>
      </w:tr>
      <w:tr>
        <w:tc>
          <w:tcPr>
            <w:tcW w:type="dxa" w:w="2520"/>
          </w:tcPr>
          <w:p>
            <w:r>
              <w:t>Innovation</w:t>
            </w:r>
          </w:p>
        </w:tc>
        <w:tc>
          <w:tcPr>
            <w:tcW w:type="dxa" w:w="2520"/>
          </w:tcPr>
          <w:p>
            <w:r>
              <w:t>9.0</w:t>
            </w:r>
          </w:p>
        </w:tc>
        <w:tc>
          <w:tcPr>
            <w:tcW w:type="dxa" w:w="2520"/>
          </w:tcPr>
          <w:p>
            <w:r>
              <w:t>9.2</w:t>
            </w:r>
          </w:p>
        </w:tc>
        <w:tc>
          <w:tcPr>
            <w:tcW w:type="dxa" w:w="2520"/>
          </w:tcPr>
          <w:p>
            <w:r>
              <w:t>Strong</w:t>
            </w:r>
          </w:p>
        </w:tc>
      </w:tr>
      <w:tr>
        <w:tc>
          <w:tcPr>
            <w:tcW w:type="dxa" w:w="2520"/>
          </w:tcPr>
          <w:p>
            <w:r>
              <w:t>Production credibility</w:t>
            </w:r>
          </w:p>
        </w:tc>
        <w:tc>
          <w:tcPr>
            <w:tcW w:type="dxa" w:w="2520"/>
          </w:tcPr>
          <w:p>
            <w:r>
              <w:t>8.8</w:t>
            </w:r>
          </w:p>
        </w:tc>
        <w:tc>
          <w:tcPr>
            <w:tcW w:type="dxa" w:w="2520"/>
          </w:tcPr>
          <w:p>
            <w:r>
              <w:t>9.0</w:t>
            </w:r>
          </w:p>
        </w:tc>
        <w:tc>
          <w:tcPr>
            <w:tcW w:type="dxa" w:w="2520"/>
          </w:tcPr>
          <w:p>
            <w:r>
              <w:t>Strong</w:t>
            </w:r>
          </w:p>
        </w:tc>
      </w:tr>
      <w:tr>
        <w:tc>
          <w:tcPr>
            <w:tcW w:type="dxa" w:w="2520"/>
          </w:tcPr>
          <w:p>
            <w:r>
              <w:t>Overall</w:t>
            </w:r>
          </w:p>
        </w:tc>
        <w:tc>
          <w:tcPr>
            <w:tcW w:type="dxa" w:w="2520"/>
          </w:tcPr>
          <w:p>
            <w:r>
              <w:t>8.9</w:t>
            </w:r>
          </w:p>
        </w:tc>
        <w:tc>
          <w:tcPr>
            <w:tcW w:type="dxa" w:w="2520"/>
          </w:tcPr>
          <w:p>
            <w:r>
              <w:t>9.2</w:t>
            </w:r>
          </w:p>
        </w:tc>
        <w:tc>
          <w:tcPr>
            <w:tcW w:type="dxa" w:w="2520"/>
          </w:tcPr>
          <w:p>
            <w:r>
              <w:t>Finalist quality</w:t>
            </w:r>
          </w:p>
        </w:tc>
      </w:tr>
    </w:tbl>
    <w:p>
      <w:pPr>
        <w:pStyle w:val="Heading1"/>
      </w:pPr>
      <w:r>
        <w:t>3. The biggest V2 problem has been fixed</w:t>
      </w:r>
    </w:p>
    <w:p>
      <w:r>
        <w:t>The previous contradiction was between saying every outbound action was human-approved and showing an AutoSubmit path with no human pause. V3.1 fixes this clearly: every outbound action requires a human approval, and every send pauses at a RequestPort.</w:t>
      </w:r>
    </w:p>
    <w:p>
      <w:r>
        <w:rPr>
          <w:b/>
        </w:rPr>
        <w:t xml:space="preserve">Judge reaction: </w:t>
      </w:r>
      <w:r>
        <w:rPr>
          <w:b/>
        </w:rPr>
        <w:t>The architecture now has a clear answer to “Does the AI submit claims automatically?” — No. The Gate determines readiness; a human authorises; only then does the Submission Adapter execute.</w:t>
      </w:r>
    </w:p>
    <w:p>
      <w:r>
        <w:t>This is now one of the strongest safety boundaries in the submission.</w:t>
      </w:r>
    </w:p>
    <w:p>
      <w:pPr>
        <w:pStyle w:val="Heading1"/>
      </w:pPr>
      <w:r>
        <w:t>4. Agent + executor relationship is now well justified</w:t>
      </w:r>
    </w:p>
    <w:p>
      <w:r>
        <w:t>V3.1 directly explains why there is an agent and a deterministic executor per step: the agent performs unstructured reasoning and returns a typed recommendation; the deterministic executor validates it, normalises it, and commits it to the workflow contract read by the Gate.</w:t>
      </w:r>
    </w:p>
    <w:p>
      <w:r>
        <w:rPr>
          <w:b/>
        </w:rPr>
        <w:t xml:space="preserve">Core architectural principle: </w:t>
      </w:r>
      <w:r>
        <w:rPr>
          <w:b/>
        </w:rPr>
        <w:t>LLM proposes → typed contract → deterministic validation → workflow state → deterministic Gate → human authority → external action.</w:t>
      </w:r>
    </w:p>
    <w:p>
      <w:r>
        <w:t>This is a defensible enterprise-agent architecture because it separates probabilistic reasoning from business decision authority.</w:t>
      </w:r>
    </w:p>
    <w:p>
      <w:pPr>
        <w:pStyle w:val="Heading1"/>
      </w:pPr>
      <w:r>
        <w:t>5. Multi-agent design is now substantially stronger</w:t>
      </w:r>
    </w:p>
    <w:p>
      <w:r>
        <w:t>The five agents now have materially different responsibilities:</w:t>
      </w:r>
    </w:p>
    <w:p>
      <w:pPr>
        <w:pStyle w:val="ListBullet"/>
      </w:pPr>
      <w:r>
        <w:t>Needs Auth — resolves whether prior authorisation is required and handles ambiguous plan language.</w:t>
      </w:r>
    </w:p>
    <w:p>
      <w:pPr>
        <w:pStyle w:val="ListBullet"/>
      </w:pPr>
      <w:r>
        <w:t>Evidence Gap — maps the clinical note to written criteria and records supporting evidence.</w:t>
      </w:r>
    </w:p>
    <w:p>
      <w:pPr>
        <w:pStyle w:val="ListBullet"/>
      </w:pPr>
      <w:r>
        <w:t>Claims Extraction — extracts clinical claims and detects contradictions.</w:t>
      </w:r>
    </w:p>
    <w:p>
      <w:pPr>
        <w:pStyle w:val="ListBullet"/>
      </w:pPr>
      <w:r>
        <w:t>Precedent Strategist — finds comparable historical cases and uses their outcomes to formulate an appeal strategy.</w:t>
      </w:r>
    </w:p>
    <w:p>
      <w:pPr>
        <w:pStyle w:val="ListBullet"/>
      </w:pPr>
      <w:r>
        <w:t>Critic — deliberately tries to disprove the assembled recommendation before human review.</w:t>
      </w:r>
    </w:p>
    <w:p>
      <w:r>
        <w:t>The Critic is particularly important because it is not another agent doing the same work. It has an adversarial role: challenge unsupported claims, non-comparable precedents, over-strong conclusions and hidden contradictions.</w:t>
      </w:r>
    </w:p>
    <w:p>
      <w:r>
        <w:rPr>
          <w:b/>
        </w:rPr>
        <w:t xml:space="preserve">Score: </w:t>
      </w:r>
      <w:r>
        <w:rPr>
          <w:b/>
        </w:rPr>
        <w:t>9.5 / 10. Multi-agent justification is no longer the weak point.</w:t>
      </w:r>
    </w:p>
    <w:p>
      <w:pPr>
        <w:pStyle w:val="Heading1"/>
      </w:pPr>
      <w:r>
        <w:t>6. Deterministic Gate is a major differentiator</w:t>
      </w:r>
    </w:p>
    <w:p>
      <w:r>
        <w:t>The Gate does not average an AI confidence score and make a decision. It evaluates structured inputs including mandatory criteria, evidence quality, contradictions, precedent support, Critic verdict, estimated value, and appeal status.</w:t>
      </w:r>
    </w:p>
    <w:p>
      <w:pPr>
        <w:pStyle w:val="ListBullet"/>
      </w:pPr>
      <w:r>
        <w:t>Unmet mandatory criterion or contradiction → Human Review.</w:t>
      </w:r>
    </w:p>
    <w:p>
      <w:pPr>
        <w:pStyle w:val="ListBullet"/>
      </w:pPr>
      <w:r>
        <w:t>Critic Block → Human Review.</w:t>
      </w:r>
    </w:p>
    <w:p>
      <w:pPr>
        <w:pStyle w:val="ListBullet"/>
      </w:pPr>
      <w:r>
        <w:t>Critic Abstain or weak evidence + weak/no precedent → Abstain.</w:t>
      </w:r>
    </w:p>
    <w:p>
      <w:pPr>
        <w:pStyle w:val="ListBullet"/>
      </w:pPr>
      <w:r>
        <w:t>Value over auto-limit → Human Review.</w:t>
      </w:r>
    </w:p>
    <w:p>
      <w:pPr>
        <w:pStyle w:val="ListBullet"/>
      </w:pPr>
      <w:r>
        <w:t>Undocumented supporting criterion or Critic Concerns → Strengthen.</w:t>
      </w:r>
    </w:p>
    <w:p>
      <w:pPr>
        <w:pStyle w:val="ListBullet"/>
      </w:pPr>
      <w:r>
        <w:t>Otherwise → ready to submit, followed by mandatory human approval.</w:t>
      </w:r>
    </w:p>
    <w:p>
      <w:r>
        <w:rPr>
          <w:b/>
        </w:rPr>
        <w:t xml:space="preserve">Strongest principle: </w:t>
      </w:r>
      <w:r>
        <w:rPr>
          <w:b/>
        </w:rPr>
        <w:t>A missing mandatory criterion is never averaged away.</w:t>
      </w:r>
    </w:p>
    <w:p>
      <w:pPr>
        <w:pStyle w:val="Heading1"/>
      </w:pPr>
      <w:r>
        <w:t>7. Abstain is a strong safety feature</w:t>
      </w:r>
    </w:p>
    <w:p>
      <w:r>
        <w:t>The system explicitly allows itself to say “I don't know” or stop when the evidence is insufficient. This is mature design for a healthcare decision-support workflow.</w:t>
      </w:r>
    </w:p>
    <w:p>
      <w:pPr>
        <w:pStyle w:val="ListBullet"/>
      </w:pPr>
      <w:r>
        <w:t>Clear → potentially ready for approval.</w:t>
      </w:r>
    </w:p>
    <w:p>
      <w:pPr>
        <w:pStyle w:val="ListBullet"/>
      </w:pPr>
      <w:r>
        <w:t>Concerns → Strengthen.</w:t>
      </w:r>
    </w:p>
    <w:p>
      <w:pPr>
        <w:pStyle w:val="ListBullet"/>
      </w:pPr>
      <w:r>
        <w:t>Block → Human Review.</w:t>
      </w:r>
    </w:p>
    <w:p>
      <w:pPr>
        <w:pStyle w:val="ListBullet"/>
      </w:pPr>
      <w:r>
        <w:t>Abstain → Stop.</w:t>
      </w:r>
    </w:p>
    <w:p>
      <w:pPr>
        <w:pStyle w:val="Heading1"/>
      </w:pPr>
      <w:r>
        <w:t>8. Evaluation has improved significantly</w:t>
      </w:r>
    </w:p>
    <w:p>
      <w:r>
        <w:t>The V3.1 submission now contains a meaningful multi-agent comparison and safety-shaped evaluation rather than relying on a headline accuracy number.</w:t>
      </w:r>
    </w:p>
    <w:tbl>
      <w:tblPr>
        <w:tblStyle w:val="TableGrid"/>
        <w:tblW w:type="auto" w:w="0"/>
        <w:tblLook w:firstColumn="1" w:firstRow="1" w:lastColumn="0" w:lastRow="0" w:noHBand="0" w:noVBand="1" w:val="04A0"/>
      </w:tblPr>
      <w:tblGrid>
        <w:gridCol w:w="3360"/>
        <w:gridCol w:w="3360"/>
        <w:gridCol w:w="3360"/>
      </w:tblGrid>
      <w:tr>
        <w:tc>
          <w:tcPr>
            <w:tcW w:type="dxa" w:w="3360"/>
          </w:tcPr>
          <w:p>
            <w:r>
              <w:t>Metric</w:t>
            </w:r>
          </w:p>
        </w:tc>
        <w:tc>
          <w:tcPr>
            <w:tcW w:type="dxa" w:w="3360"/>
          </w:tcPr>
          <w:p>
            <w:r>
              <w:t>Current result</w:t>
            </w:r>
          </w:p>
        </w:tc>
        <w:tc>
          <w:tcPr>
            <w:tcW w:type="dxa" w:w="3360"/>
          </w:tcPr>
          <w:p>
            <w:r>
              <w:t>Assessment</w:t>
            </w:r>
          </w:p>
        </w:tc>
      </w:tr>
      <w:tr>
        <w:tc>
          <w:tcPr>
            <w:tcW w:type="dxa" w:w="3360"/>
          </w:tcPr>
          <w:p>
            <w:r>
              <w:t>Evidence precision / recall</w:t>
            </w:r>
          </w:p>
        </w:tc>
        <w:tc>
          <w:tcPr>
            <w:tcW w:type="dxa" w:w="3360"/>
          </w:tcPr>
          <w:p>
            <w:r>
              <w:t>100% / 100%</w:t>
            </w:r>
          </w:p>
        </w:tc>
        <w:tc>
          <w:tcPr>
            <w:tcW w:type="dxa" w:w="3360"/>
          </w:tcPr>
          <w:p>
            <w:r>
              <w:t>Strong</w:t>
            </w:r>
          </w:p>
        </w:tc>
      </w:tr>
      <w:tr>
        <w:tc>
          <w:tcPr>
            <w:tcW w:type="dxa" w:w="3360"/>
          </w:tcPr>
          <w:p>
            <w:r>
              <w:t>Mandatory criterion false negatives</w:t>
            </w:r>
          </w:p>
        </w:tc>
        <w:tc>
          <w:tcPr>
            <w:tcW w:type="dxa" w:w="3360"/>
          </w:tcPr>
          <w:p>
            <w:r>
              <w:t>0 / 3</w:t>
            </w:r>
          </w:p>
        </w:tc>
        <w:tc>
          <w:tcPr>
            <w:tcW w:type="dxa" w:w="3360"/>
          </w:tcPr>
          <w:p>
            <w:r>
              <w:t>Meets hard gate</w:t>
            </w:r>
          </w:p>
        </w:tc>
      </w:tr>
      <w:tr>
        <w:tc>
          <w:tcPr>
            <w:tcW w:type="dxa" w:w="3360"/>
          </w:tcPr>
          <w:p>
            <w:r>
              <w:t>Policy citation accuracy</w:t>
            </w:r>
          </w:p>
        </w:tc>
        <w:tc>
          <w:tcPr>
            <w:tcW w:type="dxa" w:w="3360"/>
          </w:tcPr>
          <w:p>
            <w:r>
              <w:t>100%</w:t>
            </w:r>
          </w:p>
        </w:tc>
        <w:tc>
          <w:tcPr>
            <w:tcW w:type="dxa" w:w="3360"/>
          </w:tcPr>
          <w:p>
            <w:r>
              <w:t>Meets ≥95%</w:t>
            </w:r>
          </w:p>
        </w:tc>
      </w:tr>
      <w:tr>
        <w:tc>
          <w:tcPr>
            <w:tcW w:type="dxa" w:w="3360"/>
          </w:tcPr>
          <w:p>
            <w:r>
              <w:t>Precedent citation accuracy</w:t>
            </w:r>
          </w:p>
        </w:tc>
        <w:tc>
          <w:tcPr>
            <w:tcW w:type="dxa" w:w="3360"/>
          </w:tcPr>
          <w:p>
            <w:r>
              <w:t>100%</w:t>
            </w:r>
          </w:p>
        </w:tc>
        <w:tc>
          <w:tcPr>
            <w:tcW w:type="dxa" w:w="3360"/>
          </w:tcPr>
          <w:p>
            <w:r>
              <w:t>Meets ≥80%</w:t>
            </w:r>
          </w:p>
        </w:tc>
      </w:tr>
      <w:tr>
        <w:tc>
          <w:tcPr>
            <w:tcW w:type="dxa" w:w="3360"/>
          </w:tcPr>
          <w:p>
            <w:r>
              <w:t>Hallucinated references</w:t>
            </w:r>
          </w:p>
        </w:tc>
        <w:tc>
          <w:tcPr>
            <w:tcW w:type="dxa" w:w="3360"/>
          </w:tcPr>
          <w:p>
            <w:r>
              <w:t>0</w:t>
            </w:r>
          </w:p>
        </w:tc>
        <w:tc>
          <w:tcPr>
            <w:tcW w:type="dxa" w:w="3360"/>
          </w:tcPr>
          <w:p>
            <w:r>
              <w:t>Hard safety gate</w:t>
            </w:r>
          </w:p>
        </w:tc>
      </w:tr>
      <w:tr>
        <w:tc>
          <w:tcPr>
            <w:tcW w:type="dxa" w:w="3360"/>
          </w:tcPr>
          <w:p>
            <w:r>
              <w:t>Appeal recommendation agreement</w:t>
            </w:r>
          </w:p>
        </w:tc>
        <w:tc>
          <w:tcPr>
            <w:tcW w:type="dxa" w:w="3360"/>
          </w:tcPr>
          <w:p>
            <w:r>
              <w:t>100% (19 cases)</w:t>
            </w:r>
          </w:p>
        </w:tc>
        <w:tc>
          <w:tcPr>
            <w:tcW w:type="dxa" w:w="3360"/>
          </w:tcPr>
          <w:p>
            <w:r>
              <w:t>Meets ≥80%</w:t>
            </w:r>
          </w:p>
        </w:tc>
      </w:tr>
      <w:tr>
        <w:tc>
          <w:tcPr>
            <w:tcW w:type="dxa" w:w="3360"/>
          </w:tcPr>
          <w:p>
            <w:r>
              <w:t>Safe abstention</w:t>
            </w:r>
          </w:p>
        </w:tc>
        <w:tc>
          <w:tcPr>
            <w:tcW w:type="dxa" w:w="3360"/>
          </w:tcPr>
          <w:p>
            <w:r>
              <w:t>2 / 2 (100%)</w:t>
            </w:r>
          </w:p>
        </w:tc>
        <w:tc>
          <w:tcPr>
            <w:tcW w:type="dxa" w:w="3360"/>
          </w:tcPr>
          <w:p>
            <w:r>
              <w:t>Meets ≥80%</w:t>
            </w:r>
          </w:p>
        </w:tc>
      </w:tr>
      <w:tr>
        <w:tc>
          <w:tcPr>
            <w:tcW w:type="dxa" w:w="3360"/>
          </w:tcPr>
          <w:p>
            <w:r>
              <w:t>Unsafe automations</w:t>
            </w:r>
          </w:p>
        </w:tc>
        <w:tc>
          <w:tcPr>
            <w:tcW w:type="dxa" w:w="3360"/>
          </w:tcPr>
          <w:p>
            <w:r>
              <w:t>0</w:t>
            </w:r>
          </w:p>
        </w:tc>
        <w:tc>
          <w:tcPr>
            <w:tcW w:type="dxa" w:w="3360"/>
          </w:tcPr>
          <w:p>
            <w:r>
              <w:t>Hard safety gate</w:t>
            </w:r>
          </w:p>
        </w:tc>
      </w:tr>
    </w:tbl>
    <w:p>
      <w:pPr>
        <w:pStyle w:val="Heading1"/>
      </w:pPr>
      <w:r>
        <w:t>9. Multi-agent vs one-generalist comparison</w:t>
      </w:r>
    </w:p>
    <w:p>
      <w:r>
        <w:t>V3.1 adds a baseline comparison over the same 20 cases. The pipeline achieves 100% route agreement versus 55% for the current baseline, and the pipeline records zero unsafe automations versus five for the baseline.</w:t>
      </w:r>
    </w:p>
    <w:p>
      <w:r>
        <w:t>This is a major improvement because the submission now attempts to demonstrate that the architecture is safer than a simpler alternative, rather than simply asserting that multi-agent is better.</w:t>
      </w:r>
    </w:p>
    <w:p>
      <w:pPr>
        <w:pStyle w:val="Heading1"/>
      </w:pPr>
      <w:r>
        <w:t>10. The main weakness: strengthen the baseline</w:t>
      </w:r>
    </w:p>
    <w:p>
      <w:r>
        <w:t>This is now the biggest remaining weakness. The current baseline is described as a deterministic single-prompt/keyword-style baseline that lacks mandatory-criterion handling, contradiction checks and abstention. A judge could reasonably argue that this is a weak competitor.</w:t>
      </w:r>
    </w:p>
    <w:p>
      <w:r>
        <w:rPr>
          <w:b/>
        </w:rPr>
        <w:t xml:space="preserve">Recommended change: </w:t>
      </w:r>
      <w:r>
        <w:rPr>
          <w:b/>
        </w:rPr>
        <w:t>Use a credible single generalist GPT agent as the baseline.</w:t>
      </w:r>
    </w:p>
    <w:p>
      <w:r>
        <w:t>Give the single agent the same case, policy corpus, evidence and precedent information and ask it to perform the complete task in one reasoning step. Then compare both systems on the same safety and quality metrics.</w:t>
      </w:r>
    </w:p>
    <w:p>
      <w:pPr>
        <w:pStyle w:val="ListBullet"/>
      </w:pPr>
      <w:r>
        <w:t>Mandatory criterion accuracy</w:t>
      </w:r>
    </w:p>
    <w:p>
      <w:pPr>
        <w:pStyle w:val="ListBullet"/>
      </w:pPr>
      <w:r>
        <w:t>Evidence precision / recall</w:t>
      </w:r>
    </w:p>
    <w:p>
      <w:pPr>
        <w:pStyle w:val="ListBullet"/>
      </w:pPr>
      <w:r>
        <w:t>Policy citation accuracy</w:t>
      </w:r>
    </w:p>
    <w:p>
      <w:pPr>
        <w:pStyle w:val="ListBullet"/>
      </w:pPr>
      <w:r>
        <w:t>Precedent citation accuracy</w:t>
      </w:r>
    </w:p>
    <w:p>
      <w:pPr>
        <w:pStyle w:val="ListBullet"/>
      </w:pPr>
      <w:r>
        <w:t>Contradiction detection</w:t>
      </w:r>
    </w:p>
    <w:p>
      <w:pPr>
        <w:pStyle w:val="ListBullet"/>
      </w:pPr>
      <w:r>
        <w:t>Precedent quality</w:t>
      </w:r>
    </w:p>
    <w:p>
      <w:pPr>
        <w:pStyle w:val="ListBullet"/>
      </w:pPr>
      <w:r>
        <w:t>Abstention</w:t>
      </w:r>
    </w:p>
    <w:p>
      <w:pPr>
        <w:pStyle w:val="ListBullet"/>
      </w:pPr>
      <w:r>
        <w:t>Unsafe automation</w:t>
      </w:r>
    </w:p>
    <w:p>
      <w:pPr>
        <w:pStyle w:val="ListBullet"/>
      </w:pPr>
      <w:r>
        <w:t>Route agreement</w:t>
      </w:r>
    </w:p>
    <w:p>
      <w:pPr>
        <w:pStyle w:val="ListBullet"/>
      </w:pPr>
      <w:r>
        <w:t>Reviewer agreement</w:t>
      </w:r>
    </w:p>
    <w:p>
      <w:r>
        <w:rPr>
          <w:b/>
        </w:rPr>
        <w:t xml:space="preserve">Potential impact: </w:t>
      </w:r>
      <w:r>
        <w:rPr>
          <w:b/>
        </w:rPr>
        <w:t>Strengthening this experiment could move the assessment from about 9.2 toward 9.4–9.5.</w:t>
      </w:r>
    </w:p>
    <w:p>
      <w:pPr>
        <w:pStyle w:val="Heading1"/>
      </w:pPr>
      <w:r>
        <w:t>11. Rename “AutoSubmit” to remove ambiguity</w:t>
      </w:r>
    </w:p>
    <w:p>
      <w:r>
        <w:t>Although V3.1 correctly implements human approval, the label “AutoSubmit” can still make a judge pause because it visually suggests autonomous payer submission.</w:t>
      </w:r>
    </w:p>
    <w:p>
      <w:r>
        <w:t>Recommended labels:</w:t>
      </w:r>
    </w:p>
    <w:p>
      <w:pPr>
        <w:pStyle w:val="ListBullet"/>
      </w:pPr>
      <w:r>
        <w:t>READY_TO_SUBMIT — preferred.</w:t>
      </w:r>
    </w:p>
    <w:p>
      <w:pPr>
        <w:pStyle w:val="ListBullet"/>
      </w:pPr>
      <w:r>
        <w:t>READY_FOR_APPROVAL.</w:t>
      </w:r>
    </w:p>
    <w:p>
      <w:pPr>
        <w:pStyle w:val="ListBullet"/>
      </w:pPr>
      <w:r>
        <w:t>AUTO_READY.</w:t>
      </w:r>
    </w:p>
    <w:p>
      <w:r>
        <w:rPr>
          <w:b/>
        </w:rPr>
        <w:t xml:space="preserve">Preferred flow: </w:t>
      </w:r>
      <w:r>
        <w:rPr>
          <w:b/>
        </w:rPr>
        <w:t>READY_TO_SUBMIT → Human Approval → Submission Adapter</w:t>
      </w:r>
    </w:p>
    <w:p>
      <w:r>
        <w:t>This makes the safety model almost impossible to misunderstand when a judge scans the architecture quickly.</w:t>
      </w:r>
    </w:p>
    <w:p>
      <w:pPr>
        <w:pStyle w:val="Heading1"/>
      </w:pPr>
      <w:r>
        <w:t>12. Do not add another agent</w:t>
      </w:r>
    </w:p>
    <w:p>
      <w:r>
        <w:t>Five agents are enough. Adding a sixth agent would probably weaken rather than strengthen the architecture.</w:t>
      </w:r>
    </w:p>
    <w:p>
      <w:r>
        <w:t>If asked why five, the strongest answer is: “These are five materially different reasoning responsibilities. I deliberately did not create agents for deterministic work such as expiry calculation, policy diffing, routing or threshold calculation.”</w:t>
      </w:r>
    </w:p>
    <w:p>
      <w:pPr>
        <w:pStyle w:val="Heading1"/>
      </w:pPr>
      <w:r>
        <w:t>13. Be careful with the phrase “will win”</w:t>
      </w:r>
    </w:p>
    <w:p>
      <w:r>
        <w:t>The architecture identifies comparable historical cases and their outcomes; it cannot guarantee that a new appeal will win.</w:t>
      </w:r>
    </w:p>
    <w:p>
      <w:r>
        <w:rPr>
          <w:b/>
        </w:rPr>
        <w:t xml:space="preserve">Recommended wording: </w:t>
      </w:r>
      <w:r>
        <w:rPr>
          <w:b/>
        </w:rPr>
        <w:t>“The payer's own history shows which arguments have succeeded in comparable cases.”</w:t>
      </w:r>
    </w:p>
    <w:p>
      <w:r>
        <w:t>This is more technically defensible and avoids inviting a judge to challenge the system on outcome guarantees.</w:t>
      </w:r>
    </w:p>
    <w:p>
      <w:pPr>
        <w:pStyle w:val="Heading1"/>
      </w:pPr>
      <w:r>
        <w:t>14. Business value is now credible</w:t>
      </w:r>
    </w:p>
    <w:p>
      <w:r>
        <w:t>The move to Estimated Recoverable Value is a strong decision. It avoids inventing a percentage improvement and instead uses a checkable calculation based on the appeals gap, comparable win rate and mean claim value.</w:t>
      </w:r>
    </w:p>
    <w:p>
      <w:r>
        <w:rPr>
          <w:b/>
        </w:rPr>
        <w:t xml:space="preserve">Positioning: </w:t>
      </w:r>
      <w:r>
        <w:rPr>
          <w:b/>
        </w:rPr>
        <w:t>A number the payer can check, not a marketing figure.</w:t>
      </w:r>
    </w:p>
    <w:p>
      <w:pPr>
        <w:pStyle w:val="Heading1"/>
      </w:pPr>
      <w:r>
        <w:t>15. Production credibility</w:t>
      </w:r>
    </w:p>
    <w:p>
      <w:r>
        <w:t>V3.1 is appropriately honest about what is not production-built. It explicitly names network isolation, AI governance enforcement, CI/CD deployment, model/prompt versioning, live quality monitoring, HA/DR, secret rotation, data residency, PHI handling and real payer connectivity as production-hardening work.</w:t>
      </w:r>
    </w:p>
    <w:p>
      <w:r>
        <w:t>That is stronger than claiming generic “enterprise readiness.” It shows the boundary between the competition implementation and a production implementation.</w:t>
      </w:r>
    </w:p>
    <w:p>
      <w:pPr>
        <w:pStyle w:val="Heading1"/>
      </w:pPr>
      <w:r>
        <w:t>16. Architecture diagram assessment</w:t>
      </w:r>
    </w:p>
    <w:p>
      <w:r>
        <w:t>The V2.1 architecture diagram is visually strong. It presents Intake, Compute / Agent Framework, AI Foundry, Data, Experience and Cross-cutting concerns with a clear hierarchy.</w:t>
      </w:r>
    </w:p>
    <w:p>
      <w:pPr>
        <w:pStyle w:val="ListBullet"/>
      </w:pPr>
      <w:r>
        <w:t>The “no LLM in the control path” message is particularly strong.</w:t>
      </w:r>
    </w:p>
    <w:p>
      <w:pPr>
        <w:pStyle w:val="ListBullet"/>
      </w:pPr>
      <w:r>
        <w:t>The diagram makes the Agent → Executor → Orchestrator → Gate → RequestPort → Submission Adapter relationship understandable.</w:t>
      </w:r>
    </w:p>
    <w:p>
      <w:pPr>
        <w:pStyle w:val="ListBullet"/>
      </w:pPr>
      <w:r>
        <w:t>Security and identity boundaries are visible rather than hidden in prose.</w:t>
      </w:r>
    </w:p>
    <w:p>
      <w:pPr>
        <w:pStyle w:val="ListBullet"/>
      </w:pPr>
      <w:r>
        <w:t>Observability, cost measurement and evaluation are represented as first-class concerns.</w:t>
      </w:r>
    </w:p>
    <w:p>
      <w:pPr>
        <w:pStyle w:val="ListBullet"/>
      </w:pPr>
      <w:r>
        <w:t>It looks like an architecture diagram rather than a catalogue of Azure services.</w:t>
      </w:r>
    </w:p>
    <w:p>
      <w:r>
        <w:rPr>
          <w:b/>
        </w:rPr>
        <w:t xml:space="preserve">Diagram score: </w:t>
      </w:r>
      <w:r>
        <w:rPr>
          <w:b/>
        </w:rPr>
        <w:t>9.5 / 10</w:t>
      </w:r>
    </w:p>
    <w:p>
      <w:pPr>
        <w:pStyle w:val="Heading1"/>
      </w:pPr>
      <w:r>
        <w:t>17. Microsoft technology story</w:t>
      </w:r>
    </w:p>
    <w:p>
      <w:r>
        <w:t>The solution makes meaningful use of Microsoft Agent Framework and Microsoft Foundry rather than merely naming them. The design uses Foundry Agent Service for persistent reasoning agents, Agent Framework for typed workflow orchestration, RequestPort for human-in-the-loop, Durable Task for checkpoint/replay, Foundry File Search for grounding, and Azure-native services for state, identity and observability.</w:t>
      </w:r>
    </w:p>
    <w:p>
      <w:r>
        <w:t>This is well aligned with the Architect-track focus on production-grade agents, orchestration, multi-agent capabilities and secure enterprise workflows.</w:t>
      </w:r>
    </w:p>
    <w:p>
      <w:pPr>
        <w:pStyle w:val="Heading1"/>
      </w:pPr>
      <w:r>
        <w:t>18. Recommended 3-minute demo</w:t>
      </w:r>
    </w:p>
    <w:tbl>
      <w:tblPr>
        <w:tblStyle w:val="TableGrid"/>
        <w:tblW w:type="auto" w:w="0"/>
        <w:tblLook w:firstColumn="1" w:firstRow="1" w:lastColumn="0" w:lastRow="0" w:noHBand="0" w:noVBand="1" w:val="04A0"/>
      </w:tblPr>
      <w:tblGrid>
        <w:gridCol w:w="5040"/>
        <w:gridCol w:w="5040"/>
      </w:tblGrid>
      <w:tr>
        <w:tc>
          <w:tcPr>
            <w:tcW w:type="dxa" w:w="5040"/>
          </w:tcPr>
          <w:p>
            <w:r>
              <w:t>Time</w:t>
            </w:r>
          </w:p>
        </w:tc>
        <w:tc>
          <w:tcPr>
            <w:tcW w:type="dxa" w:w="5040"/>
          </w:tcPr>
          <w:p>
            <w:r>
              <w:t>Demo beat</w:t>
            </w:r>
          </w:p>
        </w:tc>
      </w:tr>
      <w:tr>
        <w:tc>
          <w:tcPr>
            <w:tcW w:type="dxa" w:w="5040"/>
          </w:tcPr>
          <w:p>
            <w:r>
              <w:t>0:00–0:20</w:t>
            </w:r>
          </w:p>
        </w:tc>
        <w:tc>
          <w:tcPr>
            <w:tcW w:type="dxa" w:w="5040"/>
          </w:tcPr>
          <w:p>
            <w:r>
              <w:t>Denied case arrives.</w:t>
            </w:r>
          </w:p>
        </w:tc>
      </w:tr>
      <w:tr>
        <w:tc>
          <w:tcPr>
            <w:tcW w:type="dxa" w:w="5040"/>
          </w:tcPr>
          <w:p>
            <w:r>
              <w:t>0:20–0:50</w:t>
            </w:r>
          </w:p>
        </w:tc>
        <w:tc>
          <w:tcPr>
            <w:tcW w:type="dxa" w:w="5040"/>
          </w:tcPr>
          <w:p>
            <w:r>
              <w:t>Show mandatory criteria, evidence, missing evidence and contradiction.</w:t>
            </w:r>
          </w:p>
        </w:tc>
      </w:tr>
      <w:tr>
        <w:tc>
          <w:tcPr>
            <w:tcW w:type="dxa" w:w="5040"/>
          </w:tcPr>
          <w:p>
            <w:r>
              <w:t>0:50–1:20</w:t>
            </w:r>
          </w:p>
        </w:tc>
        <w:tc>
          <w:tcPr>
            <w:tcW w:type="dxa" w:w="5040"/>
          </w:tcPr>
          <w:p>
            <w:r>
              <w:t>Show comparable precedent, historical outcome and recommended appeal argument.</w:t>
            </w:r>
          </w:p>
        </w:tc>
      </w:tr>
      <w:tr>
        <w:tc>
          <w:tcPr>
            <w:tcW w:type="dxa" w:w="5040"/>
          </w:tcPr>
          <w:p>
            <w:r>
              <w:t>1:20–1:40</w:t>
            </w:r>
          </w:p>
        </w:tc>
        <w:tc>
          <w:tcPr>
            <w:tcW w:type="dxa" w:w="5040"/>
          </w:tcPr>
          <w:p>
            <w:r>
              <w:t>Critic challenges the recommendation and raises a block/concern where appropriate.</w:t>
            </w:r>
          </w:p>
        </w:tc>
      </w:tr>
      <w:tr>
        <w:tc>
          <w:tcPr>
            <w:tcW w:type="dxa" w:w="5040"/>
          </w:tcPr>
          <w:p>
            <w:r>
              <w:t>1:40–2:00</w:t>
            </w:r>
          </w:p>
        </w:tc>
        <w:tc>
          <w:tcPr>
            <w:tcW w:type="dxa" w:w="5040"/>
          </w:tcPr>
          <w:p>
            <w:r>
              <w:t>Deterministic Gate selects Human Review / Strengthen / Ready-to-Submit / Abstain.</w:t>
            </w:r>
          </w:p>
        </w:tc>
      </w:tr>
      <w:tr>
        <w:tc>
          <w:tcPr>
            <w:tcW w:type="dxa" w:w="5040"/>
          </w:tcPr>
          <w:p>
            <w:r>
              <w:t>2:00–2:20</w:t>
            </w:r>
          </w:p>
        </w:tc>
        <w:tc>
          <w:tcPr>
            <w:tcW w:type="dxa" w:w="5040"/>
          </w:tcPr>
          <w:p>
            <w:r>
              <w:t>Reviewer opens the evidence and provenance.</w:t>
            </w:r>
          </w:p>
        </w:tc>
      </w:tr>
      <w:tr>
        <w:tc>
          <w:tcPr>
            <w:tcW w:type="dxa" w:w="5040"/>
          </w:tcPr>
          <w:p>
            <w:r>
              <w:t>2:20–2:40</w:t>
            </w:r>
          </w:p>
        </w:tc>
        <w:tc>
          <w:tcPr>
            <w:tcW w:type="dxa" w:w="5040"/>
          </w:tcPr>
          <w:p>
            <w:r>
              <w:t>Reviewer approves the outbound action.</w:t>
            </w:r>
          </w:p>
        </w:tc>
      </w:tr>
      <w:tr>
        <w:tc>
          <w:tcPr>
            <w:tcW w:type="dxa" w:w="5040"/>
          </w:tcPr>
          <w:p>
            <w:r>
              <w:t>2:40–3:00</w:t>
            </w:r>
          </w:p>
        </w:tc>
        <w:tc>
          <w:tcPr>
            <w:tcW w:type="dxa" w:w="5040"/>
          </w:tcPr>
          <w:p>
            <w:r>
              <w:t>Submission Adapter executes; show the single trace and audit record.</w:t>
            </w:r>
          </w:p>
        </w:tc>
      </w:tr>
    </w:tbl>
    <w:p>
      <w:r>
        <w:t>Do not spend the core three minutes walking through Azure resources. The judge should see the reasoning, challenge, deterministic decision, human authority and trace.</w:t>
      </w:r>
    </w:p>
    <w:p>
      <w:pPr>
        <w:pStyle w:val="Heading1"/>
      </w:pPr>
      <w:r>
        <w:t>19. Final judge scoring</w:t>
      </w:r>
    </w:p>
    <w:tbl>
      <w:tblPr>
        <w:tblStyle w:val="TableGrid"/>
        <w:tblW w:type="auto" w:w="0"/>
        <w:tblLook w:firstColumn="1" w:firstRow="1" w:lastColumn="0" w:lastRow="0" w:noHBand="0" w:noVBand="1" w:val="04A0"/>
      </w:tblPr>
      <w:tblGrid>
        <w:gridCol w:w="5040"/>
        <w:gridCol w:w="5040"/>
      </w:tblGrid>
      <w:tr>
        <w:tc>
          <w:tcPr>
            <w:tcW w:type="dxa" w:w="5040"/>
          </w:tcPr>
          <w:p>
            <w:r>
              <w:t>Category</w:t>
            </w:r>
          </w:p>
        </w:tc>
        <w:tc>
          <w:tcPr>
            <w:tcW w:type="dxa" w:w="5040"/>
          </w:tcPr>
          <w:p>
            <w:r>
              <w:t>Score</w:t>
            </w:r>
          </w:p>
        </w:tc>
      </w:tr>
      <w:tr>
        <w:tc>
          <w:tcPr>
            <w:tcW w:type="dxa" w:w="5040"/>
          </w:tcPr>
          <w:p>
            <w:r>
              <w:t>Problem relevance</w:t>
            </w:r>
          </w:p>
        </w:tc>
        <w:tc>
          <w:tcPr>
            <w:tcW w:type="dxa" w:w="5040"/>
          </w:tcPr>
          <w:p>
            <w:r>
              <w:t>9.3</w:t>
            </w:r>
          </w:p>
        </w:tc>
      </w:tr>
      <w:tr>
        <w:tc>
          <w:tcPr>
            <w:tcW w:type="dxa" w:w="5040"/>
          </w:tcPr>
          <w:p>
            <w:r>
              <w:t>Business value</w:t>
            </w:r>
          </w:p>
        </w:tc>
        <w:tc>
          <w:tcPr>
            <w:tcW w:type="dxa" w:w="5040"/>
          </w:tcPr>
          <w:p>
            <w:r>
              <w:t>9.1</w:t>
            </w:r>
          </w:p>
        </w:tc>
      </w:tr>
      <w:tr>
        <w:tc>
          <w:tcPr>
            <w:tcW w:type="dxa" w:w="5040"/>
          </w:tcPr>
          <w:p>
            <w:r>
              <w:t>Architecture</w:t>
            </w:r>
          </w:p>
        </w:tc>
        <w:tc>
          <w:tcPr>
            <w:tcW w:type="dxa" w:w="5040"/>
          </w:tcPr>
          <w:p>
            <w:r>
              <w:t>9.5</w:t>
            </w:r>
          </w:p>
        </w:tc>
      </w:tr>
      <w:tr>
        <w:tc>
          <w:tcPr>
            <w:tcW w:type="dxa" w:w="5040"/>
          </w:tcPr>
          <w:p>
            <w:r>
              <w:t>Agent Framework usage</w:t>
            </w:r>
          </w:p>
        </w:tc>
        <w:tc>
          <w:tcPr>
            <w:tcW w:type="dxa" w:w="5040"/>
          </w:tcPr>
          <w:p>
            <w:r>
              <w:t>9.6</w:t>
            </w:r>
          </w:p>
        </w:tc>
      </w:tr>
      <w:tr>
        <w:tc>
          <w:tcPr>
            <w:tcW w:type="dxa" w:w="5040"/>
          </w:tcPr>
          <w:p>
            <w:r>
              <w:t>Foundry usage</w:t>
            </w:r>
          </w:p>
        </w:tc>
        <w:tc>
          <w:tcPr>
            <w:tcW w:type="dxa" w:w="5040"/>
          </w:tcPr>
          <w:p>
            <w:r>
              <w:t>9.3</w:t>
            </w:r>
          </w:p>
        </w:tc>
      </w:tr>
      <w:tr>
        <w:tc>
          <w:tcPr>
            <w:tcW w:type="dxa" w:w="5040"/>
          </w:tcPr>
          <w:p>
            <w:r>
              <w:t>Multi-agent design</w:t>
            </w:r>
          </w:p>
        </w:tc>
        <w:tc>
          <w:tcPr>
            <w:tcW w:type="dxa" w:w="5040"/>
          </w:tcPr>
          <w:p>
            <w:r>
              <w:t>9.5</w:t>
            </w:r>
          </w:p>
        </w:tc>
      </w:tr>
      <w:tr>
        <w:tc>
          <w:tcPr>
            <w:tcW w:type="dxa" w:w="5040"/>
          </w:tcPr>
          <w:p>
            <w:r>
              <w:t>Deterministic safety boundary</w:t>
            </w:r>
          </w:p>
        </w:tc>
        <w:tc>
          <w:tcPr>
            <w:tcW w:type="dxa" w:w="5040"/>
          </w:tcPr>
          <w:p>
            <w:r>
              <w:t>9.7</w:t>
            </w:r>
          </w:p>
        </w:tc>
      </w:tr>
      <w:tr>
        <w:tc>
          <w:tcPr>
            <w:tcW w:type="dxa" w:w="5040"/>
          </w:tcPr>
          <w:p>
            <w:r>
              <w:t>Human-in-the-loop</w:t>
            </w:r>
          </w:p>
        </w:tc>
        <w:tc>
          <w:tcPr>
            <w:tcW w:type="dxa" w:w="5040"/>
          </w:tcPr>
          <w:p>
            <w:r>
              <w:t>9.7</w:t>
            </w:r>
          </w:p>
        </w:tc>
      </w:tr>
      <w:tr>
        <w:tc>
          <w:tcPr>
            <w:tcW w:type="dxa" w:w="5040"/>
          </w:tcPr>
          <w:p>
            <w:r>
              <w:t>Security / identity</w:t>
            </w:r>
          </w:p>
        </w:tc>
        <w:tc>
          <w:tcPr>
            <w:tcW w:type="dxa" w:w="5040"/>
          </w:tcPr>
          <w:p>
            <w:r>
              <w:t>9.4</w:t>
            </w:r>
          </w:p>
        </w:tc>
      </w:tr>
      <w:tr>
        <w:tc>
          <w:tcPr>
            <w:tcW w:type="dxa" w:w="5040"/>
          </w:tcPr>
          <w:p>
            <w:r>
              <w:t>Observability</w:t>
            </w:r>
          </w:p>
        </w:tc>
        <w:tc>
          <w:tcPr>
            <w:tcW w:type="dxa" w:w="5040"/>
          </w:tcPr>
          <w:p>
            <w:r>
              <w:t>9.3</w:t>
            </w:r>
          </w:p>
        </w:tc>
      </w:tr>
      <w:tr>
        <w:tc>
          <w:tcPr>
            <w:tcW w:type="dxa" w:w="5040"/>
          </w:tcPr>
          <w:p>
            <w:r>
              <w:t>Evaluation</w:t>
            </w:r>
          </w:p>
        </w:tc>
        <w:tc>
          <w:tcPr>
            <w:tcW w:type="dxa" w:w="5040"/>
          </w:tcPr>
          <w:p>
            <w:r>
              <w:t>8.8</w:t>
            </w:r>
          </w:p>
        </w:tc>
      </w:tr>
      <w:tr>
        <w:tc>
          <w:tcPr>
            <w:tcW w:type="dxa" w:w="5040"/>
          </w:tcPr>
          <w:p>
            <w:r>
              <w:t>Innovation</w:t>
            </w:r>
          </w:p>
        </w:tc>
        <w:tc>
          <w:tcPr>
            <w:tcW w:type="dxa" w:w="5040"/>
          </w:tcPr>
          <w:p>
            <w:r>
              <w:t>9.2</w:t>
            </w:r>
          </w:p>
        </w:tc>
      </w:tr>
      <w:tr>
        <w:tc>
          <w:tcPr>
            <w:tcW w:type="dxa" w:w="5040"/>
          </w:tcPr>
          <w:p>
            <w:r>
              <w:t>UX / demo potential</w:t>
            </w:r>
          </w:p>
        </w:tc>
        <w:tc>
          <w:tcPr>
            <w:tcW w:type="dxa" w:w="5040"/>
          </w:tcPr>
          <w:p>
            <w:r>
              <w:t>9.0</w:t>
            </w:r>
          </w:p>
        </w:tc>
      </w:tr>
      <w:tr>
        <w:tc>
          <w:tcPr>
            <w:tcW w:type="dxa" w:w="5040"/>
          </w:tcPr>
          <w:p>
            <w:r>
              <w:t>Production credibility</w:t>
            </w:r>
          </w:p>
        </w:tc>
        <w:tc>
          <w:tcPr>
            <w:tcW w:type="dxa" w:w="5040"/>
          </w:tcPr>
          <w:p>
            <w:r>
              <w:t>9.0</w:t>
            </w:r>
          </w:p>
        </w:tc>
      </w:tr>
      <w:tr>
        <w:tc>
          <w:tcPr>
            <w:tcW w:type="dxa" w:w="5040"/>
          </w:tcPr>
          <w:p>
            <w:r>
              <w:t>Overall</w:t>
            </w:r>
          </w:p>
        </w:tc>
        <w:tc>
          <w:tcPr>
            <w:tcW w:type="dxa" w:w="5040"/>
          </w:tcPr>
          <w:p>
            <w:r>
              <w:t>9.2 / 10</w:t>
            </w:r>
          </w:p>
        </w:tc>
      </w:tr>
    </w:tbl>
    <w:p>
      <w:pPr>
        <w:pStyle w:val="Heading1"/>
      </w:pPr>
      <w:r>
        <w:t>20. Final recommendation</w:t>
      </w:r>
    </w:p>
    <w:p>
      <w:r>
        <w:rPr>
          <w:b/>
        </w:rPr>
        <w:t xml:space="preserve">Would I shortlist it? </w:t>
      </w:r>
      <w:r>
        <w:rPr>
          <w:b/>
        </w:rPr>
        <w:t>Yes. Definitely.</w:t>
      </w:r>
    </w:p>
    <w:p>
      <w:r>
        <w:rPr>
          <w:b/>
        </w:rPr>
        <w:t xml:space="preserve">Finalist conversation? </w:t>
      </w:r>
      <w:r>
        <w:rPr>
          <w:b/>
        </w:rPr>
        <w:t>Yes.</w:t>
      </w:r>
    </w:p>
    <w:p>
      <w:r>
        <w:rPr>
          <w:b/>
        </w:rPr>
        <w:t xml:space="preserve">Winner today? </w:t>
      </w:r>
      <w:r>
        <w:rPr>
          <w:b/>
        </w:rPr>
        <w:t>Not quite.</w:t>
      </w:r>
    </w:p>
    <w:p>
      <w:r>
        <w:rPr>
          <w:b/>
        </w:rPr>
        <w:t xml:space="preserve">Could it become a winning submission? </w:t>
      </w:r>
      <w:r>
        <w:rPr>
          <w:b/>
        </w:rPr>
        <w:t>Absolutely.</w:t>
      </w:r>
    </w:p>
    <w:p>
      <w:r>
        <w:t>The remaining gap is not another Azure service, another agent or another large section of documentation. It is proof. Specifically: prove that the five-agent architecture produces materially safer or better outcomes than one credible generalist agent.</w:t>
      </w:r>
    </w:p>
    <w:p>
      <w:r>
        <w:t>The architecture itself is now strong enough. From this point, effort should shift from architecture expansion to the baseline experiment, demo, evidence and presentation.</w:t>
      </w:r>
    </w:p>
    <w:p>
      <w:pPr>
        <w:pStyle w:val="Heading1"/>
      </w:pPr>
      <w:r>
        <w:t>Bottom line</w:t>
      </w:r>
    </w:p>
    <w:p>
      <w:r>
        <w:rPr>
          <w:b/>
        </w:rPr>
        <w:t>V3.1 has moved from “good architecture with an interesting idea” to “credible architect-level agentic system with evidence behind it.”</w:t>
      </w:r>
    </w:p>
    <w:p>
      <w:r>
        <w:t>The strongest differentiators are the adversarial Critic, deterministic Gate, explicit Abstain route, human approval before every outbound action, identity separation between reasoning and payer submission, evidence/precedent provenance, and the attempt to prove multi-agent safety against a simpler baseline.</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Care Approval IQ · V3.1 Re-Evaluation · Microsoft Agent-a-Thon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