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C7F76"/>
          <w:sz w:val="44"/>
        </w:rPr>
        <w:t>Care Approval IQ</w:t>
      </w:r>
      <w:r>
        <w:rPr>
          <w:b/>
          <w:color w:val="122A32"/>
          <w:sz w:val="24"/>
        </w:rPr>
        <w:t xml:space="preserve">   Technical Design Document · v2</w:t>
      </w:r>
    </w:p>
    <w:p>
      <w:pPr>
        <w:spacing w:after="40"/>
      </w:pPr>
      <w:r>
        <w:rPr>
          <w:b w:val="0"/>
          <w:i/>
          <w:color w:val="0C7F76"/>
          <w:sz w:val="22"/>
        </w:rPr>
        <w:t>Proof beats paperwork.</w:t>
      </w:r>
    </w:p>
    <w:p>
      <w:pPr>
        <w:spacing w:after="80"/>
      </w:pPr>
      <w:r>
        <w:rPr>
          <w:b w:val="0"/>
          <w:i w:val="0"/>
          <w:color w:val="44555C"/>
          <w:sz w:val="18"/>
        </w:rPr>
        <w:t>Zynara Health (fictional) · Deepak Kumar · Architect Track · Microsoft Agent-a-thon 2026 · built on the Microsoft Agent Framework</w:t>
      </w:r>
    </w:p>
    <w:p>
      <w:pPr>
        <w:pBdr>
          <w:bottom w:val="single" w:sz="6" w:color="0FA3A0"/>
        </w:pBdr>
      </w:pPr>
    </w:p>
    <w:p>
      <w:pPr>
        <w:spacing w:after="160"/>
      </w:pPr>
      <w:r>
        <w:rPr>
          <w:b w:val="0"/>
          <w:i w:val="0"/>
          <w:sz w:val="21"/>
        </w:rPr>
        <w:t>The whole system in one line: five reasoning agents build and challenge a prior-authorisation case, deterministic code decides, a human authorises, and one adapter talks to the payer — with the payer's own denial history telling us which appeals win.</w:t>
      </w:r>
    </w:p>
    <w:p>
      <w:pPr>
        <w:pStyle w:val="Heading1"/>
      </w:pPr>
      <w:r>
        <w:t>1 · The problem, in one number</w:t>
      </w:r>
    </w:p>
    <w:p>
      <w:pPr>
        <w:spacing w:after="120"/>
      </w:pPr>
      <w:r>
        <w:rPr>
          <w:b/>
          <w:i w:val="0"/>
          <w:sz w:val="22"/>
        </w:rPr>
        <w:t>62% of physicians don't appeal a denied prior-authorisation. They think they'll lose. They're wrong — 80.7% of appeals win.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6126480" cy="25700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appeals-g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57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spacing w:after="60"/>
      </w:pPr>
      <w:r>
        <w:rPr>
          <w:b w:val="0"/>
          <w:i w:val="0"/>
        </w:rPr>
        <w:t>Prior authorisation is the single largest automatable cost in US health admin — $687B/yr on administration against $346B on direct patient care.</w:t>
      </w:r>
    </w:p>
    <w:p>
      <w:pPr>
        <w:pStyle w:val="ListBullet"/>
        <w:spacing w:after="60"/>
      </w:pPr>
      <w:r>
        <w:rPr>
          <w:b w:val="0"/>
          <w:i w:val="0"/>
        </w:rPr>
        <w:t xml:space="preserve">Nobody reads the clinical chart against </w:t>
      </w:r>
      <w:r>
        <w:rPr>
          <w:b w:val="0"/>
          <w:i/>
        </w:rPr>
        <w:t>this specific payer's, this specific plan's</w:t>
      </w:r>
      <w:r>
        <w:rPr>
          <w:b w:val="0"/>
          <w:i w:val="0"/>
        </w:rPr>
        <w:t xml:space="preserve"> criteria before the request goes in.</w:t>
      </w:r>
    </w:p>
    <w:p>
      <w:pPr>
        <w:pStyle w:val="ListBullet"/>
        <w:spacing w:after="60"/>
      </w:pPr>
      <w:r>
        <w:rPr>
          <w:b w:val="0"/>
          <w:i w:val="0"/>
        </w:rPr>
        <w:t>Nobody checks the payer's own recorded outcomes to see whether the case wins on appeal.</w:t>
      </w:r>
    </w:p>
    <w:p>
      <w:pPr>
        <w:pStyle w:val="ListBullet"/>
        <w:spacing w:after="60"/>
      </w:pPr>
      <w:r>
        <w:rPr>
          <w:b w:val="0"/>
          <w:i w:val="0"/>
        </w:rPr>
        <w:t>So the clinician gives up, and the winnable-but-un-appealed cases stay as money the insurer keeps by default.</w:t>
      </w:r>
    </w:p>
    <w:p>
      <w:pPr>
        <w:pStyle w:val="Heading1"/>
      </w:pPr>
      <w:r>
        <w:t>2 · The solution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6126480" cy="23525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pipeline-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352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spacing w:after="60"/>
      </w:pPr>
      <w:r>
        <w:rPr>
          <w:b/>
          <w:i w:val="0"/>
        </w:rPr>
        <w:t xml:space="preserve">Build the submission — </w:t>
      </w:r>
      <w:r>
        <w:rPr>
          <w:b w:val="0"/>
          <w:i w:val="0"/>
        </w:rPr>
        <w:t>needs-auth, evidence-gap and claims-extraction map the free-text note onto the numbered criteria, per criterion, with the supporting quote.</w:t>
      </w:r>
    </w:p>
    <w:p>
      <w:pPr>
        <w:pStyle w:val="ListBullet"/>
        <w:spacing w:after="60"/>
      </w:pPr>
      <w:r>
        <w:rPr>
          <w:b/>
          <w:i w:val="0"/>
        </w:rPr>
        <w:t xml:space="preserve">Find the winning argument — </w:t>
      </w:r>
      <w:r>
        <w:rPr>
          <w:b w:val="0"/>
          <w:i w:val="0"/>
        </w:rPr>
        <w:t>precedent-strategist matches the fact pattern against recorded outcomes and drafts the appeal citing the exact clause and the comparable cases.</w:t>
      </w:r>
    </w:p>
    <w:p>
      <w:pPr>
        <w:pStyle w:val="ListBullet"/>
        <w:spacing w:after="60"/>
      </w:pPr>
      <w:r>
        <w:rPr>
          <w:b/>
          <w:i w:val="0"/>
        </w:rPr>
        <w:t xml:space="preserve">Challenge it — </w:t>
      </w:r>
      <w:r>
        <w:rPr>
          <w:b w:val="0"/>
          <w:i w:val="0"/>
        </w:rPr>
        <w:t>critic never builds; it only tries to disprove the recommendation — unsupported claims, non-comparable precedents, over-strong conclusions, hidden contradictions — before a human ever sees it.</w:t>
      </w:r>
    </w:p>
    <w:p>
      <w:pPr>
        <w:pStyle w:val="ListBullet"/>
        <w:spacing w:after="60"/>
      </w:pPr>
      <w:r>
        <w:rPr>
          <w:b/>
          <w:i w:val="0"/>
        </w:rPr>
        <w:t xml:space="preserve">Decide, then authorise — </w:t>
      </w:r>
      <w:r>
        <w:rPr>
          <w:b w:val="0"/>
          <w:i w:val="0"/>
        </w:rPr>
        <w:t>a deterministic Gate (never an agent) routes to AutoSubmit / Strengthen / HumanReview / Abstain, each with its working; every outbound action is human-approved; the Submission Adapter is the only path to a payer.</w:t>
      </w:r>
    </w:p>
    <w:p>
      <w:pPr>
        <w:pStyle w:val="Heading1"/>
      </w:pPr>
      <w:r>
        <w:t>3 · Built on the four core skills</w:t>
      </w:r>
    </w:p>
    <w:p>
      <w:pPr>
        <w:spacing w:after="120"/>
      </w:pPr>
      <w:r>
        <w:rPr>
          <w:b w:val="0"/>
          <w:i w:val="0"/>
        </w:rPr>
        <w:t>The four skills the course is built around — Build, Monitor, Evaluate, Orchestrate — each maps to one challenge, and each is carried end to end into a system that runs live.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6126480" cy="256086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four-skil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560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 · The business value</w:t>
      </w:r>
    </w:p>
    <w:p>
      <w:pPr>
        <w:spacing w:after="120"/>
      </w:pPr>
      <w:r>
        <w:rPr>
          <w:b w:val="0"/>
          <w:i w:val="0"/>
        </w:rPr>
        <w:t>Impact as a number the payer can check — not a marketing figure.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6126480" cy="218715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recoverable-valu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187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b/>
          <w:i w:val="0"/>
        </w:rPr>
        <w:t xml:space="preserve">Estimated Recoverable Value </w:t>
      </w:r>
      <w:r>
        <w:rPr>
          <w:b w:val="0"/>
          <w:i w:val="0"/>
        </w:rPr>
        <w:t>is built (RecoveryEstimator + GET /api/recovery + its own dashboard tab): the headline number, the four inputs, the arithmetic spelled out, and a confidence level set by the sample size. No invented improvement percentage.</w:t>
      </w:r>
    </w:p>
    <w:p>
      <w:pPr>
        <w:pStyle w:val="Heading1"/>
      </w:pPr>
      <w:r>
        <w:t>5 · Architecture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6309360" cy="34555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e-Approval-IQ-Architecture_DesignV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4555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i/>
          <w:color w:val="44555C"/>
          <w:sz w:val="16"/>
        </w:rPr>
        <w:t>Care-Approval-IQ-Architecture_DesignV2.svg is the authoritative source.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432"/>
            <w:shd w:val="clear" w:fill="E3EBFC"/>
          </w:tcPr>
          <w:p>
            <w:r/>
            <w:r>
              <w:rPr>
                <w:b/>
                <w:color w:val="122A32"/>
                <w:sz w:val="17"/>
              </w:rPr>
              <w:t>#</w:t>
            </w:r>
          </w:p>
        </w:tc>
        <w:tc>
          <w:tcPr>
            <w:tcW w:type="dxa" w:w="2736"/>
            <w:shd w:val="clear" w:fill="E3EBFC"/>
          </w:tcPr>
          <w:p>
            <w:r/>
            <w:r>
              <w:rPr>
                <w:b/>
                <w:color w:val="122A32"/>
                <w:sz w:val="17"/>
              </w:rPr>
              <w:t>Layer</w:t>
            </w:r>
          </w:p>
        </w:tc>
        <w:tc>
          <w:tcPr>
            <w:tcW w:type="dxa" w:w="6480"/>
            <w:shd w:val="clear" w:fill="E3EBFC"/>
          </w:tcPr>
          <w:p>
            <w:r/>
            <w:r>
              <w:rPr>
                <w:b/>
                <w:color w:val="122A32"/>
                <w:sz w:val="17"/>
              </w:rPr>
              <w:t>Components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b/>
                <w:sz w:val="17"/>
              </w:rPr>
              <w:t>Intake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POST /api/cases on the API Proxy → starts a workflow run (runId = request id).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b/>
                <w:sz w:val="17"/>
              </w:rPr>
              <w:t>Compute · Orchestration</w:t>
            </w:r>
            <w:r>
              <w:rPr>
                <w:b w:val="0"/>
                <w:sz w:val="17"/>
              </w:rPr>
              <w:t xml:space="preserve"> — Microsoft Agent Framework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CareApprovalWorkflow, a typed executor graph hosted on Zynara.WorkflowHost (Azure Functions + ConfigureDurableWorkflows). Executors run as Durable Task activities — checkpointed, retried, replay-safe. The orchestrator owns the Gate; human review is a MAF RequestPort.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b/>
                <w:sz w:val="17"/>
              </w:rPr>
              <w:t>AI Foundry · Agent Service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needs-auth · evidence-gap · claims-extraction · precedent-strategist · critic — bound as MAF AIAgents to the existing server-side Foundry agents (bind-to-existing, never re-create).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b/>
                <w:sz w:val="17"/>
              </w:rPr>
              <w:t>Data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Submission Adapter (Azure Function · the only outbound path) → Azure Cosmos DB serverless (cases · submissions · auths · denials · agentCalls, + precedents / policies metadata) → Azure Blob Storage (policy docs · denial PDFs · precedent narratives) → Foundry File Search (one vector index).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b/>
                <w:sz w:val="17"/>
              </w:rPr>
              <w:t>Experience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Reviewer (human) → Dashboard (Static Web App + linked backend): review queue · approve/reject (routed to the workflow RequestPort) · recovery &amp; cost, with a UK ⇄ US header control → API Proxy (read models + relays /run + /respond/{runId}).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b/>
          <w:i w:val="0"/>
        </w:rPr>
        <w:t xml:space="preserve">Cross-cutting: </w:t>
      </w:r>
      <w:r>
        <w:rPr>
          <w:b w:val="0"/>
          <w:i w:val="0"/>
        </w:rPr>
        <w:t>managed identity everywhere (the reasoning identity holds no payer secret; the submission identity has no model access); Key Vault for the payer credential and the two unavoidable strings; App Insights via OpenTelemetry; the Zynara.Eval CI gate. Production hardening — private networking, an AI-governance enforcement layer, a CI/CD deploy pipeline, HA/DR, PHI handling — is named in §7, not built.</w:t>
      </w:r>
    </w:p>
    <w:p>
      <w:pPr>
        <w:pStyle w:val="Heading1"/>
      </w:pPr>
      <w:r>
        <w:t>6 · Verified live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fill="F1F7F6"/>
          </w:tcPr>
          <w:p>
            <w:r/>
            <w:r>
              <w:rPr>
                <w:b/>
                <w:color w:val="0C7F76"/>
                <w:sz w:val="20"/>
              </w:rPr>
              <w:t>Deployed to zynara-spike-rg and run end to end against real GPT-5.4: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 xml:space="preserve">• </w:t>
            </w:r>
            <w:r>
              <w:rPr>
                <w:b/>
                <w:sz w:val="19"/>
              </w:rPr>
              <w:t xml:space="preserve">Auto-submit path — </w:t>
            </w:r>
            <w:r>
              <w:rPr>
                <w:b w:val="0"/>
                <w:sz w:val="19"/>
              </w:rPr>
              <w:t>Gate → AutoSubmit → the system records a decision and submits; no human pause.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 xml:space="preserve">• </w:t>
            </w:r>
            <w:r>
              <w:rPr>
                <w:b/>
                <w:sz w:val="19"/>
              </w:rPr>
              <w:t xml:space="preserve">Human-review path — </w:t>
            </w:r>
            <w:r>
              <w:rPr>
                <w:b w:val="0"/>
                <w:sz w:val="19"/>
              </w:rPr>
              <w:t>Gate → HumanReview → the workflow pauses on the review RequestPort → a reviewer approves → the workflow resumes, the authority check passes, the case is submitted.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 xml:space="preserve">• </w:t>
            </w:r>
            <w:r>
              <w:rPr>
                <w:b/>
                <w:sz w:val="19"/>
              </w:rPr>
              <w:t xml:space="preserve">No CustomStatus error </w:t>
            </w:r>
            <w:r>
              <w:rPr>
                <w:b w:val="0"/>
                <w:sz w:val="19"/>
              </w:rPr>
              <w:t>with real agents (the coarse-graph design keeps the workflow snapshot under Durable Task's 16 KB cap).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 xml:space="preserve">• </w:t>
            </w:r>
            <w:r>
              <w:rPr>
                <w:b/>
                <w:sz w:val="19"/>
              </w:rPr>
              <w:t xml:space="preserve">App Insights </w:t>
            </w:r>
            <w:r>
              <w:rPr>
                <w:b w:val="0"/>
                <w:sz w:val="19"/>
              </w:rPr>
              <w:t>shows the full pipeline.run → spoke.* → invoke_agent * → chat gpt-5.4 → submission.send trace tree from the workflow host.</w:t>
            </w:r>
          </w:p>
        </w:tc>
      </w:tr>
    </w:tbl>
    <w:p>
      <w:pPr>
        <w:spacing w:after="40"/>
      </w:pPr>
    </w:p>
    <w:p>
      <w:pPr>
        <w:pStyle w:val="Heading1"/>
      </w:pPr>
      <w:r>
        <w:t>7 · Technology decisions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576"/>
            <w:shd w:val="clear" w:fill="E3EBFC"/>
          </w:tcPr>
          <w:p>
            <w:r/>
            <w:r>
              <w:rPr>
                <w:b/>
                <w:color w:val="122A32"/>
                <w:sz w:val="17"/>
              </w:rPr>
              <w:t>#</w:t>
            </w:r>
          </w:p>
        </w:tc>
        <w:tc>
          <w:tcPr>
            <w:tcW w:type="dxa" w:w="3312"/>
            <w:shd w:val="clear" w:fill="E3EBFC"/>
          </w:tcPr>
          <w:p>
            <w:r/>
            <w:r>
              <w:rPr>
                <w:b/>
                <w:color w:val="122A32"/>
                <w:sz w:val="17"/>
              </w:rPr>
              <w:t>Decision</w:t>
            </w:r>
          </w:p>
        </w:tc>
        <w:tc>
          <w:tcPr>
            <w:tcW w:type="dxa" w:w="5760"/>
            <w:shd w:val="clear" w:fill="E3EBFC"/>
          </w:tcPr>
          <w:p>
            <w:r/>
            <w:r>
              <w:rPr>
                <w:b/>
                <w:color w:val="122A32"/>
                <w:sz w:val="17"/>
              </w:rPr>
              <w:t>Why (one line)</w:t>
            </w:r>
          </w:p>
        </w:tc>
      </w:tr>
      <w:tr>
        <w:tc>
          <w:tcPr>
            <w:tcW w:type="dxa" w:w="576"/>
          </w:tcPr>
          <w:p>
            <w:pPr>
              <w:spacing w:after="40"/>
            </w:pPr>
            <w:r/>
            <w:r>
              <w:rPr>
                <w:b/>
                <w:sz w:val="17"/>
              </w:rPr>
              <w:t>TD-1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Orchestration is a Microsoft Agent Framework workflow graph, not agent-to-agent chaining</w:t>
            </w:r>
          </w:p>
        </w:tc>
        <w:tc>
          <w:tcPr>
            <w:tcW w:type="dxa" w:w="5760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The Gate, the pipeline order and the audit trail must be deterministic and inspectable; the framework gives the typed graph, the HITL port and durable replay as primitives — less bespoke code than a hand-rolled Durable Functions hub for the same properties.</w:t>
            </w:r>
          </w:p>
        </w:tc>
      </w:tr>
      <w:tr>
        <w:tc>
          <w:tcPr>
            <w:tcW w:type="dxa" w:w="576"/>
          </w:tcPr>
          <w:p>
            <w:pPr>
              <w:spacing w:after="40"/>
            </w:pPr>
            <w:r/>
            <w:r>
              <w:rPr>
                <w:b/>
                <w:sz w:val="17"/>
              </w:rPr>
              <w:t>TD-2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Pipeline steps are MAF executors with a deterministic wrapper, each with a stub twin</w:t>
            </w:r>
          </w:p>
        </w:tc>
        <w:tc>
          <w:tcPr>
            <w:tcW w:type="dxa" w:w="5760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Per-step retry isolation; the prose→typed-value boundary is a named unit; zero-inference CI runs; replay-safe resume.</w:t>
            </w:r>
          </w:p>
        </w:tc>
      </w:tr>
      <w:tr>
        <w:tc>
          <w:tcPr>
            <w:tcW w:type="dxa" w:w="576"/>
          </w:tcPr>
          <w:p>
            <w:pPr>
              <w:spacing w:after="40"/>
            </w:pPr>
            <w:r/>
            <w:r>
              <w:rPr>
                <w:b/>
                <w:sz w:val="17"/>
              </w:rPr>
              <w:t>TD-3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No request queue — the workflow's HTTP /run is the async boundary</w:t>
            </w:r>
          </w:p>
        </w:tc>
        <w:tc>
          <w:tcPr>
            <w:tcW w:type="dxa" w:w="5760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Low volume, no burst; /run returns 202 and the workflow runs on Durable Task's own control queues.</w:t>
            </w:r>
          </w:p>
        </w:tc>
      </w:tr>
      <w:tr>
        <w:tc>
          <w:tcPr>
            <w:tcW w:type="dxa" w:w="576"/>
          </w:tcPr>
          <w:p>
            <w:pPr>
              <w:spacing w:after="40"/>
            </w:pPr>
            <w:r/>
            <w:r>
              <w:rPr>
                <w:b/>
                <w:sz w:val="17"/>
              </w:rPr>
              <w:t>TD-4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Operational store is Azure Cosmos DB serverless, not Azure SQL</w:t>
            </w:r>
          </w:p>
        </w:tc>
        <w:tc>
          <w:tcPr>
            <w:tcW w:type="dxa" w:w="5760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A case is a nested aggregate that maps to one JSON document; partition by /requestId; serverless billing fits spiky demo volume; no migrations.</w:t>
            </w:r>
          </w:p>
        </w:tc>
      </w:tr>
      <w:tr>
        <w:tc>
          <w:tcPr>
            <w:tcW w:type="dxa" w:w="576"/>
          </w:tcPr>
          <w:p>
            <w:pPr>
              <w:spacing w:after="40"/>
            </w:pPr>
            <w:r/>
            <w:r>
              <w:rPr>
                <w:b/>
                <w:sz w:val="17"/>
              </w:rPr>
              <w:t>TD-5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Corpus is Blob Storage + Foundry File Search (one vector index), separate from Cosmos</w:t>
            </w:r>
          </w:p>
        </w:tc>
        <w:tc>
          <w:tcPr>
            <w:tcW w:type="dxa" w:w="5760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Retrieval over policy / precedent text is semantic, not a query; File Search owns the index natively; Cosmos keeps only the structured metadata.</w:t>
            </w:r>
          </w:p>
        </w:tc>
      </w:tr>
      <w:tr>
        <w:tc>
          <w:tcPr>
            <w:tcW w:type="dxa" w:w="576"/>
          </w:tcPr>
          <w:p>
            <w:pPr>
              <w:spacing w:after="40"/>
            </w:pPr>
            <w:r/>
            <w:r>
              <w:rPr>
                <w:b/>
                <w:sz w:val="17"/>
              </w:rPr>
              <w:t>TD-6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Foundry Agent Service (persistent hosted agents) bound as MAF AIAgents</w:t>
            </w:r>
          </w:p>
        </w:tc>
        <w:tc>
          <w:tcPr>
            <w:tcW w:type="dxa" w:w="5760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Versioned, portal-visible assets with File Search + tracing wired; AsAIAgent binds to the existing agent; each stays behind a Zynara.Core interface.</w:t>
            </w:r>
          </w:p>
        </w:tc>
      </w:tr>
      <w:tr>
        <w:tc>
          <w:tcPr>
            <w:tcW w:type="dxa" w:w="576"/>
          </w:tcPr>
          <w:p>
            <w:pPr>
              <w:spacing w:after="40"/>
            </w:pPr>
            <w:r/>
            <w:r>
              <w:rPr>
                <w:b/>
                <w:sz w:val="17"/>
              </w:rPr>
              <w:t>TD-7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C# / .NET 8 · azd + Bicep · one resource group · managed-identity-first · W3C trace context</w:t>
            </w:r>
          </w:p>
        </w:tc>
        <w:tc>
          <w:tcPr>
            <w:tcW w:type="dxa" w:w="5760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First-class Agent Framework SDK; static types make the prose→contract boundary a compile-time guarantee; one azd up provisions and deploys; one trace per request feeds the audit trail and the cost meter.</w:t>
            </w:r>
          </w:p>
        </w:tc>
      </w:tr>
    </w:tbl>
    <w:p>
      <w:pPr>
        <w:spacing w:after="40"/>
      </w:pPr>
    </w:p>
    <w:p>
      <w:pPr>
        <w:pStyle w:val="Heading1"/>
      </w:pPr>
      <w:r>
        <w:t>8 · Scope &amp; roadmap</w:t>
      </w:r>
    </w:p>
    <w:p>
      <w:pPr>
        <w:spacing w:after="100"/>
      </w:pPr>
      <w:r>
        <w:rPr>
          <w:b/>
          <w:i w:val="0"/>
        </w:rPr>
        <w:t xml:space="preserve">Deliberately not built (production hardening, named so the gap is understood): </w:t>
      </w:r>
      <w:r>
        <w:rPr>
          <w:b w:val="0"/>
          <w:i w:val="0"/>
        </w:rPr>
        <w:t>network isolation with a subnet boundary between the reasoning plane and the payer plane; an AI-governance enforcement layer (per-agent quota, rate limits, spend caps); a CI/CD deploy pipeline with a staging slot; model/prompt versioning linked to outcomes; live quality monitoring on de-identified traffic; HA/DR; secret rotation; a full PHI-handling design (the demo carries none by design).</w:t>
      </w:r>
    </w:p>
    <w:p>
      <w:pPr>
        <w:spacing w:after="100"/>
      </w:pPr>
      <w:r>
        <w:rPr>
          <w:b/>
          <w:i w:val="0"/>
        </w:rPr>
        <w:t xml:space="preserve">Roadmap: </w:t>
      </w:r>
      <w:r>
        <w:rPr>
          <w:b w:val="0"/>
          <w:i w:val="0"/>
        </w:rPr>
        <w:t>real payer connectivity (FHIR Prior Authorization / Provider Access APIs, X12 278 clearinghouse, portal RPA — CMS-0057-F, Jan 2027); FHIR bundle intake; an eligibility / active-coverage check; the Early Warnings monitors (expiry-date math, policy-version diff — interfaces and stubs exist, feature unwired); peer-to-peer prep; learning from reviewer edits.</w:t>
      </w:r>
    </w:p>
    <w:p>
      <w:pPr>
        <w:pBdr>
          <w:bottom w:val="single" w:sz="6" w:color="0FA3A0"/>
        </w:pBdr>
      </w:pPr>
    </w:p>
    <w:p>
      <w:pPr>
        <w:spacing w:after="100"/>
        <w:jc w:val="center"/>
      </w:pPr>
      <w:r>
        <w:rPr>
          <w:b w:val="0"/>
          <w:i w:val="0"/>
          <w:color w:val="44555C"/>
          <w:sz w:val="16"/>
        </w:rPr>
        <w:t>Zynara Health (fictional) · Care Approval IQ · Microsoft Agent Framework · Architect Track Submission · Deepak Kumar</w:t>
      </w:r>
    </w:p>
    <w:sectPr w:rsidR="00FC693F" w:rsidRPr="0006063C" w:rsidSect="00034616"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Calibri" w:hAnsi="Calibri"/>
      <w:color w:val="122A3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1D4ED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122A32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