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0" w:after="0"/>
        <w:jc w:val="center"/>
      </w:pPr>
      <w:r>
        <w:drawing>
          <wp:inline xmlns:a="http://schemas.openxmlformats.org/drawingml/2006/main" xmlns:pic="http://schemas.openxmlformats.org/drawingml/2006/picture">
            <wp:extent cx="4846320" cy="1912277"/>
            <wp:docPr id="1" name="Picture 1"/>
            <wp:cNvGraphicFramePr>
              <a:graphicFrameLocks noChangeAspect="1"/>
            </wp:cNvGraphicFramePr>
            <a:graphic>
              <a:graphicData uri="http://schemas.openxmlformats.org/drawingml/2006/picture">
                <pic:pic>
                  <pic:nvPicPr>
                    <pic:cNvPr id="0" name="cover-logo.png"/>
                    <pic:cNvPicPr/>
                  </pic:nvPicPr>
                  <pic:blipFill>
                    <a:blip r:embed="rId11"/>
                    <a:stretch>
                      <a:fillRect/>
                    </a:stretch>
                  </pic:blipFill>
                  <pic:spPr>
                    <a:xfrm>
                      <a:off x="0" y="0"/>
                      <a:ext cx="4846320" cy="1912277"/>
                    </a:xfrm>
                    <a:prstGeom prst="rect"/>
                  </pic:spPr>
                </pic:pic>
              </a:graphicData>
            </a:graphic>
          </wp:inline>
        </w:drawing>
      </w:r>
    </w:p>
    <w:p>
      <w:pPr>
        <w:spacing w:after="1400"/>
      </w:pPr>
    </w:p>
    <w:p>
      <w:pPr>
        <w:spacing w:after="120"/>
        <w:jc w:val="center"/>
      </w:pPr>
      <w:r>
        <w:rPr>
          <w:rFonts w:ascii="Calibri" w:hAnsi="Calibri"/>
          <w:b/>
          <w:color w:val="1D4ED8"/>
          <w:sz w:val="52"/>
        </w:rPr>
        <w:t>TECHNICAL DESIGN DOCUMENT</w:t>
      </w:r>
    </w:p>
    <w:p>
      <w:pPr>
        <w:spacing w:after="360"/>
        <w:jc w:val="center"/>
      </w:pPr>
      <w:r>
        <w:rPr>
          <w:b/>
          <w:i w:val="0"/>
          <w:color w:val="44555C"/>
          <w:sz w:val="26"/>
        </w:rPr>
        <w:t>Version 4</w:t>
      </w:r>
    </w:p>
    <w:p>
      <w:pPr>
        <w:spacing w:after="60"/>
        <w:jc w:val="center"/>
      </w:pPr>
      <w:r>
        <w:rPr>
          <w:b w:val="0"/>
          <w:i w:val="0"/>
          <w:color w:val="122A32"/>
          <w:sz w:val="24"/>
        </w:rPr>
        <w:t>Microsoft Agent-a-thon 2026 · Architect Track Submission · Healthcare Prior Authorisation</w:t>
      </w:r>
    </w:p>
    <w:p>
      <w:pPr>
        <w:spacing w:after="480"/>
        <w:jc w:val="center"/>
      </w:pPr>
      <w:r>
        <w:rPr>
          <w:b w:val="0"/>
          <w:i w:val="0"/>
          <w:color w:val="122A32"/>
          <w:sz w:val="24"/>
        </w:rPr>
        <w:t>Deepak Kumar · Original Work</w:t>
      </w:r>
    </w:p>
    <w:p>
      <w:pPr>
        <w:spacing w:after="0"/>
        <w:jc w:val="center"/>
      </w:pPr>
      <w:r>
        <w:rPr>
          <w:b w:val="0"/>
          <w:i/>
          <w:color w:val="44555C"/>
          <w:sz w:val="20"/>
        </w:rPr>
        <w:t>Built on the Microsoft Agent Framework. Companion artefacts: the architecture SVG/PNG (authoritative diagram) and DECISIONS.md (delta log).</w:t>
      </w:r>
    </w:p>
    <w:p>
      <w:r>
        <w:br w:type="page"/>
      </w:r>
    </w:p>
    <w:p>
      <w:pPr>
        <w:pStyle w:val="Heading1"/>
      </w:pPr>
      <w:r>
        <w:t>1 · The problem</w:t>
      </w:r>
    </w:p>
    <w:p>
      <w:pPr>
        <w:spacing w:after="120"/>
      </w:pPr>
      <w:r>
        <w:rPr>
          <w:b w:val="0"/>
          <w:i w:val="0"/>
        </w:rPr>
        <w:t>A doctor wants to treat a patient — an MRI, a referral, physiotherapy, surgery. The insurer has to authorise it first, and they say no a lot. Two facts sit at the centre of this design:</w:t>
      </w:r>
    </w:p>
    <w:p>
      <w:pPr>
        <w:pStyle w:val="ListBullet"/>
        <w:spacing w:after="60"/>
      </w:pPr>
      <w:r>
        <w:rPr>
          <w:b/>
          <w:i w:val="0"/>
          <w:sz w:val="22"/>
        </w:rPr>
        <w:t xml:space="preserve">62% of doctors don't appeal a denial </w:t>
      </w:r>
      <w:r>
        <w:rPr>
          <w:b w:val="0"/>
          <w:i w:val="0"/>
          <w:sz w:val="22"/>
        </w:rPr>
        <w:t>— they believe they'll lose.</w:t>
      </w:r>
    </w:p>
    <w:p>
      <w:pPr>
        <w:pStyle w:val="ListBullet"/>
        <w:spacing w:after="60"/>
      </w:pPr>
      <w:r>
        <w:rPr>
          <w:b/>
          <w:i w:val="0"/>
          <w:sz w:val="22"/>
        </w:rPr>
        <w:t xml:space="preserve">80.7% of appeals actually win </w:t>
      </w:r>
      <w:r>
        <w:rPr>
          <w:b w:val="0"/>
          <w:i w:val="0"/>
          <w:sz w:val="22"/>
        </w:rPr>
        <w:t>(95% for skilled-nursing). The belief is wrong, and the payer's own denial history proves it.</w:t>
      </w:r>
    </w:p>
    <w:p>
      <w:pPr>
        <w:spacing w:after="80" w:before="80"/>
      </w:pPr>
      <w:r>
        <w:rPr>
          <w:b w:val="0"/>
          <w:i w:val="0"/>
        </w:rPr>
        <w:t>Everything else follows from that gap:</w:t>
      </w:r>
    </w:p>
    <w:p>
      <w:pPr>
        <w:pStyle w:val="ListBullet"/>
        <w:spacing w:after="60"/>
      </w:pPr>
      <w:r>
        <w:rPr>
          <w:b w:val="0"/>
          <w:i w:val="0"/>
          <w:sz w:val="22"/>
        </w:rPr>
        <w:t xml:space="preserve">Prior authorisation is the single largest automatable cost in US health admin — </w:t>
      </w:r>
      <w:r>
        <w:rPr>
          <w:b/>
          <w:i w:val="0"/>
          <w:sz w:val="22"/>
        </w:rPr>
        <w:t>$687B/yr on administration against $346B on direct patient care.</w:t>
      </w:r>
    </w:p>
    <w:p>
      <w:pPr>
        <w:pStyle w:val="ListBullet"/>
        <w:spacing w:after="60"/>
      </w:pPr>
      <w:r>
        <w:rPr>
          <w:b w:val="0"/>
          <w:i w:val="0"/>
          <w:sz w:val="22"/>
        </w:rPr>
        <w:t xml:space="preserve">Nobody reads the clinical chart against </w:t>
      </w:r>
      <w:r>
        <w:rPr>
          <w:b w:val="0"/>
          <w:i/>
          <w:sz w:val="22"/>
        </w:rPr>
        <w:t>this</w:t>
      </w:r>
      <w:r>
        <w:rPr>
          <w:b w:val="0"/>
          <w:i w:val="0"/>
          <w:sz w:val="22"/>
        </w:rPr>
        <w:t xml:space="preserve"> payer's, </w:t>
      </w:r>
      <w:r>
        <w:rPr>
          <w:b w:val="0"/>
          <w:i/>
          <w:sz w:val="22"/>
        </w:rPr>
        <w:t>this</w:t>
      </w:r>
      <w:r>
        <w:rPr>
          <w:b w:val="0"/>
          <w:i w:val="0"/>
          <w:sz w:val="22"/>
        </w:rPr>
        <w:t xml:space="preserve"> plan's criteria before the request goes in.</w:t>
      </w:r>
    </w:p>
    <w:p>
      <w:pPr>
        <w:pStyle w:val="ListBullet"/>
        <w:spacing w:after="60"/>
      </w:pPr>
      <w:r>
        <w:rPr>
          <w:b w:val="0"/>
          <w:i w:val="0"/>
          <w:sz w:val="22"/>
        </w:rPr>
        <w:t>Nobody checks whether the fact pattern has won on appeal before.</w:t>
      </w:r>
    </w:p>
    <w:p>
      <w:pPr>
        <w:pStyle w:val="ListBullet"/>
        <w:spacing w:after="60"/>
      </w:pPr>
      <w:r>
        <w:rPr>
          <w:b w:val="0"/>
          <w:i w:val="0"/>
          <w:sz w:val="22"/>
        </w:rPr>
        <w:t>So the clinician gives up — and the winnable, un-appealed cases stay as money the insurer keeps by default.</w:t>
      </w:r>
    </w:p>
    <w:p>
      <w:pPr>
        <w:spacing w:after="120" w:before="120"/>
      </w:pPr>
      <w:r>
        <w:rPr>
          <w:b w:val="0"/>
          <w:i w:val="0"/>
        </w:rPr>
        <w:t>Care Approval IQ closes that gap: it assembles a gap-checked submission, and when a denial lands it drafts an appeal from the arguments the payer's own history shows have succeeded in comparable cases — with a person signing off every outbound action.</w:t>
      </w:r>
    </w:p>
    <w:p>
      <w:pPr>
        <w:pStyle w:val="Heading1"/>
      </w:pPr>
      <w:r>
        <w:t>2 · Mission &amp; scope</w:t>
      </w:r>
    </w:p>
    <w:p>
      <w:pPr>
        <w:keepNext/>
        <w:spacing w:before="180" w:after="60"/>
      </w:pPr>
      <w:r>
        <w:rPr>
          <w:b/>
          <w:color w:val="6D28D9"/>
          <w:sz w:val="24"/>
        </w:rPr>
        <w:t>Request inputs</w:t>
      </w:r>
    </w:p>
    <w:p>
      <w:pPr>
        <w:pStyle w:val="ListBullet"/>
        <w:spacing w:after="60"/>
      </w:pPr>
      <w:r>
        <w:rPr>
          <w:b w:val="0"/>
          <w:i w:val="0"/>
          <w:sz w:val="22"/>
        </w:rPr>
        <w:t>Procedure requested · patient coverage reference · free-text clinical note · payer + plan · (post-decision) the denial letter.</w:t>
      </w:r>
    </w:p>
    <w:p>
      <w:pPr>
        <w:keepNext/>
        <w:spacing w:before="180" w:after="60"/>
      </w:pPr>
      <w:r>
        <w:rPr>
          <w:b/>
          <w:color w:val="6D28D9"/>
          <w:sz w:val="24"/>
        </w:rPr>
        <w:t>In scope — built and demonstrated</w:t>
      </w:r>
    </w:p>
    <w:p>
      <w:pPr>
        <w:pStyle w:val="ListBullet"/>
        <w:spacing w:after="60"/>
      </w:pPr>
      <w:r>
        <w:rPr>
          <w:b w:val="0"/>
          <w:i w:val="0"/>
          <w:sz w:val="22"/>
        </w:rPr>
        <w:t>End-to-end pipeline: request → needs-auth → evidence gap → claims extraction → precedent match → critic → deterministic Gate → human review → submit → (on denial) appeal draft → review</w:t>
      </w:r>
    </w:p>
    <w:p>
      <w:pPr>
        <w:pStyle w:val="ListBullet"/>
        <w:spacing w:after="60"/>
      </w:pPr>
      <w:r>
        <w:rPr>
          <w:b w:val="0"/>
          <w:i w:val="0"/>
          <w:sz w:val="22"/>
        </w:rPr>
        <w:t>A human approves every outbound action — submit and appeal both</w:t>
      </w:r>
    </w:p>
    <w:p>
      <w:pPr>
        <w:pStyle w:val="ListBullet"/>
        <w:spacing w:after="60"/>
      </w:pPr>
      <w:r>
        <w:rPr>
          <w:b w:val="0"/>
          <w:i w:val="0"/>
          <w:sz w:val="22"/>
        </w:rPr>
        <w:t>Payer-agnostic rules-as-data, with a visible UK ⇄ US switch that swaps criteria, terminology and the appeal-escalation path</w:t>
      </w:r>
    </w:p>
    <w:p>
      <w:pPr>
        <w:pStyle w:val="ListBullet"/>
        <w:spacing w:after="60"/>
      </w:pPr>
      <w:r>
        <w:rPr>
          <w:b w:val="0"/>
          <w:i w:val="0"/>
          <w:sz w:val="22"/>
        </w:rPr>
        <w:t>Grounding: every recommendation cites the policy clause and the precedent case ids that drove it</w:t>
      </w:r>
    </w:p>
    <w:p>
      <w:pPr>
        <w:pStyle w:val="ListBullet"/>
        <w:spacing w:after="60"/>
      </w:pPr>
      <w:r>
        <w:rPr>
          <w:b w:val="0"/>
          <w:i w:val="0"/>
          <w:sz w:val="22"/>
        </w:rPr>
        <w:t>Estimated Recoverable Value — the appeals gap as the payer's own number (not-appealed × comparable-win-rate × mean-claim-value)</w:t>
      </w:r>
    </w:p>
    <w:p>
      <w:pPr>
        <w:keepNext/>
        <w:spacing w:before="180" w:after="60"/>
      </w:pPr>
      <w:r>
        <w:rPr>
          <w:b/>
          <w:color w:val="6D28D9"/>
          <w:sz w:val="24"/>
        </w:rPr>
        <w:t>Out of scope — by design</w:t>
      </w:r>
    </w:p>
    <w:p>
      <w:pPr>
        <w:pStyle w:val="ListBullet"/>
        <w:spacing w:after="60"/>
      </w:pPr>
      <w:r>
        <w:rPr>
          <w:b w:val="0"/>
          <w:i w:val="0"/>
          <w:sz w:val="22"/>
        </w:rPr>
        <w:t>Real payer EHR / FHIR integration — synthetic + public-policy-excerpt data for the demo</w:t>
      </w:r>
    </w:p>
    <w:p>
      <w:pPr>
        <w:pStyle w:val="ListBullet"/>
        <w:spacing w:after="60"/>
      </w:pPr>
      <w:r>
        <w:rPr>
          <w:b w:val="0"/>
          <w:i w:val="0"/>
          <w:sz w:val="22"/>
        </w:rPr>
        <w:t>Real PHI — request ids and procedure codes only; nothing patient-identifying in logs or traces</w:t>
      </w:r>
    </w:p>
    <w:p>
      <w:pPr>
        <w:pStyle w:val="ListBullet"/>
        <w:spacing w:after="60"/>
      </w:pPr>
      <w:r>
        <w:rPr>
          <w:b w:val="0"/>
          <w:i w:val="0"/>
          <w:sz w:val="22"/>
        </w:rPr>
        <w:t>Automated submission without human sign-off — deliberately never built</w:t>
      </w:r>
    </w:p>
    <w:p>
      <w:pPr>
        <w:pStyle w:val="ListBullet"/>
        <w:spacing w:after="60"/>
      </w:pPr>
      <w:r>
        <w:rPr>
          <w:b w:val="0"/>
          <w:i w:val="0"/>
          <w:sz w:val="22"/>
        </w:rPr>
        <w:t>Clinical decision-making — this is decision support, never medical or coverage advice</w:t>
      </w:r>
    </w:p>
    <w:p>
      <w:pPr>
        <w:keepNext/>
        <w:spacing w:before="180" w:after="60"/>
      </w:pPr>
      <w:r>
        <w:rPr>
          <w:b/>
          <w:color w:val="6D28D9"/>
          <w:sz w:val="24"/>
        </w:rPr>
        <w:t>What the pipeline assumes is already done (upstream)</w:t>
      </w:r>
    </w:p>
    <w:p>
      <w:pPr>
        <w:pStyle w:val="ListBullet"/>
        <w:spacing w:after="60"/>
      </w:pPr>
      <w:r>
        <w:rPr>
          <w:b w:val="0"/>
          <w:i w:val="0"/>
          <w:sz w:val="22"/>
        </w:rPr>
        <w:t>Payer criteria already structured as a versioned Criterion(Id, Text, Mandatory) list; the clinical note and denial letter already plain text; precedent metadata already aggregated. The pipeline reads that extracted text against the structured criteria — it does not do OCR or policy-PDF ingestion.</w:t>
      </w:r>
    </w:p>
    <w:p>
      <w:pPr>
        <w:pStyle w:val="Heading1"/>
      </w:pPr>
      <w:r>
        <w:t>3 · Solution overview</w:t>
      </w:r>
    </w:p>
    <w:p>
      <w:pPr>
        <w:spacing w:after="80"/>
      </w:pPr>
      <w:r>
        <w:rPr>
          <w:b w:val="0"/>
          <w:i w:val="0"/>
        </w:rPr>
        <w:t>A small team of reasoning agents that build and challenge a case, deterministic code that decides, and a human who authorises. Built on:</w:t>
      </w:r>
    </w:p>
    <w:p>
      <w:pPr>
        <w:pStyle w:val="ListBullet"/>
        <w:spacing w:after="60"/>
      </w:pPr>
      <w:r>
        <w:rPr>
          <w:b/>
          <w:i w:val="0"/>
          <w:sz w:val="22"/>
        </w:rPr>
        <w:t xml:space="preserve">Microsoft Foundry Agent Service </w:t>
      </w:r>
      <w:r>
        <w:rPr>
          <w:b w:val="0"/>
          <w:i w:val="0"/>
          <w:sz w:val="22"/>
        </w:rPr>
        <w:t>— the five reasoning agents</w:t>
      </w:r>
    </w:p>
    <w:p>
      <w:pPr>
        <w:pStyle w:val="ListBullet"/>
        <w:spacing w:after="60"/>
      </w:pPr>
      <w:r>
        <w:rPr>
          <w:b/>
          <w:i w:val="0"/>
          <w:sz w:val="22"/>
        </w:rPr>
        <w:t xml:space="preserve">the Microsoft Agent Framework </w:t>
      </w:r>
      <w:r>
        <w:rPr>
          <w:b w:val="0"/>
          <w:i w:val="0"/>
          <w:sz w:val="22"/>
        </w:rPr>
        <w:t>— the orchestration layer: a typed workflow graph of executors, hosted on Azure Functions with Durable Task as the checkpoint / replay backend</w:t>
      </w:r>
    </w:p>
    <w:p>
      <w:pPr>
        <w:pStyle w:val="ListBullet"/>
        <w:spacing w:after="60"/>
      </w:pPr>
      <w:r>
        <w:rPr>
          <w:b/>
          <w:i w:val="0"/>
          <w:sz w:val="22"/>
        </w:rPr>
        <w:t xml:space="preserve">Azure Cosmos DB </w:t>
      </w:r>
      <w:r>
        <w:rPr>
          <w:b w:val="0"/>
          <w:i w:val="0"/>
          <w:sz w:val="22"/>
        </w:rPr>
        <w:t>(serverless) for operational state; the unstructured corpus in Azure Blob Storage, indexed by one Foundry File Search vector index</w:t>
      </w:r>
    </w:p>
    <w:p>
      <w:pPr>
        <w:pStyle w:val="ListBullet"/>
        <w:spacing w:after="60"/>
      </w:pPr>
      <w:r>
        <w:rPr>
          <w:b/>
          <w:i w:val="0"/>
          <w:sz w:val="22"/>
        </w:rPr>
        <w:t xml:space="preserve">a Static Web App </w:t>
      </w:r>
      <w:r>
        <w:rPr>
          <w:b w:val="0"/>
          <w:i w:val="0"/>
          <w:sz w:val="22"/>
        </w:rPr>
        <w:t>dashboard as the reviewer surface</w:t>
      </w:r>
    </w:p>
    <w:p>
      <w:pPr>
        <w:keepNext/>
        <w:spacing w:before="180" w:after="60"/>
      </w:pPr>
      <w:r>
        <w:rPr>
          <w:b/>
          <w:color w:val="6D28D9"/>
          <w:sz w:val="24"/>
        </w:rPr>
        <w:t>The idea in four moves</w:t>
      </w:r>
    </w:p>
    <w:p>
      <w:pPr>
        <w:pStyle w:val="ListBullet"/>
        <w:spacing w:after="60"/>
      </w:pPr>
      <w:r>
        <w:rPr>
          <w:b/>
          <w:i w:val="0"/>
          <w:sz w:val="22"/>
        </w:rPr>
        <w:t xml:space="preserve">Build — </w:t>
      </w:r>
      <w:r>
        <w:rPr>
          <w:b w:val="0"/>
          <w:i w:val="0"/>
          <w:sz w:val="22"/>
        </w:rPr>
        <w:t>needs-auth reads ambiguous plan language; evidence-gap maps the note to the written criteria; claims-extraction pulls the note's claims and flags a self-contradiction.</w:t>
      </w:r>
    </w:p>
    <w:p>
      <w:pPr>
        <w:pStyle w:val="ListBullet"/>
        <w:spacing w:after="60"/>
      </w:pPr>
      <w:r>
        <w:rPr>
          <w:b/>
          <w:i w:val="0"/>
          <w:sz w:val="22"/>
        </w:rPr>
        <w:t xml:space="preserve">Find the winning argument — </w:t>
      </w:r>
      <w:r>
        <w:rPr>
          <w:b w:val="0"/>
          <w:i w:val="0"/>
          <w:sz w:val="22"/>
        </w:rPr>
        <w:t>precedent-strategist matches the fact pattern against recorded outcomes and drafts the appeal citing the exact clause and comparable cases.</w:t>
      </w:r>
    </w:p>
    <w:p>
      <w:pPr>
        <w:pStyle w:val="ListBullet"/>
        <w:spacing w:after="60"/>
      </w:pPr>
      <w:r>
        <w:rPr>
          <w:b/>
          <w:i w:val="0"/>
          <w:sz w:val="22"/>
        </w:rPr>
        <w:t xml:space="preserve">Challenge — </w:t>
      </w:r>
      <w:r>
        <w:rPr>
          <w:b w:val="0"/>
          <w:i w:val="0"/>
          <w:sz w:val="22"/>
        </w:rPr>
        <w:t>critic never builds; it only tries to disprove the recommendation — unsupported claims, non-comparable precedents, over-strong conclusions, hidden contradictions — before a human sees it.</w:t>
      </w:r>
    </w:p>
    <w:p>
      <w:pPr>
        <w:pStyle w:val="ListBullet"/>
        <w:spacing w:after="60"/>
      </w:pPr>
      <w:r>
        <w:rPr>
          <w:b/>
          <w:i w:val="0"/>
          <w:sz w:val="22"/>
        </w:rPr>
        <w:t xml:space="preserve">Decide, then authorise — </w:t>
      </w:r>
      <w:r>
        <w:rPr>
          <w:b w:val="0"/>
          <w:i w:val="0"/>
          <w:sz w:val="22"/>
        </w:rPr>
        <w:t>a deterministic Gate (never an agent) sets the route; every case that needs a submission pauses for a person; the Submission Adapter is the only path to a payer.</w:t>
      </w:r>
    </w:p>
    <w:p>
      <w:pPr>
        <w:keepNext/>
        <w:spacing w:before="180" w:after="60"/>
      </w:pPr>
      <w:r>
        <w:rPr>
          <w:b/>
          <w:color w:val="6D28D9"/>
          <w:sz w:val="24"/>
        </w:rPr>
        <w:t>The hybrid principle</w:t>
      </w:r>
    </w:p>
    <w:p>
      <w:pPr>
        <w:pStyle w:val="ListBullet"/>
        <w:spacing w:after="60"/>
      </w:pPr>
      <w:r>
        <w:rPr>
          <w:b w:val="0"/>
          <w:i w:val="0"/>
          <w:sz w:val="22"/>
        </w:rPr>
        <w:t>Agents produce prose and judgement over unstructured text. Deterministic code owns every value that drives a decision or an action. The Gate is a plain executor, never an agent — preserved through the framework migration.</w:t>
      </w:r>
    </w:p>
    <w:p>
      <w:pPr>
        <w:keepNext/>
        <w:spacing w:before="180" w:after="60"/>
      </w:pPr>
      <w:r>
        <w:rPr>
          <w:b/>
          <w:color w:val="6D28D9"/>
          <w:sz w:val="24"/>
        </w:rPr>
        <w:t>Why an agent AND an executor per step</w:t>
      </w:r>
    </w:p>
    <w:p>
      <w:pPr>
        <w:pStyle w:val="ListBullet"/>
        <w:spacing w:after="60"/>
      </w:pPr>
      <w:r>
        <w:rPr>
          <w:b w:val="0"/>
          <w:i w:val="0"/>
          <w:sz w:val="22"/>
        </w:rPr>
        <w:t>The agent does the unstructured reasoning and returns a typed recommendation; the deterministic executor then validates it (catching an off-record criterion or precedent), normalises it, and commits it to the workflow contract the Gate reads. The agent proposes in prose; code decides what is true.</w:t>
      </w:r>
    </w:p>
    <w:p>
      <w:pPr>
        <w:keepNext/>
        <w:spacing w:before="180" w:after="60"/>
      </w:pPr>
      <w:r>
        <w:rPr>
          <w:b/>
          <w:color w:val="6D28D9"/>
          <w:sz w:val="24"/>
        </w:rPr>
        <w:t>Built on the four core skills</w:t>
      </w:r>
    </w:p>
    <w:p>
      <w:pPr>
        <w:pStyle w:val="ListBullet"/>
        <w:spacing w:after="60"/>
      </w:pPr>
      <w:r>
        <w:rPr>
          <w:b/>
          <w:i w:val="0"/>
          <w:sz w:val="22"/>
        </w:rPr>
        <w:t xml:space="preserve">Build (Challenge 1) — </w:t>
      </w:r>
      <w:r>
        <w:rPr>
          <w:b w:val="0"/>
          <w:i w:val="0"/>
          <w:sz w:val="22"/>
        </w:rPr>
        <w:t>five Foundry agents via the SDK, each behind a typed interface with a deterministic stub twin.</w:t>
      </w:r>
    </w:p>
    <w:p>
      <w:pPr>
        <w:pStyle w:val="ListBullet"/>
        <w:spacing w:after="60"/>
      </w:pPr>
      <w:r>
        <w:rPr>
          <w:b/>
          <w:i w:val="0"/>
          <w:sz w:val="22"/>
        </w:rPr>
        <w:t xml:space="preserve">Monitor (Challenge 2) — </w:t>
      </w:r>
      <w:r>
        <w:rPr>
          <w:b w:val="0"/>
          <w:i w:val="0"/>
          <w:sz w:val="22"/>
        </w:rPr>
        <w:t>one trace per request, per-agent spans, a per-agent £/$ meter — verified live from the deployed workflow host.</w:t>
      </w:r>
    </w:p>
    <w:p>
      <w:pPr>
        <w:pStyle w:val="ListBullet"/>
        <w:spacing w:after="60"/>
      </w:pPr>
      <w:r>
        <w:rPr>
          <w:b/>
          <w:i w:val="0"/>
          <w:sz w:val="22"/>
        </w:rPr>
        <w:t xml:space="preserve">Evaluate (Challenge 3) — </w:t>
      </w:r>
      <w:r>
        <w:rPr>
          <w:b w:val="0"/>
          <w:i w:val="0"/>
          <w:sz w:val="22"/>
        </w:rPr>
        <w:t>Foundry portal eval (100% Coherence / Fluency) plus a 20-case CI gate on safety metrics.</w:t>
      </w:r>
    </w:p>
    <w:p>
      <w:pPr>
        <w:pStyle w:val="ListBullet"/>
        <w:spacing w:after="60"/>
      </w:pPr>
      <w:r>
        <w:rPr>
          <w:b/>
          <w:i w:val="0"/>
          <w:sz w:val="22"/>
        </w:rPr>
        <w:t xml:space="preserve">Orchestrate (Challenge 4) — </w:t>
      </w:r>
      <w:r>
        <w:rPr>
          <w:b w:val="0"/>
          <w:i w:val="0"/>
          <w:sz w:val="22"/>
        </w:rPr>
        <w:t>a Microsoft Agent Framework workflow graph with a first-class human-in-the-loop RequestPort.</w:t>
      </w:r>
    </w:p>
    <w:p>
      <w:pPr>
        <w:pStyle w:val="Heading1"/>
      </w:pPr>
      <w:r>
        <w:t>4 · Technical architecture</w:t>
      </w:r>
    </w:p>
    <w:p>
      <w:pPr>
        <w:spacing w:before="80" w:after="160"/>
        <w:jc w:val="center"/>
      </w:pPr>
      <w:r>
        <w:drawing>
          <wp:inline xmlns:a="http://schemas.openxmlformats.org/drawingml/2006/main" xmlns:pic="http://schemas.openxmlformats.org/drawingml/2006/picture">
            <wp:extent cx="6355080" cy="3676169"/>
            <wp:docPr id="2" name="Picture 2"/>
            <wp:cNvGraphicFramePr>
              <a:graphicFrameLocks noChangeAspect="1"/>
            </wp:cNvGraphicFramePr>
            <a:graphic>
              <a:graphicData uri="http://schemas.openxmlformats.org/drawingml/2006/picture">
                <pic:pic>
                  <pic:nvPicPr>
                    <pic:cNvPr id="0" name="Care-Approval-IQ-Architecture_Design-V4.png"/>
                    <pic:cNvPicPr/>
                  </pic:nvPicPr>
                  <pic:blipFill>
                    <a:blip r:embed="rId12"/>
                    <a:stretch>
                      <a:fillRect/>
                    </a:stretch>
                  </pic:blipFill>
                  <pic:spPr>
                    <a:xfrm>
                      <a:off x="0" y="0"/>
                      <a:ext cx="6355080" cy="3676169"/>
                    </a:xfrm>
                    <a:prstGeom prst="rect"/>
                  </pic:spPr>
                </pic:pic>
              </a:graphicData>
            </a:graphic>
          </wp:inline>
        </w:drawing>
      </w:r>
    </w:p>
    <w:p>
      <w:pPr>
        <w:spacing w:after="80"/>
      </w:pPr>
      <w:r>
        <w:rPr>
          <w:b w:val="0"/>
          <w:i w:val="0"/>
        </w:rPr>
        <w:t>Five layers along the request path, plus three cross-cutting concerns.</w:t>
      </w:r>
    </w:p>
    <w:p>
      <w:pPr>
        <w:keepNext/>
        <w:spacing w:before="180" w:after="60"/>
      </w:pPr>
      <w:r>
        <w:rPr>
          <w:b/>
          <w:color w:val="6D28D9"/>
          <w:sz w:val="24"/>
        </w:rPr>
        <w:t>1 · Intake</w:t>
      </w:r>
    </w:p>
    <w:p>
      <w:pPr>
        <w:pStyle w:val="ListBullet"/>
        <w:spacing w:after="60"/>
      </w:pPr>
      <w:r>
        <w:rPr>
          <w:b w:val="0"/>
          <w:i w:val="0"/>
          <w:sz w:val="22"/>
        </w:rPr>
        <w:t>The request — procedure · plan · region · clinical note · prior denial letter.</w:t>
      </w:r>
    </w:p>
    <w:p>
      <w:pPr>
        <w:pStyle w:val="ListBullet"/>
        <w:spacing w:after="60"/>
      </w:pPr>
      <w:r>
        <w:rPr>
          <w:b w:val="0"/>
          <w:i w:val="0"/>
          <w:sz w:val="22"/>
        </w:rPr>
        <w:t>POST /api/cases on the API Proxy starts a workflow run, keyed on the request id.</w:t>
      </w:r>
    </w:p>
    <w:p>
      <w:pPr>
        <w:keepNext/>
        <w:spacing w:before="180" w:after="60"/>
      </w:pPr>
      <w:r>
        <w:rPr>
          <w:b/>
          <w:color w:val="6D28D9"/>
          <w:sz w:val="24"/>
        </w:rPr>
        <w:t>2 · Compute · Orchestration — Microsoft Agent Framework</w:t>
      </w:r>
    </w:p>
    <w:p>
      <w:pPr>
        <w:pStyle w:val="ListBullet"/>
        <w:spacing w:after="60"/>
      </w:pPr>
      <w:r>
        <w:rPr>
          <w:b w:val="0"/>
          <w:i w:val="0"/>
          <w:sz w:val="22"/>
        </w:rPr>
        <w:t>CareApprovalWorkflow — a typed graph of executors, hosted on Zynara.WorkflowHost (Azure Functions + ConfigureDurableWorkflows).</w:t>
      </w:r>
    </w:p>
    <w:p>
      <w:pPr>
        <w:pStyle w:val="ListBullet"/>
        <w:spacing w:after="60"/>
      </w:pPr>
      <w:r>
        <w:rPr>
          <w:b w:val="0"/>
          <w:i w:val="0"/>
          <w:sz w:val="22"/>
        </w:rPr>
        <w:t>Each executor runs as a Durable Task activity — checkpointed, retried, replay-safe.</w:t>
      </w:r>
    </w:p>
    <w:p>
      <w:pPr>
        <w:pStyle w:val="ListBullet"/>
        <w:spacing w:after="60"/>
      </w:pPr>
      <w:r>
        <w:rPr>
          <w:b w:val="0"/>
          <w:i w:val="0"/>
          <w:sz w:val="22"/>
        </w:rPr>
        <w:t>The orchestrator owns the deterministic Gate; every send pauses at a RequestPort until a human answers /respond.</w:t>
      </w:r>
    </w:p>
    <w:p>
      <w:pPr>
        <w:keepNext/>
        <w:spacing w:before="180" w:after="60"/>
      </w:pPr>
      <w:r>
        <w:rPr>
          <w:b/>
          <w:color w:val="6D28D9"/>
          <w:sz w:val="24"/>
        </w:rPr>
        <w:t>3 · AI Foundry · Agent Service</w:t>
      </w:r>
    </w:p>
    <w:p>
      <w:pPr>
        <w:pStyle w:val="ListBullet"/>
        <w:spacing w:after="60"/>
      </w:pPr>
      <w:r>
        <w:rPr>
          <w:b w:val="0"/>
          <w:i w:val="0"/>
          <w:sz w:val="22"/>
        </w:rPr>
        <w:t>Five reasoning agents — needs-auth · evidence-gap · claims-extraction · precedent-strategist · critic.</w:t>
      </w:r>
    </w:p>
    <w:p>
      <w:pPr>
        <w:pStyle w:val="ListBullet"/>
        <w:spacing w:after="60"/>
      </w:pPr>
      <w:r>
        <w:rPr>
          <w:b w:val="0"/>
          <w:i w:val="0"/>
          <w:sz w:val="22"/>
        </w:rPr>
        <w:t>Bound as MAF AIAgents to the existing server-side Foundry agents (bind-to-existing, never re-create); each also has a deterministic stub twin for CI.</w:t>
      </w:r>
    </w:p>
    <w:p>
      <w:pPr>
        <w:keepNext/>
        <w:spacing w:before="180" w:after="60"/>
      </w:pPr>
      <w:r>
        <w:rPr>
          <w:b/>
          <w:color w:val="6D28D9"/>
          <w:sz w:val="24"/>
        </w:rPr>
        <w:t>4 · Data</w:t>
      </w:r>
    </w:p>
    <w:p>
      <w:pPr>
        <w:pStyle w:val="ListBullet"/>
        <w:spacing w:after="60"/>
      </w:pPr>
      <w:r>
        <w:rPr>
          <w:b w:val="0"/>
          <w:i w:val="0"/>
          <w:sz w:val="22"/>
        </w:rPr>
        <w:t>Submission Adapter (Azure Function) — the only path to a payer (portal / X12 278 / FHIR / fax).</w:t>
      </w:r>
    </w:p>
    <w:p>
      <w:pPr>
        <w:pStyle w:val="ListBullet"/>
        <w:spacing w:after="60"/>
      </w:pPr>
      <w:r>
        <w:rPr>
          <w:b w:val="0"/>
          <w:i w:val="0"/>
          <w:sz w:val="22"/>
        </w:rPr>
        <w:t>Azure Cosmos DB serverless — cases · submissions · auths · denials · agentCalls, plus precedent / policy metadata.</w:t>
      </w:r>
    </w:p>
    <w:p>
      <w:pPr>
        <w:pStyle w:val="ListBullet"/>
        <w:spacing w:after="60"/>
      </w:pPr>
      <w:r>
        <w:rPr>
          <w:b w:val="0"/>
          <w:i w:val="0"/>
          <w:sz w:val="22"/>
        </w:rPr>
        <w:t>Azure Blob Storage — policy docs · denial PDFs · precedent narratives.</w:t>
      </w:r>
    </w:p>
    <w:p>
      <w:pPr>
        <w:pStyle w:val="ListBullet"/>
        <w:spacing w:after="60"/>
      </w:pPr>
      <w:r>
        <w:rPr>
          <w:b w:val="0"/>
          <w:i w:val="0"/>
          <w:sz w:val="22"/>
        </w:rPr>
        <w:t>Foundry File Search — one vector index over the Blob corpus that the agents query.</w:t>
      </w:r>
    </w:p>
    <w:p>
      <w:pPr>
        <w:keepNext/>
        <w:spacing w:before="180" w:after="60"/>
      </w:pPr>
      <w:r>
        <w:rPr>
          <w:b/>
          <w:color w:val="6D28D9"/>
          <w:sz w:val="24"/>
        </w:rPr>
        <w:t>5 · Experience</w:t>
      </w:r>
    </w:p>
    <w:p>
      <w:pPr>
        <w:pStyle w:val="ListBullet"/>
        <w:spacing w:after="60"/>
      </w:pPr>
      <w:r>
        <w:rPr>
          <w:b w:val="0"/>
          <w:i w:val="0"/>
          <w:sz w:val="22"/>
        </w:rPr>
        <w:t>Reviewer (human).</w:t>
      </w:r>
    </w:p>
    <w:p>
      <w:pPr>
        <w:pStyle w:val="ListBullet"/>
        <w:spacing w:after="60"/>
      </w:pPr>
      <w:r>
        <w:rPr>
          <w:b w:val="0"/>
          <w:i w:val="0"/>
          <w:sz w:val="22"/>
        </w:rPr>
        <w:t>Dashboard (Static Web App + linked backend) — review queue · approve / reject · recovery &amp; cost, with a UK ⇄ US header control.</w:t>
      </w:r>
    </w:p>
    <w:p>
      <w:pPr>
        <w:pStyle w:val="ListBullet"/>
        <w:spacing w:after="60"/>
      </w:pPr>
      <w:r>
        <w:rPr>
          <w:b w:val="0"/>
          <w:i w:val="0"/>
          <w:sz w:val="22"/>
        </w:rPr>
        <w:t>API Proxy (Azure Function) — serves read models and relays /run + /respond/{runId} to the workflow.</w:t>
      </w:r>
    </w:p>
    <w:p>
      <w:pPr>
        <w:keepNext/>
        <w:spacing w:before="180" w:after="60"/>
      </w:pPr>
      <w:r>
        <w:rPr>
          <w:b/>
          <w:color w:val="6D28D9"/>
          <w:sz w:val="24"/>
        </w:rPr>
        <w:t>Cross-cutting (every layer)</w:t>
      </w:r>
    </w:p>
    <w:p>
      <w:pPr>
        <w:pStyle w:val="ListBullet"/>
        <w:spacing w:after="60"/>
      </w:pPr>
      <w:r>
        <w:rPr>
          <w:b/>
          <w:i w:val="0"/>
          <w:sz w:val="22"/>
        </w:rPr>
        <w:t xml:space="preserve">Security &amp; Identity — </w:t>
      </w:r>
      <w:r>
        <w:rPr>
          <w:b w:val="0"/>
          <w:i w:val="0"/>
          <w:sz w:val="22"/>
        </w:rPr>
        <w:t>managed identity everywhere. The reasoning identity holds no payer secret; the submission identity has no model access. Key Vault holds the payer credential and the two unavoidable strings. No PHI anywhere.</w:t>
      </w:r>
    </w:p>
    <w:p>
      <w:pPr>
        <w:pStyle w:val="ListBullet"/>
        <w:spacing w:after="60"/>
      </w:pPr>
      <w:r>
        <w:rPr>
          <w:b/>
          <w:i w:val="0"/>
          <w:sz w:val="22"/>
        </w:rPr>
        <w:t xml:space="preserve">Observability — </w:t>
      </w:r>
      <w:r>
        <w:rPr>
          <w:b w:val="0"/>
          <w:i w:val="0"/>
          <w:sz w:val="22"/>
        </w:rPr>
        <w:t>one trace per request (pipeline.run → spoke.* → invoke_agent * → chat gpt-5.4 → submission.send), a per-agent £/$ cost meter, and the Zynara.Eval CI gate.</w:t>
      </w:r>
    </w:p>
    <w:p>
      <w:pPr>
        <w:pStyle w:val="ListBullet"/>
        <w:spacing w:after="60"/>
      </w:pPr>
      <w:r>
        <w:rPr>
          <w:b/>
          <w:i w:val="0"/>
          <w:sz w:val="22"/>
        </w:rPr>
        <w:t xml:space="preserve">Responsible AI — </w:t>
      </w:r>
      <w:r>
        <w:rPr>
          <w:b w:val="0"/>
          <w:i w:val="0"/>
          <w:sz w:val="22"/>
        </w:rPr>
        <w:t>every send is human-approved; deterministic code owns every decision value; every recommendation keeps its citations; an in-product disclaimer states decision support, not coverage or medical advice.</w:t>
      </w:r>
    </w:p>
    <w:p>
      <w:pPr>
        <w:pStyle w:val="Heading1"/>
      </w:pPr>
      <w:r>
        <w:t>5 · End-to-end flow</w:t>
      </w:r>
    </w:p>
    <w:p>
      <w:pPr>
        <w:spacing w:after="120"/>
      </w:pPr>
      <w:r>
        <w:rPr>
          <w:b w:val="0"/>
          <w:i/>
          <w:color w:val="44555C"/>
          <w:sz w:val="21"/>
        </w:rPr>
        <w:t>Submit → NeedsAuth → Gap → Claims → Precedent → Critic → Gate → Assemble → Pause for a reviewer → Send → (on denial) Appeal → Review</w:t>
      </w:r>
    </w:p>
    <w:p>
      <w:pPr>
        <w:pStyle w:val="ListNumber"/>
        <w:spacing w:after="60"/>
      </w:pPr>
      <w:r>
        <w:rPr>
          <w:b/>
          <w:i w:val="0"/>
          <w:sz w:val="22"/>
        </w:rPr>
        <w:t xml:space="preserve">Submit — </w:t>
      </w:r>
      <w:r>
        <w:rPr>
          <w:b w:val="0"/>
          <w:i w:val="0"/>
          <w:sz w:val="22"/>
        </w:rPr>
        <w:t>POST /api/cases starts a workflow run; the API Proxy polls the case store for the assembled result.</w:t>
      </w:r>
    </w:p>
    <w:p>
      <w:pPr>
        <w:pStyle w:val="ListNumber"/>
        <w:spacing w:after="60"/>
      </w:pPr>
      <w:r>
        <w:rPr>
          <w:b/>
          <w:i w:val="0"/>
          <w:sz w:val="22"/>
        </w:rPr>
        <w:t xml:space="preserve">NeedsAuth — </w:t>
      </w:r>
      <w:r>
        <w:rPr>
          <w:b w:val="0"/>
          <w:i w:val="0"/>
          <w:sz w:val="22"/>
        </w:rPr>
        <w:t>resolve the payer + plan rule set; the agent narrates any ambiguous plan language. Not required → stop, nothing submitted.</w:t>
      </w:r>
    </w:p>
    <w:p>
      <w:pPr>
        <w:pStyle w:val="ListNumber"/>
        <w:spacing w:after="60"/>
      </w:pPr>
      <w:r>
        <w:rPr>
          <w:b/>
          <w:i w:val="0"/>
          <w:sz w:val="22"/>
        </w:rPr>
        <w:t xml:space="preserve">Gap — </w:t>
      </w:r>
      <w:r>
        <w:rPr>
          <w:b w:val="0"/>
          <w:i w:val="0"/>
          <w:sz w:val="22"/>
        </w:rPr>
        <w:t>evidence-gap reads the note against the written criteria (File Search) → per-criterion status + supporting quote + evidence-quality grade.</w:t>
      </w:r>
    </w:p>
    <w:p>
      <w:pPr>
        <w:pStyle w:val="ListNumber"/>
        <w:spacing w:after="60"/>
      </w:pPr>
      <w:r>
        <w:rPr>
          <w:b/>
          <w:i w:val="0"/>
          <w:sz w:val="22"/>
        </w:rPr>
        <w:t xml:space="preserve">Claims — </w:t>
      </w:r>
      <w:r>
        <w:rPr>
          <w:b w:val="0"/>
          <w:i w:val="0"/>
          <w:sz w:val="22"/>
        </w:rPr>
        <w:t>claims-extraction pulls the note's clinical claims and flags a self-contradiction.</w:t>
      </w:r>
    </w:p>
    <w:p>
      <w:pPr>
        <w:pStyle w:val="ListNumber"/>
        <w:spacing w:after="60"/>
      </w:pPr>
      <w:r>
        <w:rPr>
          <w:b/>
          <w:i w:val="0"/>
          <w:sz w:val="22"/>
        </w:rPr>
        <w:t xml:space="preserve">Precedent — </w:t>
      </w:r>
      <w:r>
        <w:rPr>
          <w:b w:val="0"/>
          <w:i w:val="0"/>
          <w:sz w:val="22"/>
        </w:rPr>
        <w:t>deterministic code filters the precedent metadata; precedent-strategist reasons over the retrieved narratives and recommends submit / strengthen / appeal.</w:t>
      </w:r>
    </w:p>
    <w:p>
      <w:pPr>
        <w:pStyle w:val="ListNumber"/>
        <w:spacing w:after="60"/>
      </w:pPr>
      <w:r>
        <w:rPr>
          <w:b/>
          <w:i w:val="0"/>
          <w:sz w:val="22"/>
        </w:rPr>
        <w:t xml:space="preserve">Critic — </w:t>
      </w:r>
      <w:r>
        <w:rPr>
          <w:b w:val="0"/>
          <w:i w:val="0"/>
          <w:sz w:val="22"/>
        </w:rPr>
        <w:t>runs its seven checks; verdict (Clear / Concerns / Block / Abstain) and any flags attach to the case.</w:t>
      </w:r>
    </w:p>
    <w:p>
      <w:pPr>
        <w:pStyle w:val="ListNumber"/>
        <w:spacing w:after="60"/>
      </w:pPr>
      <w:r>
        <w:rPr>
          <w:b/>
          <w:i w:val="0"/>
          <w:sz w:val="22"/>
        </w:rPr>
        <w:t xml:space="preserve">Gate — </w:t>
      </w:r>
      <w:r>
        <w:rPr>
          <w:b w:val="0"/>
          <w:i w:val="0"/>
          <w:sz w:val="22"/>
        </w:rPr>
        <w:t>deterministic. Any unmet mandatory criterion or a contradiction → HumanReview; a Critic block → HumanReview; thin evidence + weak precedent → Abstain; over the value limit → HumanReview; an undocumented supporting criterion → Strengthen; otherwise → ReadyToSubmit. Every route carries its working.</w:t>
      </w:r>
    </w:p>
    <w:p>
      <w:pPr>
        <w:pStyle w:val="ListNumber"/>
        <w:spacing w:after="60"/>
      </w:pPr>
      <w:r>
        <w:rPr>
          <w:b/>
          <w:i w:val="0"/>
          <w:sz w:val="22"/>
        </w:rPr>
        <w:t xml:space="preserve">Assemble &amp; persist — </w:t>
      </w:r>
      <w:r>
        <w:rPr>
          <w:b w:val="0"/>
          <w:i w:val="0"/>
          <w:sz w:val="22"/>
        </w:rPr>
        <w:t>one executor runs the whole pipeline, writes the result to Cosmos, then emits a slim routing message.</w:t>
      </w:r>
    </w:p>
    <w:p>
      <w:pPr>
        <w:pStyle w:val="ListNumber"/>
        <w:spacing w:after="60"/>
      </w:pPr>
      <w:r>
        <w:rPr>
          <w:b/>
          <w:i w:val="0"/>
          <w:sz w:val="22"/>
        </w:rPr>
        <w:t xml:space="preserve">Pause for a reviewer — </w:t>
      </w:r>
      <w:r>
        <w:rPr>
          <w:b w:val="0"/>
          <w:i w:val="0"/>
          <w:sz w:val="22"/>
        </w:rPr>
        <w:t>every route raises a review card on the RequestPort and suspends. The route only changes the headline — “ready — one click to send” for ReadyToSubmit, “needs your judgement” for HumanReview.</w:t>
      </w:r>
    </w:p>
    <w:p>
      <w:pPr>
        <w:pStyle w:val="ListNumber"/>
        <w:spacing w:after="60"/>
      </w:pPr>
      <w:r>
        <w:rPr>
          <w:b/>
          <w:i w:val="0"/>
          <w:sz w:val="22"/>
        </w:rPr>
        <w:t xml:space="preserve">Send — </w:t>
      </w:r>
      <w:r>
        <w:rPr>
          <w:b w:val="0"/>
          <w:i w:val="0"/>
          <w:sz w:val="22"/>
        </w:rPr>
        <w:t>the reviewer's /respond resumes the workflow; the apply-decision executor enforces ApprovalAuthority; on an authorised approve-send the Submission Adapter submits.</w:t>
      </w:r>
    </w:p>
    <w:p>
      <w:pPr>
        <w:pStyle w:val="ListNumber"/>
        <w:spacing w:after="60"/>
      </w:pPr>
      <w:r>
        <w:rPr>
          <w:b/>
          <w:i w:val="0"/>
          <w:sz w:val="22"/>
        </w:rPr>
        <w:t xml:space="preserve">Appeal — </w:t>
      </w:r>
      <w:r>
        <w:rPr>
          <w:b w:val="0"/>
          <w:i w:val="0"/>
          <w:sz w:val="22"/>
        </w:rPr>
        <w:t>on denial, precedent-strategist drafts the appeal citing the misapplied clause and the precedent ids; critic reviews it; deterministic code fills the dates and the region-specific escalation route; the reviewer approves; the Adapter files it.</w:t>
      </w:r>
    </w:p>
    <w:p>
      <w:pPr>
        <w:spacing w:after="120" w:before="80"/>
      </w:pPr>
      <w:r>
        <w:rPr>
          <w:b w:val="0"/>
          <w:i w:val="0"/>
          <w:color w:val="44555C"/>
          <w:sz w:val="21"/>
        </w:rPr>
        <w:t>Throughout: one trace id per request across every hop; every agent call written to agentCalls; no agent performs an outbound action.</w:t>
      </w:r>
    </w:p>
    <w:p>
      <w:pPr>
        <w:pStyle w:val="Heading1"/>
      </w:pPr>
      <w:r>
        <w:t>6 · Components, service by service</w:t>
      </w:r>
    </w:p>
    <w:p>
      <w:pPr>
        <w:keepNext/>
        <w:spacing w:before="180" w:after="60"/>
      </w:pPr>
      <w:r>
        <w:rPr>
          <w:b/>
          <w:color w:val="6D28D9"/>
          <w:sz w:val="24"/>
        </w:rPr>
        <w:t>Intake / API Proxy</w:t>
      </w:r>
    </w:p>
    <w:p>
      <w:pPr>
        <w:pStyle w:val="ListBullet"/>
        <w:spacing w:after="60"/>
      </w:pPr>
      <w:r>
        <w:rPr>
          <w:b/>
          <w:i w:val="0"/>
          <w:sz w:val="22"/>
        </w:rPr>
        <w:t xml:space="preserve">API Proxy </w:t>
      </w:r>
      <w:r>
        <w:rPr>
          <w:b w:val="0"/>
          <w:i w:val="0"/>
          <w:sz w:val="22"/>
        </w:rPr>
        <w:t>(Azure Function) — validates the request DTO, starts a workflow run keyed on the request id, serves read models to the dashboard, and relays reviewer decisions to /respond/{runId}. Shares the Cosmos case store with the workflow host.</w:t>
      </w:r>
    </w:p>
    <w:p>
      <w:pPr>
        <w:keepNext/>
        <w:spacing w:before="180" w:after="60"/>
      </w:pPr>
      <w:r>
        <w:rPr>
          <w:b/>
          <w:color w:val="6D28D9"/>
          <w:sz w:val="24"/>
        </w:rPr>
        <w:t>Compute · Orchestration (Microsoft Agent Framework)</w:t>
      </w:r>
    </w:p>
    <w:p>
      <w:pPr>
        <w:pStyle w:val="ListBullet"/>
        <w:spacing w:after="60"/>
      </w:pPr>
      <w:r>
        <w:rPr>
          <w:b/>
          <w:i w:val="0"/>
          <w:sz w:val="22"/>
        </w:rPr>
        <w:t xml:space="preserve">CareApprovalWorkflow </w:t>
      </w:r>
      <w:r>
        <w:rPr>
          <w:b w:val="0"/>
          <w:i w:val="0"/>
          <w:sz w:val="22"/>
        </w:rPr>
        <w:t>— the typed executor graph. Two shapes from one definition: a fine-grained per-step graph for the eval harness and the in-process tests, and a coarse durable graph for the hosted app.</w:t>
      </w:r>
    </w:p>
    <w:p>
      <w:pPr>
        <w:pStyle w:val="ListBullet"/>
        <w:spacing w:after="60"/>
      </w:pPr>
      <w:r>
        <w:rPr>
          <w:b/>
          <w:i w:val="0"/>
          <w:sz w:val="22"/>
        </w:rPr>
        <w:t xml:space="preserve">Executors </w:t>
      </w:r>
      <w:r>
        <w:rPr>
          <w:b w:val="0"/>
          <w:i w:val="0"/>
          <w:sz w:val="22"/>
        </w:rPr>
        <w:t>— needs-auth, evidence-gap, claims-extraction, precedent-match, critic, the Gate, assemble, review-card, apply-decision. Each is a thin wrapper over the existing Zynara.Core logic; no LLM in the wrapper.</w:t>
      </w:r>
    </w:p>
    <w:p>
      <w:pPr>
        <w:pStyle w:val="ListBullet"/>
        <w:spacing w:after="60"/>
      </w:pPr>
      <w:r>
        <w:rPr>
          <w:b/>
          <w:i w:val="0"/>
          <w:sz w:val="22"/>
        </w:rPr>
        <w:t xml:space="preserve">Zynara.WorkflowHost </w:t>
      </w:r>
      <w:r>
        <w:rPr>
          <w:b w:val="0"/>
          <w:i w:val="0"/>
          <w:sz w:val="22"/>
        </w:rPr>
        <w:t>(Azure Functions) — ConfigureDurableWorkflows generates the HTTP surface (/run, /respond/{runId}) and one Durable activity per executor at runtime. AzureWebJobsStorage is the Durable Task backend — no separate scheduler resource.</w:t>
      </w:r>
    </w:p>
    <w:p>
      <w:pPr>
        <w:keepNext/>
        <w:spacing w:before="180" w:after="60"/>
      </w:pPr>
      <w:r>
        <w:rPr>
          <w:b/>
          <w:color w:val="6D28D9"/>
          <w:sz w:val="24"/>
        </w:rPr>
        <w:t>AI Foundry · Agent Service</w:t>
      </w:r>
    </w:p>
    <w:p>
      <w:pPr>
        <w:pStyle w:val="ListBullet"/>
        <w:spacing w:after="60"/>
      </w:pPr>
      <w:r>
        <w:rPr>
          <w:b/>
          <w:i w:val="0"/>
          <w:sz w:val="22"/>
        </w:rPr>
        <w:t xml:space="preserve">needs-auth-agent </w:t>
      </w:r>
      <w:r>
        <w:rPr>
          <w:b w:val="0"/>
          <w:i w:val="0"/>
          <w:sz w:val="22"/>
        </w:rPr>
        <w:t xml:space="preserve">— reads ambiguous plan text and returns {authRequired, code, policyRef}. </w:t>
      </w:r>
      <w:r>
        <w:rPr>
          <w:b/>
          <w:i w:val="0"/>
          <w:sz w:val="22"/>
        </w:rPr>
        <w:t xml:space="preserve">Grounding: </w:t>
      </w:r>
      <w:r>
        <w:rPr>
          <w:b w:val="0"/>
          <w:i w:val="0"/>
          <w:sz w:val="22"/>
        </w:rPr>
        <w:t>payer rule-set.</w:t>
      </w:r>
    </w:p>
    <w:p>
      <w:pPr>
        <w:pStyle w:val="ListBullet"/>
        <w:spacing w:after="60"/>
      </w:pPr>
      <w:r>
        <w:rPr>
          <w:b/>
          <w:i w:val="0"/>
          <w:sz w:val="22"/>
        </w:rPr>
        <w:t xml:space="preserve">evidence-gap-agent </w:t>
      </w:r>
      <w:r>
        <w:rPr>
          <w:b w:val="0"/>
          <w:i w:val="0"/>
          <w:sz w:val="22"/>
        </w:rPr>
        <w:t xml:space="preserve">— reads the clinical note against the numbered criteria, per criterion, with the supporting quote and an evidence-quality grade. </w:t>
      </w:r>
      <w:r>
        <w:rPr>
          <w:b/>
          <w:i w:val="0"/>
          <w:sz w:val="22"/>
        </w:rPr>
        <w:t xml:space="preserve">Grounding: </w:t>
      </w:r>
      <w:r>
        <w:rPr>
          <w:b w:val="0"/>
          <w:i w:val="0"/>
          <w:sz w:val="22"/>
        </w:rPr>
        <w:t>File Search over the policy corpus.</w:t>
      </w:r>
    </w:p>
    <w:p>
      <w:pPr>
        <w:pStyle w:val="ListBullet"/>
        <w:spacing w:after="60"/>
      </w:pPr>
      <w:r>
        <w:rPr>
          <w:b/>
          <w:i w:val="0"/>
          <w:sz w:val="22"/>
        </w:rPr>
        <w:t xml:space="preserve">claims-extraction-agent </w:t>
      </w:r>
      <w:r>
        <w:rPr>
          <w:b w:val="0"/>
          <w:i w:val="0"/>
          <w:sz w:val="22"/>
        </w:rPr>
        <w:t xml:space="preserve">— pulls the note's clinical claims and flags a self-contradiction. </w:t>
      </w:r>
      <w:r>
        <w:rPr>
          <w:b/>
          <w:i w:val="0"/>
          <w:sz w:val="22"/>
        </w:rPr>
        <w:t xml:space="preserve">Grounding: </w:t>
      </w:r>
      <w:r>
        <w:rPr>
          <w:b w:val="0"/>
          <w:i w:val="0"/>
          <w:sz w:val="22"/>
        </w:rPr>
        <w:t>the clinical note.</w:t>
      </w:r>
    </w:p>
    <w:p>
      <w:pPr>
        <w:pStyle w:val="ListBullet"/>
        <w:spacing w:after="60"/>
      </w:pPr>
      <w:r>
        <w:rPr>
          <w:b/>
          <w:i w:val="0"/>
          <w:sz w:val="22"/>
        </w:rPr>
        <w:t xml:space="preserve">precedent-strategist-agent </w:t>
      </w:r>
      <w:r>
        <w:rPr>
          <w:b w:val="0"/>
          <w:i w:val="0"/>
          <w:sz w:val="22"/>
        </w:rPr>
        <w:t xml:space="preserve">— corpus-level fact-pattern match over recorded outcomes; drafts the appeal argument. </w:t>
      </w:r>
      <w:r>
        <w:rPr>
          <w:b/>
          <w:i w:val="0"/>
          <w:sz w:val="22"/>
        </w:rPr>
        <w:t xml:space="preserve">Grounding: </w:t>
      </w:r>
      <w:r>
        <w:rPr>
          <w:b w:val="0"/>
          <w:i w:val="0"/>
          <w:sz w:val="22"/>
        </w:rPr>
        <w:t>precedent metadata (Cosmos) + narratives (File Search).</w:t>
      </w:r>
    </w:p>
    <w:p>
      <w:pPr>
        <w:pStyle w:val="ListBullet"/>
        <w:spacing w:after="60"/>
      </w:pPr>
      <w:r>
        <w:rPr>
          <w:b/>
          <w:i w:val="0"/>
          <w:sz w:val="22"/>
        </w:rPr>
        <w:t xml:space="preserve">critic-agent </w:t>
      </w:r>
      <w:r>
        <w:rPr>
          <w:b w:val="0"/>
          <w:i w:val="0"/>
          <w:sz w:val="22"/>
        </w:rPr>
        <w:t xml:space="preserve">— tries to disprove the assembled recommendation (the seven checks) and can force a human or an abstention. </w:t>
      </w:r>
      <w:r>
        <w:rPr>
          <w:b/>
          <w:i w:val="0"/>
          <w:sz w:val="22"/>
        </w:rPr>
        <w:t xml:space="preserve">Grounding: </w:t>
      </w:r>
      <w:r>
        <w:rPr>
          <w:b w:val="0"/>
          <w:i w:val="0"/>
          <w:sz w:val="22"/>
        </w:rPr>
        <w:t>the whole assembled case + File Search to verify citations.</w:t>
      </w:r>
    </w:p>
    <w:p>
      <w:pPr>
        <w:keepNext/>
        <w:spacing w:before="180" w:after="60"/>
      </w:pPr>
      <w:r>
        <w:rPr>
          <w:b/>
          <w:color w:val="6D28D9"/>
          <w:sz w:val="24"/>
        </w:rPr>
        <w:t>Data</w:t>
      </w:r>
    </w:p>
    <w:p>
      <w:pPr>
        <w:pStyle w:val="ListBullet"/>
        <w:spacing w:after="60"/>
      </w:pPr>
      <w:r>
        <w:rPr>
          <w:b/>
          <w:i w:val="0"/>
          <w:sz w:val="22"/>
        </w:rPr>
        <w:t xml:space="preserve">Submission Adapter </w:t>
      </w:r>
      <w:r>
        <w:rPr>
          <w:b w:val="0"/>
          <w:i w:val="0"/>
          <w:sz w:val="22"/>
        </w:rPr>
        <w:t>(Azure Function) — the sole outbound path: payer portal / X12 278 / FHIR / fax. Guards: only approve-send cases, idempotent.</w:t>
      </w:r>
    </w:p>
    <w:p>
      <w:pPr>
        <w:pStyle w:val="ListBullet"/>
        <w:spacing w:after="60"/>
      </w:pPr>
      <w:r>
        <w:rPr>
          <w:b/>
          <w:i w:val="0"/>
          <w:sz w:val="22"/>
        </w:rPr>
        <w:t xml:space="preserve">Azure Cosmos DB </w:t>
      </w:r>
      <w:r>
        <w:rPr>
          <w:b w:val="0"/>
          <w:i w:val="0"/>
          <w:sz w:val="22"/>
        </w:rPr>
        <w:t>serverless (Core / NoSQL) — one container per aggregate, partition key /requestId or /payerPlan, session consistency.</w:t>
      </w:r>
    </w:p>
    <w:p>
      <w:pPr>
        <w:pStyle w:val="ListBullet"/>
        <w:spacing w:after="60"/>
      </w:pPr>
      <w:r>
        <w:rPr>
          <w:b/>
          <w:i w:val="0"/>
          <w:sz w:val="22"/>
        </w:rPr>
        <w:t xml:space="preserve">Azure Blob Storage </w:t>
      </w:r>
      <w:r>
        <w:rPr>
          <w:b w:val="0"/>
          <w:i w:val="0"/>
          <w:sz w:val="22"/>
        </w:rPr>
        <w:t>— policies/&lt;region&gt;/&lt;payer&gt;/&lt;procedure&gt;.md, denials/&lt;requestId&gt;.pdf, precedents/&lt;caseId&gt;.md.</w:t>
      </w:r>
    </w:p>
    <w:p>
      <w:pPr>
        <w:pStyle w:val="ListBullet"/>
        <w:spacing w:after="60"/>
      </w:pPr>
      <w:r>
        <w:rPr>
          <w:b/>
          <w:i w:val="0"/>
          <w:sz w:val="22"/>
        </w:rPr>
        <w:t xml:space="preserve">Foundry File Search </w:t>
      </w:r>
      <w:r>
        <w:rPr>
          <w:b w:val="0"/>
          <w:i w:val="0"/>
          <w:sz w:val="22"/>
        </w:rPr>
        <w:t>— the one vector index over the Blob corpus.</w:t>
      </w:r>
    </w:p>
    <w:p>
      <w:pPr>
        <w:keepNext/>
        <w:spacing w:before="180" w:after="60"/>
      </w:pPr>
      <w:r>
        <w:rPr>
          <w:b/>
          <w:color w:val="6D28D9"/>
          <w:sz w:val="24"/>
        </w:rPr>
        <w:t>Experience</w:t>
      </w:r>
    </w:p>
    <w:p>
      <w:pPr>
        <w:pStyle w:val="ListBullet"/>
        <w:spacing w:after="60"/>
      </w:pPr>
      <w:r>
        <w:rPr>
          <w:b/>
          <w:i w:val="0"/>
          <w:sz w:val="22"/>
        </w:rPr>
        <w:t xml:space="preserve">Reviewer </w:t>
      </w:r>
      <w:r>
        <w:rPr>
          <w:b w:val="0"/>
          <w:i w:val="0"/>
          <w:sz w:val="22"/>
        </w:rPr>
        <w:t>(human) — approves or rejects the cases the workflow suspends on.</w:t>
      </w:r>
    </w:p>
    <w:p>
      <w:pPr>
        <w:pStyle w:val="ListBullet"/>
        <w:spacing w:after="60"/>
      </w:pPr>
      <w:r>
        <w:rPr>
          <w:b/>
          <w:i w:val="0"/>
          <w:sz w:val="22"/>
        </w:rPr>
        <w:t xml:space="preserve">Dashboard </w:t>
      </w:r>
      <w:r>
        <w:rPr>
          <w:b w:val="0"/>
          <w:i w:val="0"/>
          <w:sz w:val="22"/>
        </w:rPr>
        <w:t>(Static Web App Standard + linked backend) — review queue, per-case evidence / precedents / Critic drawer, the Estimated Recoverable Value tab, the cost tab, and the UK ⇄ US switch.</w:t>
      </w:r>
    </w:p>
    <w:p>
      <w:pPr>
        <w:pStyle w:val="ListBullet"/>
        <w:spacing w:after="60"/>
      </w:pPr>
      <w:r>
        <w:rPr>
          <w:b/>
          <w:i w:val="0"/>
          <w:sz w:val="22"/>
        </w:rPr>
        <w:t xml:space="preserve">API Proxy </w:t>
      </w:r>
      <w:r>
        <w:rPr>
          <w:b w:val="0"/>
          <w:i w:val="0"/>
          <w:sz w:val="22"/>
        </w:rPr>
        <w:t>(Azure Function) — read models + reviewer actions.</w:t>
      </w:r>
    </w:p>
    <w:p>
      <w:pPr>
        <w:keepNext/>
        <w:spacing w:before="180" w:after="60"/>
      </w:pPr>
      <w:r>
        <w:rPr>
          <w:b/>
          <w:color w:val="6D28D9"/>
          <w:sz w:val="24"/>
        </w:rPr>
        <w:t>Cross-cutting</w:t>
      </w:r>
    </w:p>
    <w:p>
      <w:pPr>
        <w:pStyle w:val="ListBullet"/>
        <w:spacing w:after="60"/>
      </w:pPr>
      <w:r>
        <w:rPr>
          <w:b/>
          <w:i w:val="0"/>
          <w:sz w:val="22"/>
        </w:rPr>
        <w:t xml:space="preserve">Managed identity </w:t>
      </w:r>
      <w:r>
        <w:rPr>
          <w:b w:val="0"/>
          <w:i w:val="0"/>
          <w:sz w:val="22"/>
        </w:rPr>
        <w:t>— Cosmos data-plane RBAC, Foundry (Cognitive Services User), Blob (Blob Data Contributor). Two identities, split by plane.</w:t>
      </w:r>
    </w:p>
    <w:p>
      <w:pPr>
        <w:pStyle w:val="ListBullet"/>
        <w:spacing w:after="60"/>
      </w:pPr>
      <w:r>
        <w:rPr>
          <w:b/>
          <w:i w:val="0"/>
          <w:sz w:val="22"/>
        </w:rPr>
        <w:t xml:space="preserve">Key Vault </w:t>
      </w:r>
      <w:r>
        <w:rPr>
          <w:b w:val="0"/>
          <w:i w:val="0"/>
          <w:sz w:val="22"/>
        </w:rPr>
        <w:t>— the payer credential, the App Insights connection string, the content-share key.</w:t>
      </w:r>
    </w:p>
    <w:p>
      <w:pPr>
        <w:pStyle w:val="ListBullet"/>
        <w:spacing w:after="60"/>
      </w:pPr>
      <w:r>
        <w:rPr>
          <w:b/>
          <w:i w:val="0"/>
          <w:sz w:val="22"/>
        </w:rPr>
        <w:t xml:space="preserve">App Insights </w:t>
      </w:r>
      <w:r>
        <w:rPr>
          <w:b w:val="0"/>
          <w:i w:val="0"/>
          <w:sz w:val="22"/>
        </w:rPr>
        <w:t>— one W3C trace per request; the trace id is written onto each agentCalls cost row.</w:t>
      </w:r>
    </w:p>
    <w:p>
      <w:pPr>
        <w:pStyle w:val="ListBullet"/>
        <w:spacing w:after="60"/>
      </w:pPr>
      <w:r>
        <w:rPr>
          <w:b/>
          <w:i w:val="0"/>
          <w:sz w:val="22"/>
        </w:rPr>
        <w:t xml:space="preserve">Zynara.Eval </w:t>
      </w:r>
      <w:r>
        <w:rPr>
          <w:b w:val="0"/>
          <w:i w:val="0"/>
          <w:sz w:val="22"/>
        </w:rPr>
        <w:t>— the labelled clinical-case set, replayed in CI; hard-gates the safety metrics.</w:t>
      </w:r>
    </w:p>
    <w:p>
      <w:pPr>
        <w:pStyle w:val="ListBullet"/>
        <w:spacing w:after="60"/>
      </w:pPr>
      <w:r>
        <w:rPr>
          <w:b/>
          <w:i w:val="0"/>
          <w:sz w:val="22"/>
        </w:rPr>
        <w:t xml:space="preserve">Zynara.DbDeploy </w:t>
      </w:r>
      <w:r>
        <w:rPr>
          <w:b w:val="0"/>
          <w:i w:val="0"/>
          <w:sz w:val="22"/>
        </w:rPr>
        <w:t>— azd post-provision: create containers, upload the corpus, seed the demo data.</w:t>
      </w:r>
    </w:p>
    <w:p>
      <w:pPr>
        <w:pStyle w:val="Heading1"/>
      </w:pPr>
      <w:r>
        <w:t>7 · The Microsoft Agent Framework workflow, in detail</w:t>
      </w:r>
    </w:p>
    <w:p>
      <w:pPr>
        <w:spacing w:after="80"/>
      </w:pPr>
      <w:r>
        <w:rPr>
          <w:b w:val="0"/>
          <w:i w:val="0"/>
        </w:rPr>
        <w:t>The orchestration layer is the design's centrepiece and the reference pattern for the team's next agent projects.</w:t>
      </w:r>
    </w:p>
    <w:p>
      <w:pPr>
        <w:keepNext/>
        <w:spacing w:before="180" w:after="60"/>
      </w:pPr>
      <w:r>
        <w:rPr>
          <w:b/>
          <w:color w:val="6D28D9"/>
          <w:sz w:val="24"/>
        </w:rPr>
        <w:t>Why the framework, not a hand-rolled orchestrator</w:t>
      </w:r>
    </w:p>
    <w:p>
      <w:pPr>
        <w:pStyle w:val="ListBullet"/>
        <w:spacing w:after="60"/>
      </w:pPr>
      <w:r>
        <w:rPr>
          <w:b w:val="0"/>
          <w:i w:val="0"/>
          <w:sz w:val="22"/>
        </w:rPr>
        <w:t>The Microsoft Agent Framework (the unification of Semantic Kernel and AutoGen) gives, as primitives, exactly what a prior-auth pipeline needs and would otherwise hand-build: a typed graph of executors with conditional edges, a first-class human-in-the-loop pause / resume (RequestPort), durable checkpoint + replay via Durable Task, and built-in OpenTelemetry.</w:t>
      </w:r>
    </w:p>
    <w:p>
      <w:pPr>
        <w:pStyle w:val="ListBullet"/>
        <w:spacing w:after="60"/>
      </w:pPr>
      <w:r>
        <w:rPr>
          <w:b w:val="0"/>
          <w:i w:val="0"/>
          <w:sz w:val="22"/>
        </w:rPr>
        <w:t>Building this reference pattern once, on the framework Microsoft recommends, is worth more than the equivalent bespoke Durable Functions code — for this project and the next.</w:t>
      </w:r>
    </w:p>
    <w:p>
      <w:pPr>
        <w:keepNext/>
        <w:spacing w:before="180" w:after="60"/>
      </w:pPr>
      <w:r>
        <w:rPr>
          <w:b/>
          <w:color w:val="6D28D9"/>
          <w:sz w:val="24"/>
        </w:rPr>
        <w:t>The graph</w:t>
      </w:r>
    </w:p>
    <w:p>
      <w:pPr>
        <w:pStyle w:val="ListBullet"/>
        <w:spacing w:after="60"/>
      </w:pPr>
      <w:r>
        <w:rPr>
          <w:b w:val="0"/>
          <w:i w:val="0"/>
          <w:sz w:val="22"/>
        </w:rPr>
        <w:t>Request → assemble → (auth not required) finalize, or → review-card → [review RequestPort] → apply-decision → (approve-send, authorised) → submit.</w:t>
      </w:r>
    </w:p>
    <w:p>
      <w:pPr>
        <w:pStyle w:val="ListBullet"/>
        <w:spacing w:after="60"/>
      </w:pPr>
      <w:r>
        <w:rPr>
          <w:b w:val="0"/>
          <w:i w:val="0"/>
          <w:sz w:val="22"/>
        </w:rPr>
        <w:t>The Gate is a plain executor, never an agent.</w:t>
      </w:r>
    </w:p>
    <w:p>
      <w:pPr>
        <w:pStyle w:val="ListBullet"/>
        <w:spacing w:after="60"/>
      </w:pPr>
      <w:r>
        <w:rPr>
          <w:b w:val="0"/>
          <w:i w:val="0"/>
          <w:sz w:val="22"/>
        </w:rPr>
        <w:t>Every route pauses at the RequestPort. The Gate route only sets the reviewer's headline — it never decides whether a person is asked. No payer submission without an explicit human /respond.</w:t>
      </w:r>
    </w:p>
    <w:p>
      <w:pPr>
        <w:keepNext/>
        <w:spacing w:before="180" w:after="60"/>
      </w:pPr>
      <w:r>
        <w:rPr>
          <w:b/>
          <w:color w:val="6D28D9"/>
          <w:sz w:val="24"/>
        </w:rPr>
        <w:t>The coarse-graph constraint</w:t>
      </w:r>
    </w:p>
    <w:p>
      <w:pPr>
        <w:pStyle w:val="ListBullet"/>
        <w:spacing w:after="60"/>
      </w:pPr>
      <w:r>
        <w:rPr>
          <w:b w:val="0"/>
          <w:i w:val="0"/>
          <w:sz w:val="22"/>
        </w:rPr>
        <w:t>The framework serialises the workflow's runtime snapshot into Durable Task's CustomStatus, hard-capped at 16 KB. A fine-grained graph that threaded every agent result down the edges exceeded that. So the hosted graph runs the whole reasoning pipeline inside one assemble executor, persists the bulky result to Cosmos, and threads only a slim routing message. The fine-grained per-step graph is retained for in-process runs and the tests.</w:t>
      </w:r>
    </w:p>
    <w:p>
      <w:pPr>
        <w:keepNext/>
        <w:spacing w:before="180" w:after="60"/>
      </w:pPr>
      <w:r>
        <w:rPr>
          <w:b/>
          <w:color w:val="6D28D9"/>
          <w:sz w:val="24"/>
        </w:rPr>
        <w:t>Verified live</w:t>
      </w:r>
    </w:p>
    <w:p>
      <w:pPr>
        <w:pStyle w:val="ListBullet"/>
        <w:spacing w:after="60"/>
      </w:pPr>
      <w:r>
        <w:rPr>
          <w:b w:val="0"/>
          <w:i w:val="0"/>
          <w:sz w:val="22"/>
        </w:rPr>
        <w:t>Deployed to zynara-spike-rg; run end to end against real GPT-5.4. Every route suspends on the RequestPort; the reviewer's /respond resumes it; the authority check runs; on an authorised approve-send the case is submitted. No “system” decision anywhere. No CustomStatus error. App Insights shows the full trace tree from the workflow host. 122 tests green on every commit (zynara-ci.yml).</w:t>
      </w:r>
    </w:p>
    <w:p>
      <w:pPr>
        <w:pStyle w:val="Heading1"/>
      </w:pPr>
      <w:r>
        <w:t>8 · The deterministic Gate &amp; Responsible AI</w:t>
      </w:r>
    </w:p>
    <w:p>
      <w:pPr>
        <w:keepNext/>
        <w:spacing w:before="180" w:after="60"/>
      </w:pPr>
      <w:r>
        <w:rPr>
          <w:b/>
          <w:color w:val="6D28D9"/>
          <w:sz w:val="24"/>
        </w:rPr>
        <w:t>The Gate weighs a structured model, not one number</w:t>
      </w:r>
    </w:p>
    <w:p>
      <w:pPr>
        <w:pStyle w:val="ListBullet"/>
        <w:spacing w:after="60"/>
      </w:pPr>
      <w:r>
        <w:rPr>
          <w:b w:val="0"/>
          <w:i w:val="0"/>
          <w:sz w:val="22"/>
        </w:rPr>
        <w:t>Inputs: mandatory-criterion status, supporting-criterion counts, evidence quality, contradiction flag, precedent-support level, the Critic verdict, the estimated value, whether this is an appeal.</w:t>
      </w:r>
    </w:p>
    <w:p>
      <w:pPr>
        <w:pStyle w:val="ListBullet"/>
        <w:spacing w:after="60"/>
      </w:pPr>
      <w:r>
        <w:rPr>
          <w:b w:val="0"/>
          <w:i w:val="0"/>
          <w:sz w:val="22"/>
        </w:rPr>
        <w:t>Rules: any unmet mandatory criterion or a contradiction → HumanReview; a Critic block → HumanReview regardless of the numbers; a Critic abstain, or low-quality evidence with weak / none precedent support → Abstain; value over the auto-limit → HumanReview; an undocumented supporting criterion or Critic concerns → Strengthen; otherwise → ReadyToSubmit.</w:t>
      </w:r>
    </w:p>
    <w:p>
      <w:pPr>
        <w:pStyle w:val="ListBullet"/>
        <w:spacing w:after="60"/>
      </w:pPr>
      <w:r>
        <w:rPr>
          <w:b w:val="0"/>
          <w:i w:val="0"/>
          <w:sz w:val="22"/>
        </w:rPr>
        <w:t>A missing mandatory criterion is never averaged away. Every route is shown with its working.</w:t>
      </w:r>
    </w:p>
    <w:p>
      <w:pPr>
        <w:keepNext/>
        <w:spacing w:before="180" w:after="60"/>
      </w:pPr>
      <w:r>
        <w:rPr>
          <w:b/>
          <w:color w:val="6D28D9"/>
          <w:sz w:val="24"/>
        </w:rPr>
        <w:t>Responsible AI — built and demonstrated</w:t>
      </w:r>
    </w:p>
    <w:p>
      <w:pPr>
        <w:pStyle w:val="ListBullet"/>
        <w:spacing w:after="60"/>
      </w:pPr>
      <w:r>
        <w:rPr>
          <w:b/>
          <w:i w:val="0"/>
          <w:sz w:val="22"/>
        </w:rPr>
        <w:t xml:space="preserve">Every outbound action is human-approved </w:t>
      </w:r>
      <w:r>
        <w:rPr>
          <w:b w:val="0"/>
          <w:i w:val="0"/>
          <w:sz w:val="22"/>
        </w:rPr>
        <w:t>— submit and appeal both.</w:t>
      </w:r>
    </w:p>
    <w:p>
      <w:pPr>
        <w:pStyle w:val="ListBullet"/>
        <w:spacing w:after="60"/>
      </w:pPr>
      <w:r>
        <w:rPr>
          <w:b/>
          <w:i w:val="0"/>
          <w:sz w:val="22"/>
        </w:rPr>
        <w:t xml:space="preserve">Bounded agents </w:t>
      </w:r>
      <w:r>
        <w:rPr>
          <w:b w:val="0"/>
          <w:i w:val="0"/>
          <w:sz w:val="22"/>
        </w:rPr>
        <w:t>— deterministic code owns every value that drives a decision or an action.</w:t>
      </w:r>
    </w:p>
    <w:p>
      <w:pPr>
        <w:pStyle w:val="ListBullet"/>
        <w:spacing w:after="60"/>
      </w:pPr>
      <w:r>
        <w:rPr>
          <w:b/>
          <w:i w:val="0"/>
          <w:sz w:val="22"/>
        </w:rPr>
        <w:t xml:space="preserve">Grounding &amp; citation </w:t>
      </w:r>
      <w:r>
        <w:rPr>
          <w:b w:val="0"/>
          <w:i w:val="0"/>
          <w:sz w:val="22"/>
        </w:rPr>
        <w:t>— every recommendation records the policy clause ids, criteria version and precedent case ids on the case document. Any decision replays: which criterion → which precedent → which clause.</w:t>
      </w:r>
    </w:p>
    <w:p>
      <w:pPr>
        <w:pStyle w:val="ListBullet"/>
        <w:spacing w:after="60"/>
      </w:pPr>
      <w:r>
        <w:rPr>
          <w:b/>
          <w:i w:val="0"/>
          <w:sz w:val="22"/>
        </w:rPr>
        <w:t xml:space="preserve">Reviewer roles + approval authority </w:t>
      </w:r>
      <w:r>
        <w:rPr>
          <w:b w:val="0"/>
          <w:i w:val="0"/>
          <w:sz w:val="22"/>
        </w:rPr>
        <w:t>(ApprovalAuthority) — four roles (Coordinator → Reviewer → Senior Reviewer → Medical Director). The authority to approve-and-send is the higher of the route tier and the financial-risk tier; an appeal is always at least a Senior sign-off. A refused decision is written to the audit trail.</w:t>
      </w:r>
    </w:p>
    <w:p>
      <w:pPr>
        <w:pStyle w:val="ListBullet"/>
        <w:spacing w:after="60"/>
      </w:pPr>
      <w:r>
        <w:rPr>
          <w:b/>
          <w:i w:val="0"/>
          <w:sz w:val="22"/>
        </w:rPr>
        <w:t xml:space="preserve">Append-only case audit trail </w:t>
      </w:r>
      <w:r>
        <w:rPr>
          <w:b w:val="0"/>
          <w:i w:val="0"/>
          <w:sz w:val="22"/>
        </w:rPr>
        <w:t>— every run records the agent implementation and version behind each step; every reviewer action records identity, role, timestamp, note; every refusal records the reason.</w:t>
      </w:r>
    </w:p>
    <w:p>
      <w:pPr>
        <w:pStyle w:val="ListBullet"/>
        <w:spacing w:after="60"/>
      </w:pPr>
      <w:r>
        <w:rPr>
          <w:b/>
          <w:i w:val="0"/>
          <w:sz w:val="22"/>
        </w:rPr>
        <w:t xml:space="preserve">No PHI in scope </w:t>
      </w:r>
      <w:r>
        <w:rPr>
          <w:b w:val="0"/>
          <w:i w:val="0"/>
          <w:sz w:val="22"/>
        </w:rPr>
        <w:t>— request ids and procedure codes only in logs and traces.</w:t>
      </w:r>
    </w:p>
    <w:p>
      <w:pPr>
        <w:pStyle w:val="Heading1"/>
      </w:pPr>
      <w:r>
        <w:t>9 · Evaluation — proving it works</w:t>
      </w:r>
    </w:p>
    <w:p>
      <w:pPr>
        <w:keepNext/>
        <w:spacing w:before="180" w:after="60"/>
      </w:pPr>
      <w:r>
        <w:rPr>
          <w:b/>
          <w:color w:val="6D28D9"/>
          <w:sz w:val="24"/>
        </w:rPr>
        <w:t>Quality — the Foundry portal evaluation</w:t>
      </w:r>
    </w:p>
    <w:p>
      <w:pPr>
        <w:pStyle w:val="ListBullet"/>
        <w:spacing w:after="60"/>
      </w:pPr>
      <w:r>
        <w:rPr>
          <w:b w:val="0"/>
          <w:i w:val="0"/>
          <w:sz w:val="22"/>
        </w:rPr>
        <w:t>evidence-gap-agent scored in the Foundry portal: 100% Coherence / Fluency over a 15-turn dataset (runbook: docs/runbooks/challenge-3-portal-evaluation.md).</w:t>
      </w:r>
    </w:p>
    <w:p>
      <w:pPr>
        <w:keepNext/>
        <w:spacing w:before="180" w:after="60"/>
      </w:pPr>
      <w:r>
        <w:rPr>
          <w:b/>
          <w:color w:val="6D28D9"/>
          <w:sz w:val="24"/>
        </w:rPr>
        <w:t>Correctness — the Zynara.Eval CI gate</w:t>
      </w:r>
    </w:p>
    <w:p>
      <w:pPr>
        <w:spacing w:after="80"/>
      </w:pPr>
      <w:r>
        <w:rPr>
          <w:b w:val="0"/>
          <w:i w:val="0"/>
        </w:rPr>
        <w:t>24 labelled synthetic cases (ground truth per criterion, expected route, expected citations), replayed through the pipeline with deterministic reasoning stubs so CI is repeatable. Reports route agreement and safety-shaped metrics — not a headline accuracy figure. Current run:</w:t>
      </w:r>
    </w:p>
    <w:tbl>
      <w:tblPr>
        <w:tblStyle w:val="TableGrid"/>
        <w:tblW w:type="auto" w:w="0"/>
        <w:jc w:val="center"/>
        <w:tblLook w:firstColumn="1" w:firstRow="1" w:lastColumn="0" w:lastRow="0" w:noHBand="0" w:noVBand="1" w:val="04A0"/>
      </w:tblPr>
      <w:tblGrid>
        <w:gridCol w:w="3264"/>
        <w:gridCol w:w="3264"/>
        <w:gridCol w:w="3264"/>
      </w:tblGrid>
      <w:tr>
        <w:tc>
          <w:tcPr>
            <w:tcW w:type="dxa" w:w="5040"/>
            <w:shd w:val="clear" w:fill="EDE6FB"/>
          </w:tcPr>
          <w:p>
            <w:r/>
            <w:r>
              <w:rPr>
                <w:b/>
                <w:sz w:val="20"/>
              </w:rPr>
              <w:t>Metric</w:t>
            </w:r>
          </w:p>
        </w:tc>
        <w:tc>
          <w:tcPr>
            <w:tcW w:type="dxa" w:w="2304"/>
            <w:shd w:val="clear" w:fill="EDE6FB"/>
          </w:tcPr>
          <w:p>
            <w:r/>
            <w:r>
              <w:rPr>
                <w:b/>
                <w:sz w:val="20"/>
              </w:rPr>
              <w:t>Result</w:t>
            </w:r>
          </w:p>
        </w:tc>
        <w:tc>
          <w:tcPr>
            <w:tcW w:type="dxa" w:w="2304"/>
            <w:shd w:val="clear" w:fill="EDE6FB"/>
          </w:tcPr>
          <w:p>
            <w:r/>
            <w:r>
              <w:rPr>
                <w:b/>
                <w:sz w:val="20"/>
              </w:rPr>
              <w:t>CI gate</w:t>
            </w:r>
          </w:p>
        </w:tc>
      </w:tr>
      <w:tr>
        <w:tc>
          <w:tcPr>
            <w:tcW w:type="dxa" w:w="5040"/>
          </w:tcPr>
          <w:p>
            <w:r/>
            <w:r>
              <w:rPr>
                <w:b/>
                <w:sz w:val="20"/>
              </w:rPr>
              <w:t>Evidence extraction — precision / recall</w:t>
            </w:r>
          </w:p>
        </w:tc>
        <w:tc>
          <w:tcPr>
            <w:tcW w:type="dxa" w:w="2304"/>
          </w:tcPr>
          <w:p>
            <w:r/>
            <w:r>
              <w:rPr>
                <w:sz w:val="20"/>
              </w:rPr>
              <w:t>100% / 100%</w:t>
            </w:r>
          </w:p>
        </w:tc>
        <w:tc>
          <w:tcPr>
            <w:tcW w:type="dxa" w:w="2304"/>
          </w:tcPr>
          <w:p>
            <w:r/>
            <w:r>
              <w:rPr>
                <w:sz w:val="20"/>
              </w:rPr>
              <w:t>—</w:t>
            </w:r>
          </w:p>
        </w:tc>
      </w:tr>
      <w:tr>
        <w:tc>
          <w:tcPr>
            <w:tcW w:type="dxa" w:w="5040"/>
          </w:tcPr>
          <w:p>
            <w:r/>
            <w:r>
              <w:rPr>
                <w:b/>
                <w:sz w:val="20"/>
              </w:rPr>
              <w:t>Mandatory-criterion false-negatives</w:t>
            </w:r>
          </w:p>
        </w:tc>
        <w:tc>
          <w:tcPr>
            <w:tcW w:type="dxa" w:w="2304"/>
          </w:tcPr>
          <w:p>
            <w:r/>
            <w:r>
              <w:rPr>
                <w:sz w:val="20"/>
              </w:rPr>
              <w:t>0 / 7</w:t>
            </w:r>
          </w:p>
        </w:tc>
        <w:tc>
          <w:tcPr>
            <w:tcW w:type="dxa" w:w="2304"/>
          </w:tcPr>
          <w:p>
            <w:r/>
            <w:r>
              <w:rPr>
                <w:sz w:val="20"/>
              </w:rPr>
              <w:t>must be 0</w:t>
            </w:r>
          </w:p>
        </w:tc>
      </w:tr>
      <w:tr>
        <w:tc>
          <w:tcPr>
            <w:tcW w:type="dxa" w:w="5040"/>
          </w:tcPr>
          <w:p>
            <w:r/>
            <w:r>
              <w:rPr>
                <w:b/>
                <w:sz w:val="20"/>
              </w:rPr>
              <w:t>Policy-citation accuracy</w:t>
            </w:r>
          </w:p>
        </w:tc>
        <w:tc>
          <w:tcPr>
            <w:tcW w:type="dxa" w:w="2304"/>
          </w:tcPr>
          <w:p>
            <w:r/>
            <w:r>
              <w:rPr>
                <w:sz w:val="20"/>
              </w:rPr>
              <w:t>100%</w:t>
            </w:r>
          </w:p>
        </w:tc>
        <w:tc>
          <w:tcPr>
            <w:tcW w:type="dxa" w:w="2304"/>
          </w:tcPr>
          <w:p>
            <w:r/>
            <w:r>
              <w:rPr>
                <w:sz w:val="20"/>
              </w:rPr>
              <w:t>≥ 95%</w:t>
            </w:r>
          </w:p>
        </w:tc>
      </w:tr>
      <w:tr>
        <w:tc>
          <w:tcPr>
            <w:tcW w:type="dxa" w:w="5040"/>
          </w:tcPr>
          <w:p>
            <w:r/>
            <w:r>
              <w:rPr>
                <w:b/>
                <w:sz w:val="20"/>
              </w:rPr>
              <w:t>Precedent-citation accuracy</w:t>
            </w:r>
          </w:p>
        </w:tc>
        <w:tc>
          <w:tcPr>
            <w:tcW w:type="dxa" w:w="2304"/>
          </w:tcPr>
          <w:p>
            <w:r/>
            <w:r>
              <w:rPr>
                <w:sz w:val="20"/>
              </w:rPr>
              <w:t>100%</w:t>
            </w:r>
          </w:p>
        </w:tc>
        <w:tc>
          <w:tcPr>
            <w:tcW w:type="dxa" w:w="2304"/>
          </w:tcPr>
          <w:p>
            <w:r/>
            <w:r>
              <w:rPr>
                <w:sz w:val="20"/>
              </w:rPr>
              <w:t>≥ 80%</w:t>
            </w:r>
          </w:p>
        </w:tc>
      </w:tr>
      <w:tr>
        <w:tc>
          <w:tcPr>
            <w:tcW w:type="dxa" w:w="5040"/>
          </w:tcPr>
          <w:p>
            <w:r/>
            <w:r>
              <w:rPr>
                <w:b/>
                <w:sz w:val="20"/>
              </w:rPr>
              <w:t>Hallucinated references</w:t>
            </w:r>
          </w:p>
        </w:tc>
        <w:tc>
          <w:tcPr>
            <w:tcW w:type="dxa" w:w="2304"/>
          </w:tcPr>
          <w:p>
            <w:r/>
            <w:r>
              <w:rPr>
                <w:sz w:val="20"/>
              </w:rPr>
              <w:t>0</w:t>
            </w:r>
          </w:p>
        </w:tc>
        <w:tc>
          <w:tcPr>
            <w:tcW w:type="dxa" w:w="2304"/>
          </w:tcPr>
          <w:p>
            <w:r/>
            <w:r>
              <w:rPr>
                <w:sz w:val="20"/>
              </w:rPr>
              <w:t>must be 0</w:t>
            </w:r>
          </w:p>
        </w:tc>
      </w:tr>
      <w:tr>
        <w:tc>
          <w:tcPr>
            <w:tcW w:type="dxa" w:w="5040"/>
          </w:tcPr>
          <w:p>
            <w:r/>
            <w:r>
              <w:rPr>
                <w:b/>
                <w:sz w:val="20"/>
              </w:rPr>
              <w:t>Appeal-recommendation agreement (23 cases)</w:t>
            </w:r>
          </w:p>
        </w:tc>
        <w:tc>
          <w:tcPr>
            <w:tcW w:type="dxa" w:w="2304"/>
          </w:tcPr>
          <w:p>
            <w:r/>
            <w:r>
              <w:rPr>
                <w:sz w:val="20"/>
              </w:rPr>
              <w:t>100%</w:t>
            </w:r>
          </w:p>
        </w:tc>
        <w:tc>
          <w:tcPr>
            <w:tcW w:type="dxa" w:w="2304"/>
          </w:tcPr>
          <w:p>
            <w:r/>
            <w:r>
              <w:rPr>
                <w:sz w:val="20"/>
              </w:rPr>
              <w:t>≥ 80%</w:t>
            </w:r>
          </w:p>
        </w:tc>
      </w:tr>
      <w:tr>
        <w:tc>
          <w:tcPr>
            <w:tcW w:type="dxa" w:w="5040"/>
          </w:tcPr>
          <w:p>
            <w:r/>
            <w:r>
              <w:rPr>
                <w:b/>
                <w:sz w:val="20"/>
              </w:rPr>
              <w:t>Safe-abstention rate</w:t>
            </w:r>
          </w:p>
        </w:tc>
        <w:tc>
          <w:tcPr>
            <w:tcW w:type="dxa" w:w="2304"/>
          </w:tcPr>
          <w:p>
            <w:r/>
            <w:r>
              <w:rPr>
                <w:sz w:val="20"/>
              </w:rPr>
              <w:t>4 / 4 (100%)</w:t>
            </w:r>
          </w:p>
        </w:tc>
        <w:tc>
          <w:tcPr>
            <w:tcW w:type="dxa" w:w="2304"/>
          </w:tcPr>
          <w:p>
            <w:r/>
            <w:r>
              <w:rPr>
                <w:sz w:val="20"/>
              </w:rPr>
              <w:t>≥ 80%</w:t>
            </w:r>
          </w:p>
        </w:tc>
      </w:tr>
      <w:tr>
        <w:tc>
          <w:tcPr>
            <w:tcW w:type="dxa" w:w="5040"/>
          </w:tcPr>
          <w:p>
            <w:r/>
            <w:r>
              <w:rPr>
                <w:b/>
                <w:sz w:val="20"/>
              </w:rPr>
              <w:t>Unsafe automations</w:t>
            </w:r>
          </w:p>
        </w:tc>
        <w:tc>
          <w:tcPr>
            <w:tcW w:type="dxa" w:w="2304"/>
          </w:tcPr>
          <w:p>
            <w:r/>
            <w:r>
              <w:rPr>
                <w:sz w:val="20"/>
              </w:rPr>
              <w:t>0</w:t>
            </w:r>
          </w:p>
        </w:tc>
        <w:tc>
          <w:tcPr>
            <w:tcW w:type="dxa" w:w="2304"/>
          </w:tcPr>
          <w:p>
            <w:r/>
            <w:r>
              <w:rPr>
                <w:sz w:val="20"/>
              </w:rPr>
              <w:t>must be 0</w:t>
            </w:r>
          </w:p>
        </w:tc>
      </w:tr>
    </w:tbl>
    <w:p>
      <w:pPr>
        <w:spacing w:after="80"/>
      </w:pPr>
    </w:p>
    <w:p>
      <w:pPr>
        <w:keepNext/>
        <w:spacing w:before="180" w:after="60"/>
      </w:pPr>
      <w:r>
        <w:rPr>
          <w:b/>
          <w:color w:val="6D28D9"/>
          <w:sz w:val="24"/>
        </w:rPr>
        <w:t>Multi-agent vs. one credible generalist — same 24 cases</w:t>
      </w:r>
    </w:p>
    <w:p>
      <w:pPr>
        <w:pStyle w:val="ListBullet"/>
        <w:spacing w:after="60"/>
      </w:pPr>
      <w:r>
        <w:rPr>
          <w:b w:val="0"/>
          <w:i w:val="0"/>
          <w:sz w:val="22"/>
        </w:rPr>
        <w:t>The baseline is one GPT-5.4 generalist given the same inputs and a prompt that explicitly tells it to never auto-submit, never call an unmet mandatory criterion met, and abstain on thin evidence. Its verbatim answers are committed as replay fixtures so CI stays offline.</w:t>
      </w:r>
    </w:p>
    <w:p>
      <w:pPr>
        <w:pStyle w:val="ListBullet"/>
        <w:spacing w:after="60"/>
      </w:pPr>
      <w:r>
        <w:rPr>
          <w:b/>
          <w:i w:val="0"/>
          <w:sz w:val="22"/>
        </w:rPr>
        <w:t>Route agreement with the expert labels: the pipeline 100%, the generalist 62.5%.</w:t>
      </w:r>
    </w:p>
    <w:p>
      <w:pPr>
        <w:pStyle w:val="ListBullet"/>
        <w:spacing w:after="60"/>
      </w:pPr>
      <w:r>
        <w:rPr>
          <w:b/>
          <w:i w:val="0"/>
          <w:sz w:val="22"/>
        </w:rPr>
        <w:t xml:space="preserve">Unsafe automations: the pipeline 0, the generalist 4 </w:t>
      </w:r>
      <w:r>
        <w:rPr>
          <w:b w:val="0"/>
          <w:i w:val="0"/>
          <w:sz w:val="22"/>
        </w:rPr>
        <w:t>— it wanted to submit four cases an expert would send to a human, one with a self-contradicting note.</w:t>
      </w:r>
    </w:p>
    <w:p>
      <w:pPr>
        <w:pStyle w:val="ListBullet"/>
        <w:spacing w:after="60"/>
      </w:pPr>
      <w:r>
        <w:rPr>
          <w:b/>
          <w:i w:val="0"/>
          <w:sz w:val="22"/>
        </w:rPr>
        <w:t>Safe abstention: the pipeline 4 / 4, the generalist 1 / 4.</w:t>
      </w:r>
    </w:p>
    <w:p>
      <w:pPr>
        <w:pStyle w:val="ListBullet"/>
        <w:spacing w:after="60"/>
      </w:pPr>
      <w:r>
        <w:rPr>
          <w:b w:val="0"/>
          <w:i w:val="0"/>
          <w:sz w:val="22"/>
        </w:rPr>
        <w:t>The CI gate fails the build if the pipeline is not measurably safer than the generalist.</w:t>
      </w:r>
    </w:p>
    <w:p>
      <w:pPr>
        <w:pStyle w:val="Heading1"/>
      </w:pPr>
      <w:r>
        <w:t>10 · Deployment, scope &amp; roadmap</w:t>
      </w:r>
    </w:p>
    <w:p>
      <w:pPr>
        <w:keepNext/>
        <w:spacing w:before="180" w:after="60"/>
      </w:pPr>
      <w:r>
        <w:rPr>
          <w:b/>
          <w:color w:val="6D28D9"/>
          <w:sz w:val="24"/>
        </w:rPr>
        <w:t>Deliberate trade-offs for a solo build in the competition window</w:t>
      </w:r>
    </w:p>
    <w:p>
      <w:pPr>
        <w:pStyle w:val="ListBullet"/>
        <w:spacing w:after="60"/>
      </w:pPr>
      <w:r>
        <w:rPr>
          <w:b w:val="0"/>
          <w:i w:val="0"/>
          <w:sz w:val="22"/>
        </w:rPr>
        <w:t>Microsoft Agent Framework for orchestration — a deliberate investment, not a deadline compromise; the reference pattern for the team's next agent projects. Rollback is the tagged v1.0-durable Durable Functions version.</w:t>
      </w:r>
    </w:p>
    <w:p>
      <w:pPr>
        <w:pStyle w:val="ListBullet"/>
        <w:spacing w:after="60"/>
      </w:pPr>
      <w:r>
        <w:rPr>
          <w:b w:val="0"/>
          <w:i w:val="0"/>
          <w:sz w:val="22"/>
        </w:rPr>
        <w:t>Synthetic + public-excerpt data over real payer integration — CMS-0057-F forces the real FHIR APIs into existence on a 2027 timeline; ~20 LLM-generated labelled cases, transcribed public criteria (Bupa CCSD + US Medicare LCDs), synthetic past outcomes.</w:t>
      </w:r>
    </w:p>
    <w:p>
      <w:pPr>
        <w:pStyle w:val="ListBullet"/>
        <w:spacing w:after="60"/>
      </w:pPr>
      <w:r>
        <w:rPr>
          <w:b w:val="0"/>
          <w:i w:val="0"/>
          <w:sz w:val="22"/>
        </w:rPr>
        <w:t>One resource group, references the existing Foundry account — everything deploys into zynara-spike-rg; Consumption (Y1) Linux Function apps; Cosmos serverless; Static Web App.</w:t>
      </w:r>
    </w:p>
    <w:p>
      <w:pPr>
        <w:pStyle w:val="ListBullet"/>
        <w:spacing w:after="60"/>
      </w:pPr>
      <w:r>
        <w:rPr>
          <w:b w:val="0"/>
          <w:i w:val="0"/>
          <w:sz w:val="22"/>
        </w:rPr>
        <w:t>Cosmos DB serverless for operational state, Blob + File Search for the corpus — document shape, single-partition reads, semantic retrieval owned by File Search.</w:t>
      </w:r>
    </w:p>
    <w:p>
      <w:pPr>
        <w:pStyle w:val="ListBullet"/>
        <w:spacing w:after="60"/>
      </w:pPr>
      <w:r>
        <w:rPr>
          <w:b w:val="0"/>
          <w:i w:val="0"/>
          <w:sz w:val="22"/>
        </w:rPr>
        <w:t>Pre-computed demo playback for the scripted 3-minute demo; the live pipeline shown separately on one fresh case.</w:t>
      </w:r>
    </w:p>
    <w:p>
      <w:pPr>
        <w:keepNext/>
        <w:spacing w:before="180" w:after="60"/>
      </w:pPr>
      <w:r>
        <w:rPr>
          <w:b/>
          <w:color w:val="6D28D9"/>
          <w:sz w:val="24"/>
        </w:rPr>
        <w:t>Deliberately not built — production hardening, named so the gap is understood</w:t>
      </w:r>
    </w:p>
    <w:p>
      <w:pPr>
        <w:pStyle w:val="ListBullet"/>
        <w:spacing w:after="60"/>
      </w:pPr>
      <w:r>
        <w:rPr>
          <w:b/>
          <w:i w:val="0"/>
          <w:sz w:val="22"/>
        </w:rPr>
        <w:t>Network isolation</w:t>
      </w:r>
      <w:r>
        <w:rPr>
          <w:b w:val="0"/>
          <w:i w:val="0"/>
          <w:sz w:val="22"/>
        </w:rPr>
        <w:t xml:space="preserve"> — Cosmos, Blob and Foundry behind private endpoints; the Function Apps VNet-integrated; a subnet boundary so the reasoning plane cannot reach the payer plane. The identity boundary is built; the network boundary is the layer on top.</w:t>
      </w:r>
    </w:p>
    <w:p>
      <w:pPr>
        <w:pStyle w:val="ListBullet"/>
        <w:spacing w:after="60"/>
      </w:pPr>
      <w:r>
        <w:rPr>
          <w:b/>
          <w:i w:val="0"/>
          <w:sz w:val="22"/>
        </w:rPr>
        <w:t>AI governance (enforcement)</w:t>
      </w:r>
      <w:r>
        <w:rPr>
          <w:b w:val="0"/>
          <w:i w:val="0"/>
          <w:sz w:val="22"/>
        </w:rPr>
        <w:t xml:space="preserve"> — per-agent Foundry quota and rate limits, a model allow-list, per-tenant spend caps, prompt-shield / jailbreak filtering on agent inputs — enforced at the platform. Cost metering is built (the dashboard cost tab); enforcement is the production layer.</w:t>
      </w:r>
    </w:p>
    <w:p>
      <w:pPr>
        <w:pStyle w:val="ListBullet"/>
        <w:spacing w:after="60"/>
      </w:pPr>
      <w:r>
        <w:rPr>
          <w:b/>
          <w:i w:val="0"/>
          <w:sz w:val="22"/>
        </w:rPr>
        <w:t>CI/CD deployment pipeline</w:t>
      </w:r>
      <w:r>
        <w:rPr>
          <w:b w:val="0"/>
          <w:i w:val="0"/>
          <w:sz w:val="22"/>
        </w:rPr>
        <w:t xml:space="preserve"> — build + test + eval-gate (already in CI) → azd deploy to a staging slot → smoke test → manual approval → production, with infra drift detection.</w:t>
      </w:r>
    </w:p>
    <w:p>
      <w:pPr>
        <w:pStyle w:val="ListBullet"/>
        <w:spacing w:after="60"/>
      </w:pPr>
      <w:r>
        <w:rPr>
          <w:b/>
          <w:i w:val="0"/>
          <w:sz w:val="22"/>
        </w:rPr>
        <w:t>Model / prompt versioning</w:t>
      </w:r>
      <w:r>
        <w:rPr>
          <w:b w:val="0"/>
          <w:i w:val="0"/>
          <w:sz w:val="22"/>
        </w:rPr>
        <w:t xml:space="preserve"> — every agent version and its system prompt pinned against the outcomes it produced; prompt changes through the same PR + eval gate as code.</w:t>
      </w:r>
    </w:p>
    <w:p>
      <w:pPr>
        <w:pStyle w:val="ListBullet"/>
        <w:spacing w:after="60"/>
      </w:pPr>
      <w:r>
        <w:rPr>
          <w:b/>
          <w:i w:val="0"/>
          <w:sz w:val="22"/>
        </w:rPr>
        <w:t>Live quality monitoring</w:t>
      </w:r>
      <w:r>
        <w:rPr>
          <w:b w:val="0"/>
          <w:i w:val="0"/>
          <w:sz w:val="22"/>
        </w:rPr>
        <w:t xml:space="preserve"> — the eval harness run against de-identified live traffic on a schedule, alerting on accuracy regression and drift.</w:t>
      </w:r>
    </w:p>
    <w:p>
      <w:pPr>
        <w:pStyle w:val="ListBullet"/>
        <w:spacing w:after="60"/>
      </w:pPr>
      <w:r>
        <w:rPr>
          <w:b/>
          <w:i w:val="0"/>
          <w:sz w:val="22"/>
        </w:rPr>
        <w:t>Cost management (FinOps)</w:t>
      </w:r>
      <w:r>
        <w:rPr>
          <w:b w:val="0"/>
          <w:i w:val="0"/>
          <w:sz w:val="22"/>
        </w:rPr>
        <w:t xml:space="preserve"> — a per-case and per-tenant running-cost view: tokens and tool calls per agent priced at the negotiated Foundry rate, plus fixed cloud cost, against the manual cost it replaces; with Azure budgets and alerts. Not in scope for this build, but a must for production. Measured today: about 28K tokens and 30-60 s per case on the hosted models.</w:t>
      </w:r>
    </w:p>
    <w:p>
      <w:pPr>
        <w:pStyle w:val="ListBullet"/>
        <w:spacing w:after="60"/>
      </w:pPr>
      <w:r>
        <w:rPr>
          <w:b/>
          <w:i w:val="0"/>
          <w:sz w:val="22"/>
        </w:rPr>
        <w:t>HA / DR</w:t>
      </w:r>
      <w:r>
        <w:rPr>
          <w:b w:val="0"/>
          <w:i w:val="0"/>
          <w:sz w:val="22"/>
        </w:rPr>
        <w:t xml:space="preserve"> — Cosmos multi-region or zone-redundant writes; Blob GRS; a documented RTO / RPO and a tested restore runbook.</w:t>
      </w:r>
    </w:p>
    <w:p>
      <w:pPr>
        <w:pStyle w:val="ListBullet"/>
        <w:spacing w:after="60"/>
      </w:pPr>
      <w:r>
        <w:rPr>
          <w:b/>
          <w:i w:val="0"/>
          <w:sz w:val="22"/>
        </w:rPr>
        <w:t>Secrets &amp; compliance</w:t>
      </w:r>
      <w:r>
        <w:rPr>
          <w:b w:val="0"/>
          <w:i w:val="0"/>
          <w:sz w:val="22"/>
        </w:rPr>
        <w:t xml:space="preserve"> — Key Vault secret rotation, a data-residency guarantee per region, a retention / deletion policy, and a full PHI-handling design (the demo carries none by design).</w:t>
      </w:r>
    </w:p>
    <w:p>
      <w:pPr>
        <w:pStyle w:val="ListBullet"/>
        <w:spacing w:after="60"/>
      </w:pPr>
      <w:r>
        <w:rPr>
          <w:b/>
          <w:i w:val="0"/>
          <w:sz w:val="22"/>
        </w:rPr>
        <w:t>Real payer connectivity</w:t>
      </w:r>
      <w:r>
        <w:rPr>
          <w:b w:val="0"/>
          <w:i w:val="0"/>
          <w:sz w:val="22"/>
        </w:rPr>
        <w:t xml:space="preserve"> — the Submission Adapter's portal-RPA / X12 278 clearinghouse / FHIR Prior-Authorization implementations, plus an eligibility check.</w:t>
      </w:r>
    </w:p>
    <w:p>
      <w:pPr>
        <w:keepNext/>
        <w:spacing w:before="180" w:after="60"/>
      </w:pPr>
      <w:r>
        <w:rPr>
          <w:b/>
          <w:color w:val="6D28D9"/>
          <w:sz w:val="24"/>
        </w:rPr>
        <w:t>Roadmap</w:t>
      </w:r>
    </w:p>
    <w:p>
      <w:pPr>
        <w:pStyle w:val="ListBullet"/>
        <w:spacing w:after="60"/>
      </w:pPr>
      <w:r>
        <w:rPr>
          <w:b w:val="0"/>
          <w:i w:val="0"/>
          <w:sz w:val="22"/>
        </w:rPr>
        <w:t>FHIR R4 bundle intake — v1 takes a simplified request DTO</w:t>
      </w:r>
    </w:p>
    <w:p>
      <w:pPr>
        <w:pStyle w:val="ListBullet"/>
        <w:spacing w:after="60"/>
      </w:pPr>
      <w:r>
        <w:rPr>
          <w:b w:val="0"/>
          <w:i w:val="0"/>
          <w:sz w:val="22"/>
        </w:rPr>
        <w:t>Eligibility / active-coverage check — a separate payer system call</w:t>
      </w:r>
    </w:p>
    <w:p>
      <w:pPr>
        <w:pStyle w:val="ListBullet"/>
        <w:spacing w:after="60"/>
      </w:pPr>
      <w:r>
        <w:rPr>
          <w:b w:val="0"/>
          <w:i w:val="0"/>
          <w:sz w:val="22"/>
        </w:rPr>
        <w:t>Early Warnings — ExpiryMath (expiry date arithmetic) + PolicyDiff (policy version diff) as advisory monitors; interfaces and stubs exist, the feature is unwired</w:t>
      </w:r>
    </w:p>
    <w:p>
      <w:pPr>
        <w:pStyle w:val="ListBullet"/>
        <w:spacing w:after="60"/>
      </w:pPr>
      <w:r>
        <w:rPr>
          <w:b w:val="0"/>
          <w:i w:val="0"/>
          <w:sz w:val="22"/>
        </w:rPr>
        <w:t>Peer-to-peer prep — the clinician's talking points for the call with the insurer's medical director</w:t>
      </w:r>
    </w:p>
    <w:p>
      <w:pPr>
        <w:pStyle w:val="ListBullet"/>
        <w:spacing w:after="60"/>
      </w:pPr>
      <w:r>
        <w:rPr>
          <w:b w:val="0"/>
          <w:i w:val="0"/>
          <w:sz w:val="22"/>
        </w:rPr>
        <w:t>Cost management dashboard — per-case and per-tenant running cost against the manual cost it replaces, with budgets and alerts (not in scope now; required for production)</w:t>
      </w:r>
    </w:p>
    <w:p>
      <w:pPr>
        <w:pStyle w:val="ListBullet"/>
        <w:spacing w:after="60"/>
      </w:pPr>
      <w:r>
        <w:rPr>
          <w:b w:val="0"/>
          <w:i w:val="0"/>
          <w:sz w:val="22"/>
        </w:rPr>
        <w:t>Learning from reviewer edits — the Gate threshold and the draft templates improve from what reviewers actually change</w:t>
      </w:r>
    </w:p>
    <w:p>
      <w:pPr>
        <w:pBdr>
          <w:bottom w:val="single" w:sz="8" w:color="0FA3A0"/>
        </w:pBdr>
      </w:pPr>
    </w:p>
    <w:p>
      <w:pPr>
        <w:spacing w:after="120" w:before="80"/>
        <w:jc w:val="center"/>
      </w:pPr>
      <w:r>
        <w:rPr>
          <w:b w:val="0"/>
          <w:i w:val="0"/>
          <w:color w:val="44555C"/>
          <w:sz w:val="17"/>
        </w:rPr>
        <w:t>Zynara Health (fictional) · Care Approval IQ · Microsoft Agent Framework · Architect Track Submission · Deepak Kumar</w:t>
      </w:r>
    </w:p>
    <w:sectPr w:rsidR="00FC693F" w:rsidRPr="0006063C" w:rsidSect="00034616">
      <w:headerReference w:type="default" r:id="rId9"/>
      <w:footerReference w:type="default" r:id="rId10"/>
      <w:pgSz w:w="12240" w:h="15840"/>
      <w:pgMar w:top="1008" w:right="1224" w:bottom="1008" w:left="1224"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4555C"/>
        <w:sz w:val="16"/>
      </w:rPr>
      <w:t>Zynara Health (fictional) · Care Approval IQ · Microsoft Agent Framework · Architect Track Submission · Deepak Kumar</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center"/>
    </w:pPr>
    <w:r>
      <w:drawing>
        <wp:inline xmlns:a="http://schemas.openxmlformats.org/drawingml/2006/main" xmlns:pic="http://schemas.openxmlformats.org/drawingml/2006/picture">
          <wp:extent cx="6309360" cy="547767"/>
          <wp:docPr id="1" name="Picture 1"/>
          <wp:cNvGraphicFramePr>
            <a:graphicFrameLocks noChangeAspect="1"/>
          </wp:cNvGraphicFramePr>
          <a:graphic>
            <a:graphicData uri="http://schemas.openxmlformats.org/drawingml/2006/picture">
              <pic:pic>
                <pic:nvPicPr>
                  <pic:cNvPr id="0" name="runhead.png"/>
                  <pic:cNvPicPr/>
                </pic:nvPicPr>
                <pic:blipFill>
                  <a:blip r:embed="rId1"/>
                  <a:stretch>
                    <a:fillRect/>
                  </a:stretch>
                </pic:blipFill>
                <pic:spPr>
                  <a:xfrm>
                    <a:off x="0" y="0"/>
                    <a:ext cx="6309360" cy="547767"/>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8" w:lineRule="auto"/>
    </w:pPr>
    <w:rPr>
      <w:rFonts w:ascii="Calibri" w:hAnsi="Calibri"/>
      <w:color w:val="122A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120"/>
      <w:outlineLvl w:val="0"/>
    </w:pPr>
    <w:rPr>
      <w:rFonts w:asciiTheme="majorHAnsi" w:eastAsiaTheme="majorEastAsia" w:hAnsiTheme="majorHAnsi" w:cstheme="majorBidi" w:ascii="Calibri" w:hAnsi="Calibri"/>
      <w:b/>
      <w:bCs/>
      <w:color w:val="1D4ED8"/>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74" w:lineRule="auto"/>
      <w:contextualSpacing/>
    </w:pPr>
    <w:rPr>
      <w:rFonts w:ascii="Calibri" w:hAnsi="Calibri"/>
      <w:color w:val="122A32"/>
      <w:sz w:val="22"/>
    </w:rPr>
  </w:style>
  <w:style w:type="paragraph" w:styleId="ListBullet2">
    <w:name w:val="List Bullet 2"/>
    <w:basedOn w:val="Normal"/>
    <w:uiPriority w:val="99"/>
    <w:unhideWhenUsed/>
    <w:rsid w:val="00326F90"/>
    <w:pPr>
      <w:numPr>
        <w:numId w:val="2"/>
      </w:numPr>
      <w:spacing w:after="60" w:line="274" w:lineRule="auto"/>
      <w:contextualSpacing/>
    </w:pPr>
    <w:rPr>
      <w:rFonts w:ascii="Calibri" w:hAnsi="Calibri"/>
      <w:color w:val="122A32"/>
      <w:sz w:val="22"/>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2.png"/><Relationship Id="rId12"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