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6400800" cy="402717"/>
            <wp:docPr id="1" name="Picture 1"/>
            <wp:cNvGraphicFramePr>
              <a:graphicFrameLocks noChangeAspect="1"/>
            </wp:cNvGraphicFramePr>
            <a:graphic>
              <a:graphicData uri="http://schemas.openxmlformats.org/drawingml/2006/picture">
                <pic:pic>
                  <pic:nvPicPr>
                    <pic:cNvPr id="0" name="masthead.png"/>
                    <pic:cNvPicPr/>
                  </pic:nvPicPr>
                  <pic:blipFill>
                    <a:blip r:embed="rId10"/>
                    <a:stretch>
                      <a:fillRect/>
                    </a:stretch>
                  </pic:blipFill>
                  <pic:spPr>
                    <a:xfrm>
                      <a:off x="0" y="0"/>
                      <a:ext cx="6400800" cy="402717"/>
                    </a:xfrm>
                    <a:prstGeom prst="rect"/>
                  </pic:spPr>
                </pic:pic>
              </a:graphicData>
            </a:graphic>
          </wp:inline>
        </w:drawing>
      </w:r>
    </w:p>
    <w:p>
      <w:pPr>
        <w:spacing w:after="160"/>
      </w:pPr>
      <w:r>
        <w:rPr>
          <w:b w:val="0"/>
          <w:i w:val="0"/>
          <w:sz w:val="21"/>
        </w:rPr>
        <w:t>The whole system in one line: five reasoning agents build and challenge a prior-authorisation case, deterministic code decides, a human authorises, and one adapter talks to the payer — with the payer's own denial history telling us which appeals win.</w:t>
      </w:r>
    </w:p>
    <w:p>
      <w:pPr>
        <w:pStyle w:val="Heading1"/>
      </w:pPr>
      <w:r>
        <w:t>1 · The problem, in one number</w:t>
      </w:r>
    </w:p>
    <w:p>
      <w:pPr>
        <w:spacing w:after="120"/>
      </w:pPr>
      <w:r>
        <w:rPr>
          <w:b/>
          <w:i w:val="0"/>
          <w:sz w:val="22"/>
        </w:rPr>
        <w:t>62% of physicians don't appeal a denied prior-authorisation. They think they'll lose. They're wrong — 80.7% of appeals win.</w:t>
      </w:r>
    </w:p>
    <w:p>
      <w:pPr>
        <w:spacing w:before="80" w:after="160"/>
        <w:jc w:val="center"/>
      </w:pPr>
      <w:r>
        <w:drawing>
          <wp:inline xmlns:a="http://schemas.openxmlformats.org/drawingml/2006/main" xmlns:pic="http://schemas.openxmlformats.org/drawingml/2006/picture">
            <wp:extent cx="6126480" cy="2570058"/>
            <wp:docPr id="2" name="Picture 2"/>
            <wp:cNvGraphicFramePr>
              <a:graphicFrameLocks noChangeAspect="1"/>
            </wp:cNvGraphicFramePr>
            <a:graphic>
              <a:graphicData uri="http://schemas.openxmlformats.org/drawingml/2006/picture">
                <pic:pic>
                  <pic:nvPicPr>
                    <pic:cNvPr id="0" name="fig-appeals-gap.png"/>
                    <pic:cNvPicPr/>
                  </pic:nvPicPr>
                  <pic:blipFill>
                    <a:blip r:embed="rId11"/>
                    <a:stretch>
                      <a:fillRect/>
                    </a:stretch>
                  </pic:blipFill>
                  <pic:spPr>
                    <a:xfrm>
                      <a:off x="0" y="0"/>
                      <a:ext cx="6126480" cy="2570058"/>
                    </a:xfrm>
                    <a:prstGeom prst="rect"/>
                  </pic:spPr>
                </pic:pic>
              </a:graphicData>
            </a:graphic>
          </wp:inline>
        </w:drawing>
      </w:r>
    </w:p>
    <w:p>
      <w:pPr>
        <w:pStyle w:val="ListBullet"/>
        <w:spacing w:after="60"/>
      </w:pPr>
      <w:r>
        <w:rPr>
          <w:b w:val="0"/>
          <w:i w:val="0"/>
        </w:rPr>
        <w:t>Prior authorisation is the single largest automatable cost in US health admin — $687B/yr on administration against $346B on direct patient care.</w:t>
      </w:r>
    </w:p>
    <w:p>
      <w:pPr>
        <w:pStyle w:val="ListBullet"/>
        <w:spacing w:after="60"/>
      </w:pPr>
      <w:r>
        <w:rPr>
          <w:b w:val="0"/>
          <w:i w:val="0"/>
        </w:rPr>
        <w:t xml:space="preserve">Nobody reads the clinical chart against </w:t>
      </w:r>
      <w:r>
        <w:rPr>
          <w:b w:val="0"/>
          <w:i/>
        </w:rPr>
        <w:t>this specific payer's, this specific plan's</w:t>
      </w:r>
      <w:r>
        <w:rPr>
          <w:b w:val="0"/>
          <w:i w:val="0"/>
        </w:rPr>
        <w:t xml:space="preserve"> criteria before the request goes in.</w:t>
      </w:r>
    </w:p>
    <w:p>
      <w:pPr>
        <w:pStyle w:val="ListBullet"/>
        <w:spacing w:after="60"/>
      </w:pPr>
      <w:r>
        <w:rPr>
          <w:b w:val="0"/>
          <w:i w:val="0"/>
        </w:rPr>
        <w:t>Nobody checks the payer's own recorded outcomes to see whether the case wins on appeal.</w:t>
      </w:r>
    </w:p>
    <w:p>
      <w:pPr>
        <w:pStyle w:val="ListBullet"/>
        <w:spacing w:after="60"/>
      </w:pPr>
      <w:r>
        <w:rPr>
          <w:b w:val="0"/>
          <w:i w:val="0"/>
        </w:rPr>
        <w:t>So the clinician gives up, and the winnable-but-un-appealed cases stay as money the insurer keeps by default.</w:t>
      </w:r>
    </w:p>
    <w:p>
      <w:pPr>
        <w:pStyle w:val="Heading1"/>
      </w:pPr>
      <w:r>
        <w:t>2 · The solution</w:t>
      </w:r>
    </w:p>
    <w:p>
      <w:pPr>
        <w:spacing w:before="80" w:after="160"/>
        <w:jc w:val="center"/>
      </w:pPr>
      <w:r>
        <w:drawing>
          <wp:inline xmlns:a="http://schemas.openxmlformats.org/drawingml/2006/main" xmlns:pic="http://schemas.openxmlformats.org/drawingml/2006/picture">
            <wp:extent cx="6126480" cy="2352568"/>
            <wp:docPr id="3" name="Picture 3"/>
            <wp:cNvGraphicFramePr>
              <a:graphicFrameLocks noChangeAspect="1"/>
            </wp:cNvGraphicFramePr>
            <a:graphic>
              <a:graphicData uri="http://schemas.openxmlformats.org/drawingml/2006/picture">
                <pic:pic>
                  <pic:nvPicPr>
                    <pic:cNvPr id="0" name="fig-pipeline-flow.png"/>
                    <pic:cNvPicPr/>
                  </pic:nvPicPr>
                  <pic:blipFill>
                    <a:blip r:embed="rId12"/>
                    <a:stretch>
                      <a:fillRect/>
                    </a:stretch>
                  </pic:blipFill>
                  <pic:spPr>
                    <a:xfrm>
                      <a:off x="0" y="0"/>
                      <a:ext cx="6126480" cy="2352568"/>
                    </a:xfrm>
                    <a:prstGeom prst="rect"/>
                  </pic:spPr>
                </pic:pic>
              </a:graphicData>
            </a:graphic>
          </wp:inline>
        </w:drawing>
      </w:r>
    </w:p>
    <w:p>
      <w:pPr>
        <w:pStyle w:val="ListBullet"/>
        <w:spacing w:after="60"/>
      </w:pPr>
      <w:r>
        <w:rPr>
          <w:b/>
          <w:i w:val="0"/>
        </w:rPr>
        <w:t xml:space="preserve">Build the submission — </w:t>
      </w:r>
      <w:r>
        <w:rPr>
          <w:b w:val="0"/>
          <w:i w:val="0"/>
        </w:rPr>
        <w:t>needs-auth, evidence-gap and claims-extraction map the free-text note onto the numbered criteria, per criterion, with the supporting quote.</w:t>
      </w:r>
    </w:p>
    <w:p>
      <w:pPr>
        <w:pStyle w:val="ListBullet"/>
        <w:spacing w:after="60"/>
      </w:pPr>
      <w:r>
        <w:rPr>
          <w:b/>
          <w:i w:val="0"/>
        </w:rPr>
        <w:t xml:space="preserve">Find the winning argument — </w:t>
      </w:r>
      <w:r>
        <w:rPr>
          <w:b w:val="0"/>
          <w:i w:val="0"/>
        </w:rPr>
        <w:t>precedent-strategist matches the fact pattern against recorded outcomes and drafts the appeal citing the exact clause and the comparable cases.</w:t>
      </w:r>
    </w:p>
    <w:p>
      <w:pPr>
        <w:pStyle w:val="ListBullet"/>
        <w:spacing w:after="60"/>
      </w:pPr>
      <w:r>
        <w:rPr>
          <w:b/>
          <w:i w:val="0"/>
        </w:rPr>
        <w:t xml:space="preserve">Challenge it — </w:t>
      </w:r>
      <w:r>
        <w:rPr>
          <w:b w:val="0"/>
          <w:i w:val="0"/>
        </w:rPr>
        <w:t>critic never builds; it only tries to disprove the recommendation — unsupported claims, non-comparable precedents, over-strong conclusions, hidden contradictions — before a human ever sees it.</w:t>
      </w:r>
    </w:p>
    <w:p>
      <w:pPr>
        <w:pStyle w:val="ListBullet"/>
        <w:spacing w:after="60"/>
      </w:pPr>
      <w:r>
        <w:rPr>
          <w:b/>
          <w:i w:val="0"/>
        </w:rPr>
        <w:t xml:space="preserve">Decide, then authorise — </w:t>
      </w:r>
      <w:r>
        <w:rPr>
          <w:b w:val="0"/>
          <w:i w:val="0"/>
        </w:rPr>
        <w:t>a deterministic Gate (never an agent) routes to AutoSubmit / Strengthen / HumanReview / Abstain, each with its working. The route sets the reviewer's headline and default action; it never decides whether a person is asked. No payer submission happens without an explicit human /respond, and the Submission Adapter is the only path to a payer.</w:t>
      </w:r>
    </w:p>
    <w:p>
      <w:pPr>
        <w:spacing w:after="100"/>
      </w:pPr>
      <w:r>
        <w:rPr>
          <w:b/>
          <w:i w:val="0"/>
        </w:rPr>
        <w:t xml:space="preserve">Why an agent AND an executor per step. </w:t>
      </w:r>
      <w:r>
        <w:rPr>
          <w:b w:val="0"/>
          <w:i w:val="0"/>
        </w:rPr>
        <w:t>The agent does the unstructured reasoning and returns a typed recommendation; the deterministic executor then validates it (catching a criterion id or precedent that isn't on record), normalises it, and commits it to the workflow contract the Gate consumes. The agent proposes in prose; code decides what is true.</w:t>
      </w:r>
    </w:p>
    <w:p>
      <w:pPr>
        <w:pStyle w:val="Heading1"/>
      </w:pPr>
      <w:r>
        <w:t>3 · Built on the four core skills</w:t>
      </w:r>
    </w:p>
    <w:p>
      <w:pPr>
        <w:spacing w:after="120"/>
      </w:pPr>
      <w:r>
        <w:rPr>
          <w:b w:val="0"/>
          <w:i w:val="0"/>
        </w:rPr>
        <w:t>The four skills the course is built around — Build, Monitor, Evaluate, Orchestrate — each maps to one challenge, and each is carried end to end into a system that runs live.</w:t>
      </w:r>
    </w:p>
    <w:p>
      <w:pPr>
        <w:spacing w:before="80" w:after="160"/>
        <w:jc w:val="center"/>
      </w:pPr>
      <w:r>
        <w:drawing>
          <wp:inline xmlns:a="http://schemas.openxmlformats.org/drawingml/2006/main" xmlns:pic="http://schemas.openxmlformats.org/drawingml/2006/picture">
            <wp:extent cx="6126480" cy="2560869"/>
            <wp:docPr id="4" name="Picture 4"/>
            <wp:cNvGraphicFramePr>
              <a:graphicFrameLocks noChangeAspect="1"/>
            </wp:cNvGraphicFramePr>
            <a:graphic>
              <a:graphicData uri="http://schemas.openxmlformats.org/drawingml/2006/picture">
                <pic:pic>
                  <pic:nvPicPr>
                    <pic:cNvPr id="0" name="fig-four-skills.png"/>
                    <pic:cNvPicPr/>
                  </pic:nvPicPr>
                  <pic:blipFill>
                    <a:blip r:embed="rId13"/>
                    <a:stretch>
                      <a:fillRect/>
                    </a:stretch>
                  </pic:blipFill>
                  <pic:spPr>
                    <a:xfrm>
                      <a:off x="0" y="0"/>
                      <a:ext cx="6126480" cy="2560869"/>
                    </a:xfrm>
                    <a:prstGeom prst="rect"/>
                  </pic:spPr>
                </pic:pic>
              </a:graphicData>
            </a:graphic>
          </wp:inline>
        </w:drawing>
      </w:r>
    </w:p>
    <w:p>
      <w:pPr>
        <w:spacing w:after="80"/>
      </w:pPr>
      <w:r>
        <w:rPr>
          <w:b/>
          <w:i w:val="0"/>
        </w:rPr>
        <w:t xml:space="preserve">The evaluation, in numbers. </w:t>
      </w:r>
      <w:r>
        <w:rPr>
          <w:b w:val="0"/>
          <w:i w:val="0"/>
        </w:rPr>
        <w:t>Zynara.Eval replays 20 labelled synthetic cases (ground truth per criterion, expected route, expected citations) through the pipeline with deterministic reasoning stubs, so CI is repeatable. It reports route agreement and safety-shaped metrics — not a headline accuracy figure, which 20 cases could not support. The gate tests fail the build on any regression. Current run:</w:t>
      </w:r>
    </w:p>
    <w:tbl>
      <w:tblPr>
        <w:tblStyle w:val="TableGrid"/>
        <w:tblW w:type="auto" w:w="0"/>
        <w:jc w:val="center"/>
        <w:tblLook w:firstColumn="1" w:firstRow="1" w:lastColumn="0" w:lastRow="0" w:noHBand="0" w:noVBand="1" w:val="04A0"/>
      </w:tblPr>
      <w:tblGrid>
        <w:gridCol w:w="3312"/>
        <w:gridCol w:w="3312"/>
        <w:gridCol w:w="3312"/>
      </w:tblGrid>
      <w:tr>
        <w:tc>
          <w:tcPr>
            <w:tcW w:type="dxa" w:w="4896"/>
            <w:shd w:val="clear" w:fill="E3EBFC"/>
          </w:tcPr>
          <w:p>
            <w:r/>
            <w:r>
              <w:rPr>
                <w:b/>
                <w:color w:val="122A32"/>
                <w:sz w:val="17"/>
              </w:rPr>
              <w:t>Metric</w:t>
            </w:r>
          </w:p>
        </w:tc>
        <w:tc>
          <w:tcPr>
            <w:tcW w:type="dxa" w:w="2304"/>
            <w:shd w:val="clear" w:fill="E3EBFC"/>
          </w:tcPr>
          <w:p>
            <w:r/>
            <w:r>
              <w:rPr>
                <w:b/>
                <w:color w:val="122A32"/>
                <w:sz w:val="17"/>
              </w:rPr>
              <w:t>Result</w:t>
            </w:r>
          </w:p>
        </w:tc>
        <w:tc>
          <w:tcPr>
            <w:tcW w:type="dxa" w:w="2448"/>
            <w:shd w:val="clear" w:fill="E3EBFC"/>
          </w:tcPr>
          <w:p>
            <w:r/>
            <w:r>
              <w:rPr>
                <w:b/>
                <w:color w:val="122A32"/>
                <w:sz w:val="17"/>
              </w:rPr>
              <w:t>CI gate</w:t>
            </w:r>
          </w:p>
        </w:tc>
      </w:tr>
      <w:tr>
        <w:tc>
          <w:tcPr>
            <w:tcW w:type="dxa" w:w="4896"/>
          </w:tcPr>
          <w:p>
            <w:pPr>
              <w:spacing w:after="40"/>
            </w:pPr>
            <w:r/>
            <w:r>
              <w:rPr>
                <w:b w:val="0"/>
                <w:sz w:val="17"/>
              </w:rPr>
              <w:t>Evidence extraction — precision / recall</w:t>
            </w:r>
          </w:p>
        </w:tc>
        <w:tc>
          <w:tcPr>
            <w:tcW w:type="dxa" w:w="2304"/>
          </w:tcPr>
          <w:p>
            <w:pPr>
              <w:spacing w:after="40"/>
            </w:pPr>
            <w:r/>
            <w:r>
              <w:rPr>
                <w:b w:val="0"/>
                <w:sz w:val="17"/>
              </w:rPr>
              <w:t>100% / 100%</w:t>
            </w:r>
          </w:p>
        </w:tc>
        <w:tc>
          <w:tcPr>
            <w:tcW w:type="dxa" w:w="2448"/>
          </w:tcPr>
          <w:p>
            <w:pPr>
              <w:spacing w:after="40"/>
            </w:pPr>
            <w:r/>
            <w:r>
              <w:rPr>
                <w:b w:val="0"/>
                <w:sz w:val="17"/>
              </w:rPr>
              <w:t>—</w:t>
            </w:r>
          </w:p>
        </w:tc>
      </w:tr>
      <w:tr>
        <w:tc>
          <w:tcPr>
            <w:tcW w:type="dxa" w:w="4896"/>
          </w:tcPr>
          <w:p>
            <w:pPr>
              <w:spacing w:after="40"/>
            </w:pPr>
            <w:r/>
            <w:r>
              <w:rPr>
                <w:b w:val="0"/>
                <w:sz w:val="17"/>
              </w:rPr>
              <w:t>Mandatory-criterion false-negatives</w:t>
            </w:r>
          </w:p>
        </w:tc>
        <w:tc>
          <w:tcPr>
            <w:tcW w:type="dxa" w:w="2304"/>
          </w:tcPr>
          <w:p>
            <w:pPr>
              <w:spacing w:after="40"/>
            </w:pPr>
            <w:r/>
            <w:r>
              <w:rPr>
                <w:b w:val="0"/>
                <w:sz w:val="17"/>
              </w:rPr>
              <w:t>0 / 3</w:t>
            </w:r>
          </w:p>
        </w:tc>
        <w:tc>
          <w:tcPr>
            <w:tcW w:type="dxa" w:w="2448"/>
          </w:tcPr>
          <w:p>
            <w:pPr>
              <w:spacing w:after="40"/>
            </w:pPr>
            <w:r/>
            <w:r>
              <w:rPr>
                <w:b w:val="0"/>
                <w:sz w:val="17"/>
              </w:rPr>
              <w:t>must be 0</w:t>
            </w:r>
          </w:p>
        </w:tc>
      </w:tr>
      <w:tr>
        <w:tc>
          <w:tcPr>
            <w:tcW w:type="dxa" w:w="4896"/>
          </w:tcPr>
          <w:p>
            <w:pPr>
              <w:spacing w:after="40"/>
            </w:pPr>
            <w:r/>
            <w:r>
              <w:rPr>
                <w:b w:val="0"/>
                <w:sz w:val="17"/>
              </w:rPr>
              <w:t>Policy-citation accuracy</w:t>
            </w:r>
          </w:p>
        </w:tc>
        <w:tc>
          <w:tcPr>
            <w:tcW w:type="dxa" w:w="2304"/>
          </w:tcPr>
          <w:p>
            <w:pPr>
              <w:spacing w:after="40"/>
            </w:pPr>
            <w:r/>
            <w:r>
              <w:rPr>
                <w:b w:val="0"/>
                <w:sz w:val="17"/>
              </w:rPr>
              <w:t>100%</w:t>
            </w:r>
          </w:p>
        </w:tc>
        <w:tc>
          <w:tcPr>
            <w:tcW w:type="dxa" w:w="2448"/>
          </w:tcPr>
          <w:p>
            <w:pPr>
              <w:spacing w:after="40"/>
            </w:pPr>
            <w:r/>
            <w:r>
              <w:rPr>
                <w:b w:val="0"/>
                <w:sz w:val="17"/>
              </w:rPr>
              <w:t>≥ 95%</w:t>
            </w:r>
          </w:p>
        </w:tc>
      </w:tr>
      <w:tr>
        <w:tc>
          <w:tcPr>
            <w:tcW w:type="dxa" w:w="4896"/>
          </w:tcPr>
          <w:p>
            <w:pPr>
              <w:spacing w:after="40"/>
            </w:pPr>
            <w:r/>
            <w:r>
              <w:rPr>
                <w:b w:val="0"/>
                <w:sz w:val="17"/>
              </w:rPr>
              <w:t>Precedent-citation accuracy</w:t>
            </w:r>
          </w:p>
        </w:tc>
        <w:tc>
          <w:tcPr>
            <w:tcW w:type="dxa" w:w="2304"/>
          </w:tcPr>
          <w:p>
            <w:pPr>
              <w:spacing w:after="40"/>
            </w:pPr>
            <w:r/>
            <w:r>
              <w:rPr>
                <w:b w:val="0"/>
                <w:sz w:val="17"/>
              </w:rPr>
              <w:t>100%</w:t>
            </w:r>
          </w:p>
        </w:tc>
        <w:tc>
          <w:tcPr>
            <w:tcW w:type="dxa" w:w="2448"/>
          </w:tcPr>
          <w:p>
            <w:pPr>
              <w:spacing w:after="40"/>
            </w:pPr>
            <w:r/>
            <w:r>
              <w:rPr>
                <w:b w:val="0"/>
                <w:sz w:val="17"/>
              </w:rPr>
              <w:t>≥ 80%</w:t>
            </w:r>
          </w:p>
        </w:tc>
      </w:tr>
      <w:tr>
        <w:tc>
          <w:tcPr>
            <w:tcW w:type="dxa" w:w="4896"/>
          </w:tcPr>
          <w:p>
            <w:pPr>
              <w:spacing w:after="40"/>
            </w:pPr>
            <w:r/>
            <w:r>
              <w:rPr>
                <w:b w:val="0"/>
                <w:sz w:val="17"/>
              </w:rPr>
              <w:t>Hallucinated references</w:t>
            </w:r>
          </w:p>
        </w:tc>
        <w:tc>
          <w:tcPr>
            <w:tcW w:type="dxa" w:w="2304"/>
          </w:tcPr>
          <w:p>
            <w:pPr>
              <w:spacing w:after="40"/>
            </w:pPr>
            <w:r/>
            <w:r>
              <w:rPr>
                <w:b w:val="0"/>
                <w:sz w:val="17"/>
              </w:rPr>
              <w:t>0</w:t>
            </w:r>
          </w:p>
        </w:tc>
        <w:tc>
          <w:tcPr>
            <w:tcW w:type="dxa" w:w="2448"/>
          </w:tcPr>
          <w:p>
            <w:pPr>
              <w:spacing w:after="40"/>
            </w:pPr>
            <w:r/>
            <w:r>
              <w:rPr>
                <w:b w:val="0"/>
                <w:sz w:val="17"/>
              </w:rPr>
              <w:t>must be 0</w:t>
            </w:r>
          </w:p>
        </w:tc>
      </w:tr>
      <w:tr>
        <w:tc>
          <w:tcPr>
            <w:tcW w:type="dxa" w:w="4896"/>
          </w:tcPr>
          <w:p>
            <w:pPr>
              <w:spacing w:after="40"/>
            </w:pPr>
            <w:r/>
            <w:r>
              <w:rPr>
                <w:b w:val="0"/>
                <w:sz w:val="17"/>
              </w:rPr>
              <w:t>Appeal-recommendation agreement (19 cases)</w:t>
            </w:r>
          </w:p>
        </w:tc>
        <w:tc>
          <w:tcPr>
            <w:tcW w:type="dxa" w:w="2304"/>
          </w:tcPr>
          <w:p>
            <w:pPr>
              <w:spacing w:after="40"/>
            </w:pPr>
            <w:r/>
            <w:r>
              <w:rPr>
                <w:b w:val="0"/>
                <w:sz w:val="17"/>
              </w:rPr>
              <w:t>100%</w:t>
            </w:r>
          </w:p>
        </w:tc>
        <w:tc>
          <w:tcPr>
            <w:tcW w:type="dxa" w:w="2448"/>
          </w:tcPr>
          <w:p>
            <w:pPr>
              <w:spacing w:after="40"/>
            </w:pPr>
            <w:r/>
            <w:r>
              <w:rPr>
                <w:b w:val="0"/>
                <w:sz w:val="17"/>
              </w:rPr>
              <w:t>≥ 80%</w:t>
            </w:r>
          </w:p>
        </w:tc>
      </w:tr>
      <w:tr>
        <w:tc>
          <w:tcPr>
            <w:tcW w:type="dxa" w:w="4896"/>
          </w:tcPr>
          <w:p>
            <w:pPr>
              <w:spacing w:after="40"/>
            </w:pPr>
            <w:r/>
            <w:r>
              <w:rPr>
                <w:b w:val="0"/>
                <w:sz w:val="17"/>
              </w:rPr>
              <w:t>Safe-abstention rate</w:t>
            </w:r>
          </w:p>
        </w:tc>
        <w:tc>
          <w:tcPr>
            <w:tcW w:type="dxa" w:w="2304"/>
          </w:tcPr>
          <w:p>
            <w:pPr>
              <w:spacing w:after="40"/>
            </w:pPr>
            <w:r/>
            <w:r>
              <w:rPr>
                <w:b w:val="0"/>
                <w:sz w:val="17"/>
              </w:rPr>
              <w:t>2 / 2 (100%)</w:t>
            </w:r>
          </w:p>
        </w:tc>
        <w:tc>
          <w:tcPr>
            <w:tcW w:type="dxa" w:w="2448"/>
          </w:tcPr>
          <w:p>
            <w:pPr>
              <w:spacing w:after="40"/>
            </w:pPr>
            <w:r/>
            <w:r>
              <w:rPr>
                <w:b w:val="0"/>
                <w:sz w:val="17"/>
              </w:rPr>
              <w:t>≥ 80%</w:t>
            </w:r>
          </w:p>
        </w:tc>
      </w:tr>
      <w:tr>
        <w:tc>
          <w:tcPr>
            <w:tcW w:type="dxa" w:w="4896"/>
          </w:tcPr>
          <w:p>
            <w:pPr>
              <w:spacing w:after="40"/>
            </w:pPr>
            <w:r/>
            <w:r>
              <w:rPr>
                <w:b w:val="0"/>
                <w:sz w:val="17"/>
              </w:rPr>
              <w:t>Unsafe automations</w:t>
            </w:r>
          </w:p>
        </w:tc>
        <w:tc>
          <w:tcPr>
            <w:tcW w:type="dxa" w:w="2304"/>
          </w:tcPr>
          <w:p>
            <w:pPr>
              <w:spacing w:after="40"/>
            </w:pPr>
            <w:r/>
            <w:r>
              <w:rPr>
                <w:b w:val="0"/>
                <w:sz w:val="17"/>
              </w:rPr>
              <w:t>0</w:t>
            </w:r>
          </w:p>
        </w:tc>
        <w:tc>
          <w:tcPr>
            <w:tcW w:type="dxa" w:w="2448"/>
          </w:tcPr>
          <w:p>
            <w:pPr>
              <w:spacing w:after="40"/>
            </w:pPr>
            <w:r/>
            <w:r>
              <w:rPr>
                <w:b w:val="0"/>
                <w:sz w:val="17"/>
              </w:rPr>
              <w:t>must be 0</w:t>
            </w:r>
          </w:p>
        </w:tc>
      </w:tr>
    </w:tbl>
    <w:p>
      <w:pPr>
        <w:spacing w:after="40"/>
      </w:pPr>
    </w:p>
    <w:p>
      <w:pPr>
        <w:spacing w:after="100"/>
      </w:pPr>
      <w:r>
        <w:rPr>
          <w:b/>
          <w:i w:val="0"/>
        </w:rPr>
        <w:t xml:space="preserve">Multi-agent vs. one generalist (same 20 cases). </w:t>
      </w:r>
      <w:r>
        <w:rPr>
          <w:b w:val="0"/>
          <w:i w:val="0"/>
        </w:rPr>
        <w:t>A deterministic single-prompt baseline scores its cases the naive way and auto-submits when every keyword hits — no notion of a mandatory criterion, no contradiction check, never abstains. Result: route agreement — the pipeline 100%, the baseline 55%. Unsafe automations — the pipeline 0, the baseline 5 (it would have auto-submitted five cases with a contradiction in the note, an over-limit value, or only partial evidence). The gate test fails if the pipeline is not measurably safer than the baseline.</w:t>
      </w:r>
    </w:p>
    <w:p>
      <w:pPr>
        <w:pStyle w:val="Heading1"/>
      </w:pPr>
      <w:r>
        <w:t>4 · The business value</w:t>
      </w:r>
    </w:p>
    <w:p>
      <w:pPr>
        <w:spacing w:after="120"/>
      </w:pPr>
      <w:r>
        <w:rPr>
          <w:b w:val="0"/>
          <w:i w:val="0"/>
        </w:rPr>
        <w:t>Impact as a number the payer can check — not a marketing figure.</w:t>
      </w:r>
    </w:p>
    <w:p>
      <w:pPr>
        <w:spacing w:before="80" w:after="160"/>
        <w:jc w:val="center"/>
      </w:pPr>
      <w:r>
        <w:drawing>
          <wp:inline xmlns:a="http://schemas.openxmlformats.org/drawingml/2006/main" xmlns:pic="http://schemas.openxmlformats.org/drawingml/2006/picture">
            <wp:extent cx="6126480" cy="2187153"/>
            <wp:docPr id="5" name="Picture 5"/>
            <wp:cNvGraphicFramePr>
              <a:graphicFrameLocks noChangeAspect="1"/>
            </wp:cNvGraphicFramePr>
            <a:graphic>
              <a:graphicData uri="http://schemas.openxmlformats.org/drawingml/2006/picture">
                <pic:pic>
                  <pic:nvPicPr>
                    <pic:cNvPr id="0" name="fig-recoverable-value.png"/>
                    <pic:cNvPicPr/>
                  </pic:nvPicPr>
                  <pic:blipFill>
                    <a:blip r:embed="rId14"/>
                    <a:stretch>
                      <a:fillRect/>
                    </a:stretch>
                  </pic:blipFill>
                  <pic:spPr>
                    <a:xfrm>
                      <a:off x="0" y="0"/>
                      <a:ext cx="6126480" cy="2187153"/>
                    </a:xfrm>
                    <a:prstGeom prst="rect"/>
                  </pic:spPr>
                </pic:pic>
              </a:graphicData>
            </a:graphic>
          </wp:inline>
        </w:drawing>
      </w:r>
    </w:p>
    <w:p>
      <w:pPr>
        <w:spacing w:after="100"/>
      </w:pPr>
      <w:r>
        <w:rPr>
          <w:b/>
          <w:i w:val="0"/>
        </w:rPr>
        <w:t xml:space="preserve">Estimated Recoverable Value </w:t>
      </w:r>
      <w:r>
        <w:rPr>
          <w:b w:val="0"/>
          <w:i w:val="0"/>
        </w:rPr>
        <w:t>is built (RecoveryEstimator + GET /api/recovery + its own dashboard tab): the headline number, the four inputs, the arithmetic spelled out, and a confidence level set by the sample size. No invented improvement percentage.</w:t>
      </w:r>
    </w:p>
    <w:p>
      <w:pPr>
        <w:pStyle w:val="Heading1"/>
      </w:pPr>
      <w:r>
        <w:t>5 · Architecture</w:t>
      </w:r>
    </w:p>
    <w:p>
      <w:pPr>
        <w:spacing w:before="80" w:after="40"/>
        <w:jc w:val="center"/>
      </w:pPr>
      <w:r>
        <w:drawing>
          <wp:inline xmlns:a="http://schemas.openxmlformats.org/drawingml/2006/main" xmlns:pic="http://schemas.openxmlformats.org/drawingml/2006/picture">
            <wp:extent cx="6309360" cy="3455588"/>
            <wp:docPr id="6" name="Picture 6"/>
            <wp:cNvGraphicFramePr>
              <a:graphicFrameLocks noChangeAspect="1"/>
            </wp:cNvGraphicFramePr>
            <a:graphic>
              <a:graphicData uri="http://schemas.openxmlformats.org/drawingml/2006/picture">
                <pic:pic>
                  <pic:nvPicPr>
                    <pic:cNvPr id="0" name="Care-Approval-IQ-Architecture_DesignV2.png"/>
                    <pic:cNvPicPr/>
                  </pic:nvPicPr>
                  <pic:blipFill>
                    <a:blip r:embed="rId15"/>
                    <a:stretch>
                      <a:fillRect/>
                    </a:stretch>
                  </pic:blipFill>
                  <pic:spPr>
                    <a:xfrm>
                      <a:off x="0" y="0"/>
                      <a:ext cx="6309360" cy="3455588"/>
                    </a:xfrm>
                    <a:prstGeom prst="rect"/>
                  </pic:spPr>
                </pic:pic>
              </a:graphicData>
            </a:graphic>
          </wp:inline>
        </w:drawing>
      </w:r>
    </w:p>
    <w:p>
      <w:pPr>
        <w:spacing w:after="160"/>
        <w:jc w:val="center"/>
      </w:pPr>
      <w:r>
        <w:rPr>
          <w:b w:val="0"/>
          <w:i/>
          <w:color w:val="44555C"/>
          <w:sz w:val="16"/>
        </w:rPr>
        <w:t>Care-Approval-IQ-Architecture_DesignV2.svg is the authoritative source.</w:t>
      </w:r>
    </w:p>
    <w:tbl>
      <w:tblPr>
        <w:tblStyle w:val="TableGrid"/>
        <w:tblW w:type="auto" w:w="0"/>
        <w:jc w:val="center"/>
        <w:tblLook w:firstColumn="1" w:firstRow="1" w:lastColumn="0" w:lastRow="0" w:noHBand="0" w:noVBand="1" w:val="04A0"/>
      </w:tblPr>
      <w:tblGrid>
        <w:gridCol w:w="3312"/>
        <w:gridCol w:w="3312"/>
        <w:gridCol w:w="3312"/>
      </w:tblGrid>
      <w:tr>
        <w:tc>
          <w:tcPr>
            <w:tcW w:type="dxa" w:w="432"/>
            <w:shd w:val="clear" w:fill="E3EBFC"/>
          </w:tcPr>
          <w:p>
            <w:r/>
            <w:r>
              <w:rPr>
                <w:b/>
                <w:color w:val="122A32"/>
                <w:sz w:val="17"/>
              </w:rPr>
              <w:t>#</w:t>
            </w:r>
          </w:p>
        </w:tc>
        <w:tc>
          <w:tcPr>
            <w:tcW w:type="dxa" w:w="2736"/>
            <w:shd w:val="clear" w:fill="E3EBFC"/>
          </w:tcPr>
          <w:p>
            <w:r/>
            <w:r>
              <w:rPr>
                <w:b/>
                <w:color w:val="122A32"/>
                <w:sz w:val="17"/>
              </w:rPr>
              <w:t>Layer</w:t>
            </w:r>
          </w:p>
        </w:tc>
        <w:tc>
          <w:tcPr>
            <w:tcW w:type="dxa" w:w="6480"/>
            <w:shd w:val="clear" w:fill="E3EBFC"/>
          </w:tcPr>
          <w:p>
            <w:r/>
            <w:r>
              <w:rPr>
                <w:b/>
                <w:color w:val="122A32"/>
                <w:sz w:val="17"/>
              </w:rPr>
              <w:t>Components</w:t>
            </w:r>
          </w:p>
        </w:tc>
      </w:tr>
      <w:tr>
        <w:tc>
          <w:tcPr>
            <w:tcW w:type="dxa" w:w="432"/>
          </w:tcPr>
          <w:p>
            <w:pPr>
              <w:spacing w:after="40"/>
            </w:pPr>
            <w:r/>
            <w:r>
              <w:rPr>
                <w:b w:val="0"/>
                <w:sz w:val="17"/>
              </w:rPr>
              <w:t>1</w:t>
            </w:r>
          </w:p>
        </w:tc>
        <w:tc>
          <w:tcPr>
            <w:tcW w:type="dxa" w:w="2736"/>
          </w:tcPr>
          <w:p>
            <w:pPr>
              <w:spacing w:after="40"/>
            </w:pPr>
            <w:r/>
            <w:r>
              <w:rPr>
                <w:b/>
                <w:sz w:val="17"/>
              </w:rPr>
              <w:t>Intake</w:t>
            </w:r>
          </w:p>
        </w:tc>
        <w:tc>
          <w:tcPr>
            <w:tcW w:type="dxa" w:w="6480"/>
          </w:tcPr>
          <w:p>
            <w:pPr>
              <w:spacing w:after="40"/>
            </w:pPr>
            <w:r/>
            <w:r>
              <w:rPr>
                <w:b w:val="0"/>
                <w:sz w:val="17"/>
              </w:rPr>
              <w:t>POST /api/cases on the API Proxy → starts a workflow run (runId = request id).</w:t>
            </w:r>
          </w:p>
        </w:tc>
      </w:tr>
      <w:tr>
        <w:tc>
          <w:tcPr>
            <w:tcW w:type="dxa" w:w="432"/>
          </w:tcPr>
          <w:p>
            <w:pPr>
              <w:spacing w:after="40"/>
            </w:pPr>
            <w:r/>
            <w:r>
              <w:rPr>
                <w:b w:val="0"/>
                <w:sz w:val="17"/>
              </w:rPr>
              <w:t>2</w:t>
            </w:r>
          </w:p>
        </w:tc>
        <w:tc>
          <w:tcPr>
            <w:tcW w:type="dxa" w:w="2736"/>
          </w:tcPr>
          <w:p>
            <w:pPr>
              <w:spacing w:after="40"/>
            </w:pPr>
            <w:r/>
            <w:r>
              <w:rPr>
                <w:b/>
                <w:sz w:val="17"/>
              </w:rPr>
              <w:t>Compute · Orchestration</w:t>
            </w:r>
            <w:r>
              <w:rPr>
                <w:b w:val="0"/>
                <w:sz w:val="17"/>
              </w:rPr>
              <w:t xml:space="preserve"> — Microsoft Agent Framework</w:t>
            </w:r>
          </w:p>
        </w:tc>
        <w:tc>
          <w:tcPr>
            <w:tcW w:type="dxa" w:w="6480"/>
          </w:tcPr>
          <w:p>
            <w:pPr>
              <w:spacing w:after="40"/>
            </w:pPr>
            <w:r/>
            <w:r>
              <w:rPr>
                <w:b w:val="0"/>
                <w:sz w:val="17"/>
              </w:rPr>
              <w:t>CareApprovalWorkflow, a typed executor graph hosted on Zynara.WorkflowHost (Azure Functions + ConfigureDurableWorkflows). Executors run as Durable Task activities — checkpointed, retried, replay-safe. The orchestrator owns the Gate; every send pauses at a MAF RequestPort until a human answers /respond.</w:t>
            </w:r>
          </w:p>
        </w:tc>
      </w:tr>
      <w:tr>
        <w:tc>
          <w:tcPr>
            <w:tcW w:type="dxa" w:w="432"/>
          </w:tcPr>
          <w:p>
            <w:pPr>
              <w:spacing w:after="40"/>
            </w:pPr>
            <w:r/>
            <w:r>
              <w:rPr>
                <w:b w:val="0"/>
                <w:sz w:val="17"/>
              </w:rPr>
              <w:t>3</w:t>
            </w:r>
          </w:p>
        </w:tc>
        <w:tc>
          <w:tcPr>
            <w:tcW w:type="dxa" w:w="2736"/>
          </w:tcPr>
          <w:p>
            <w:pPr>
              <w:spacing w:after="40"/>
            </w:pPr>
            <w:r/>
            <w:r>
              <w:rPr>
                <w:b/>
                <w:sz w:val="17"/>
              </w:rPr>
              <w:t>AI Foundry · Agent Service</w:t>
            </w:r>
          </w:p>
        </w:tc>
        <w:tc>
          <w:tcPr>
            <w:tcW w:type="dxa" w:w="6480"/>
          </w:tcPr>
          <w:p>
            <w:pPr>
              <w:spacing w:after="40"/>
            </w:pPr>
            <w:r/>
            <w:r>
              <w:rPr>
                <w:b w:val="0"/>
                <w:sz w:val="17"/>
              </w:rPr>
              <w:t>needs-auth · evidence-gap · claims-extraction · precedent-strategist · critic — bound as MAF AIAgents to the existing server-side Foundry agents (bind-to-existing, never re-create).</w:t>
            </w:r>
          </w:p>
        </w:tc>
      </w:tr>
      <w:tr>
        <w:tc>
          <w:tcPr>
            <w:tcW w:type="dxa" w:w="432"/>
          </w:tcPr>
          <w:p>
            <w:pPr>
              <w:spacing w:after="40"/>
            </w:pPr>
            <w:r/>
            <w:r>
              <w:rPr>
                <w:b w:val="0"/>
                <w:sz w:val="17"/>
              </w:rPr>
              <w:t>4</w:t>
            </w:r>
          </w:p>
        </w:tc>
        <w:tc>
          <w:tcPr>
            <w:tcW w:type="dxa" w:w="2736"/>
          </w:tcPr>
          <w:p>
            <w:pPr>
              <w:spacing w:after="40"/>
            </w:pPr>
            <w:r/>
            <w:r>
              <w:rPr>
                <w:b/>
                <w:sz w:val="17"/>
              </w:rPr>
              <w:t>Data</w:t>
            </w:r>
          </w:p>
        </w:tc>
        <w:tc>
          <w:tcPr>
            <w:tcW w:type="dxa" w:w="6480"/>
          </w:tcPr>
          <w:p>
            <w:pPr>
              <w:spacing w:after="40"/>
            </w:pPr>
            <w:r/>
            <w:r>
              <w:rPr>
                <w:b w:val="0"/>
                <w:sz w:val="17"/>
              </w:rPr>
              <w:t>Submission Adapter (Azure Function · the only outbound path) → Azure Cosmos DB serverless (cases · submissions · auths · denials · agentCalls, + precedents / policies metadata) → Azure Blob Storage (policy docs · denial PDFs · precedent narratives) → Foundry File Search (one vector index).</w:t>
            </w:r>
          </w:p>
        </w:tc>
      </w:tr>
      <w:tr>
        <w:tc>
          <w:tcPr>
            <w:tcW w:type="dxa" w:w="432"/>
          </w:tcPr>
          <w:p>
            <w:pPr>
              <w:spacing w:after="40"/>
            </w:pPr>
            <w:r/>
            <w:r>
              <w:rPr>
                <w:b w:val="0"/>
                <w:sz w:val="17"/>
              </w:rPr>
              <w:t>5</w:t>
            </w:r>
          </w:p>
        </w:tc>
        <w:tc>
          <w:tcPr>
            <w:tcW w:type="dxa" w:w="2736"/>
          </w:tcPr>
          <w:p>
            <w:pPr>
              <w:spacing w:after="40"/>
            </w:pPr>
            <w:r/>
            <w:r>
              <w:rPr>
                <w:b/>
                <w:sz w:val="17"/>
              </w:rPr>
              <w:t>Experience</w:t>
            </w:r>
          </w:p>
        </w:tc>
        <w:tc>
          <w:tcPr>
            <w:tcW w:type="dxa" w:w="6480"/>
          </w:tcPr>
          <w:p>
            <w:pPr>
              <w:spacing w:after="40"/>
            </w:pPr>
            <w:r/>
            <w:r>
              <w:rPr>
                <w:b w:val="0"/>
                <w:sz w:val="17"/>
              </w:rPr>
              <w:t>Reviewer (human) → Dashboard (Static Web App + linked backend): review queue · approve/reject (routed to the workflow RequestPort) · recovery &amp; cost, with a UK ⇄ US header control → API Proxy (read models + relays /run + /respond/{runId}).</w:t>
            </w:r>
          </w:p>
        </w:tc>
      </w:tr>
    </w:tbl>
    <w:p>
      <w:pPr>
        <w:spacing w:after="40"/>
      </w:pPr>
    </w:p>
    <w:p>
      <w:pPr>
        <w:spacing w:after="100"/>
      </w:pPr>
      <w:r>
        <w:rPr>
          <w:b/>
          <w:i w:val="0"/>
        </w:rPr>
        <w:t xml:space="preserve">Cross-cutting: </w:t>
      </w:r>
      <w:r>
        <w:rPr>
          <w:b w:val="0"/>
          <w:i w:val="0"/>
        </w:rPr>
        <w:t>managed identity everywhere (the reasoning identity holds no payer secret; the submission identity has no model access); Key Vault for the payer credential and the two unavoidable strings; App Insights via OpenTelemetry; the Zynara.Eval CI gate. Production hardening — private networking, an AI-governance enforcement layer, a CI/CD deploy pipeline, HA/DR, PHI handling — is named in §7, not built.</w:t>
      </w:r>
    </w:p>
    <w:p>
      <w:pPr>
        <w:pStyle w:val="Heading1"/>
      </w:pPr>
      <w:r>
        <w:t>6 · Verified live</w:t>
      </w:r>
    </w:p>
    <w:tbl>
      <w:tblPr>
        <w:tblStyle w:val="TableGrid"/>
        <w:tblW w:type="auto" w:w="0"/>
        <w:tblLook w:firstColumn="1" w:firstRow="1" w:lastColumn="0" w:lastRow="0" w:noHBand="0" w:noVBand="1" w:val="04A0"/>
      </w:tblPr>
      <w:tblGrid>
        <w:gridCol w:w="9936"/>
      </w:tblGrid>
      <w:tr>
        <w:tc>
          <w:tcPr>
            <w:tcW w:type="dxa" w:w="9936"/>
            <w:shd w:val="clear" w:fill="F1F7F6"/>
          </w:tcPr>
          <w:p>
            <w:r/>
            <w:r>
              <w:rPr>
                <w:b/>
                <w:color w:val="0C7F76"/>
                <w:sz w:val="20"/>
              </w:rPr>
              <w:t>Deployed to zynara-spike-rg; verified end to end against real GPT-5.4:</w:t>
            </w:r>
          </w:p>
          <w:p>
            <w:pPr>
              <w:spacing w:after="40"/>
            </w:pPr>
            <w:r>
              <w:rPr>
                <w:b w:val="0"/>
                <w:sz w:val="19"/>
              </w:rPr>
              <w:t xml:space="preserve">• </w:t>
            </w:r>
            <w:r>
              <w:rPr>
                <w:b/>
                <w:sz w:val="19"/>
              </w:rPr>
              <w:t xml:space="preserve">Every route pauses. </w:t>
            </w:r>
            <w:r>
              <w:rPr>
                <w:b w:val="0"/>
                <w:sz w:val="19"/>
              </w:rPr>
              <w:t>The workflow assembles, persists to Cosmos, and suspends on the review RequestPort. The Gate route only changes the card — “ready — one click to send” (AutoSubmit) or “needs your judgement” (HumanReview). The reviewer's /respond resumes it; the authority check runs in the apply-decision executor; on an authorised approve-send the case is submitted.</w:t>
            </w:r>
          </w:p>
          <w:p>
            <w:pPr>
              <w:spacing w:after="40"/>
            </w:pPr>
            <w:r>
              <w:rPr>
                <w:b w:val="0"/>
                <w:sz w:val="19"/>
              </w:rPr>
              <w:t xml:space="preserve">• </w:t>
            </w:r>
            <w:r>
              <w:rPr>
                <w:b/>
                <w:sz w:val="19"/>
              </w:rPr>
              <w:t xml:space="preserve">No CustomStatus error </w:t>
            </w:r>
            <w:r>
              <w:rPr>
                <w:b w:val="0"/>
                <w:sz w:val="19"/>
              </w:rPr>
              <w:t>with real agents (the coarse-graph design keeps the workflow snapshot under Durable Task's 16 KB cap).</w:t>
            </w:r>
          </w:p>
          <w:p>
            <w:pPr>
              <w:spacing w:after="40"/>
            </w:pPr>
            <w:r>
              <w:rPr>
                <w:b w:val="0"/>
                <w:sz w:val="19"/>
              </w:rPr>
              <w:t xml:space="preserve">• </w:t>
            </w:r>
            <w:r>
              <w:rPr>
                <w:b/>
                <w:sz w:val="19"/>
              </w:rPr>
              <w:t xml:space="preserve">App Insights </w:t>
            </w:r>
            <w:r>
              <w:rPr>
                <w:b w:val="0"/>
                <w:sz w:val="19"/>
              </w:rPr>
              <w:t>shows the full pipeline.run → spoke.* → invoke_agent * → chat gpt-5.4 → submission.send trace tree from the workflow host.</w:t>
            </w:r>
          </w:p>
          <w:p>
            <w:pPr>
              <w:spacing w:after="40"/>
            </w:pPr>
            <w:r>
              <w:rPr>
                <w:b w:val="0"/>
                <w:sz w:val="19"/>
              </w:rPr>
              <w:t xml:space="preserve">• </w:t>
            </w:r>
            <w:r>
              <w:rPr>
                <w:b/>
                <w:sz w:val="19"/>
              </w:rPr>
              <w:t xml:space="preserve">122 tests green </w:t>
            </w:r>
            <w:r>
              <w:rPr>
                <w:b w:val="0"/>
                <w:sz w:val="19"/>
              </w:rPr>
              <w:t>(unit + workflow + the Zynara.Eval gate) on every commit via zynara-ci.yml.</w:t>
            </w:r>
          </w:p>
        </w:tc>
      </w:tr>
    </w:tbl>
    <w:p>
      <w:pPr>
        <w:spacing w:after="40"/>
      </w:pPr>
    </w:p>
    <w:p>
      <w:pPr>
        <w:pStyle w:val="Heading1"/>
      </w:pPr>
      <w:r>
        <w:t>7 · Technology decisions</w:t>
      </w:r>
    </w:p>
    <w:tbl>
      <w:tblPr>
        <w:tblStyle w:val="TableGrid"/>
        <w:tblW w:type="auto" w:w="0"/>
        <w:jc w:val="center"/>
        <w:tblLook w:firstColumn="1" w:firstRow="1" w:lastColumn="0" w:lastRow="0" w:noHBand="0" w:noVBand="1" w:val="04A0"/>
      </w:tblPr>
      <w:tblGrid>
        <w:gridCol w:w="3312"/>
        <w:gridCol w:w="3312"/>
        <w:gridCol w:w="3312"/>
      </w:tblGrid>
      <w:tr>
        <w:tc>
          <w:tcPr>
            <w:tcW w:type="dxa" w:w="576"/>
            <w:shd w:val="clear" w:fill="E3EBFC"/>
          </w:tcPr>
          <w:p>
            <w:r/>
            <w:r>
              <w:rPr>
                <w:b/>
                <w:color w:val="122A32"/>
                <w:sz w:val="17"/>
              </w:rPr>
              <w:t>#</w:t>
            </w:r>
          </w:p>
        </w:tc>
        <w:tc>
          <w:tcPr>
            <w:tcW w:type="dxa" w:w="3312"/>
            <w:shd w:val="clear" w:fill="E3EBFC"/>
          </w:tcPr>
          <w:p>
            <w:r/>
            <w:r>
              <w:rPr>
                <w:b/>
                <w:color w:val="122A32"/>
                <w:sz w:val="17"/>
              </w:rPr>
              <w:t>Decision</w:t>
            </w:r>
          </w:p>
        </w:tc>
        <w:tc>
          <w:tcPr>
            <w:tcW w:type="dxa" w:w="5760"/>
            <w:shd w:val="clear" w:fill="E3EBFC"/>
          </w:tcPr>
          <w:p>
            <w:r/>
            <w:r>
              <w:rPr>
                <w:b/>
                <w:color w:val="122A32"/>
                <w:sz w:val="17"/>
              </w:rPr>
              <w:t>Why (one line)</w:t>
            </w:r>
          </w:p>
        </w:tc>
      </w:tr>
      <w:tr>
        <w:tc>
          <w:tcPr>
            <w:tcW w:type="dxa" w:w="576"/>
          </w:tcPr>
          <w:p>
            <w:pPr>
              <w:spacing w:after="40"/>
            </w:pPr>
            <w:r/>
            <w:r>
              <w:rPr>
                <w:b/>
                <w:sz w:val="17"/>
              </w:rPr>
              <w:t>TD-1</w:t>
            </w:r>
          </w:p>
        </w:tc>
        <w:tc>
          <w:tcPr>
            <w:tcW w:type="dxa" w:w="3312"/>
          </w:tcPr>
          <w:p>
            <w:pPr>
              <w:spacing w:after="40"/>
            </w:pPr>
            <w:r/>
            <w:r>
              <w:rPr>
                <w:b w:val="0"/>
                <w:sz w:val="17"/>
              </w:rPr>
              <w:t>Orchestration is a Microsoft Agent Framework workflow graph, not agent-to-agent chaining</w:t>
            </w:r>
          </w:p>
        </w:tc>
        <w:tc>
          <w:tcPr>
            <w:tcW w:type="dxa" w:w="5760"/>
          </w:tcPr>
          <w:p>
            <w:pPr>
              <w:spacing w:after="40"/>
            </w:pPr>
            <w:r/>
            <w:r>
              <w:rPr>
                <w:b w:val="0"/>
                <w:sz w:val="17"/>
              </w:rPr>
              <w:t>The Gate, the pipeline order and the audit trail must be deterministic and inspectable; the framework gives the typed graph, the HITL port and durable replay as primitives — less bespoke code than a hand-rolled Durable Functions hub for the same properties.</w:t>
            </w:r>
          </w:p>
        </w:tc>
      </w:tr>
      <w:tr>
        <w:tc>
          <w:tcPr>
            <w:tcW w:type="dxa" w:w="576"/>
          </w:tcPr>
          <w:p>
            <w:pPr>
              <w:spacing w:after="40"/>
            </w:pPr>
            <w:r/>
            <w:r>
              <w:rPr>
                <w:b/>
                <w:sz w:val="17"/>
              </w:rPr>
              <w:t>TD-2</w:t>
            </w:r>
          </w:p>
        </w:tc>
        <w:tc>
          <w:tcPr>
            <w:tcW w:type="dxa" w:w="3312"/>
          </w:tcPr>
          <w:p>
            <w:pPr>
              <w:spacing w:after="40"/>
            </w:pPr>
            <w:r/>
            <w:r>
              <w:rPr>
                <w:b w:val="0"/>
                <w:sz w:val="17"/>
              </w:rPr>
              <w:t>Pipeline steps are MAF executors with a deterministic wrapper, each with a stub twin</w:t>
            </w:r>
          </w:p>
        </w:tc>
        <w:tc>
          <w:tcPr>
            <w:tcW w:type="dxa" w:w="5760"/>
          </w:tcPr>
          <w:p>
            <w:pPr>
              <w:spacing w:after="40"/>
            </w:pPr>
            <w:r/>
            <w:r>
              <w:rPr>
                <w:b w:val="0"/>
                <w:sz w:val="17"/>
              </w:rPr>
              <w:t>Per-step retry isolation; the prose→typed-value boundary is a named unit; zero-inference CI runs; replay-safe resume.</w:t>
            </w:r>
          </w:p>
        </w:tc>
      </w:tr>
      <w:tr>
        <w:tc>
          <w:tcPr>
            <w:tcW w:type="dxa" w:w="576"/>
          </w:tcPr>
          <w:p>
            <w:pPr>
              <w:spacing w:after="40"/>
            </w:pPr>
            <w:r/>
            <w:r>
              <w:rPr>
                <w:b/>
                <w:sz w:val="17"/>
              </w:rPr>
              <w:t>TD-3</w:t>
            </w:r>
          </w:p>
        </w:tc>
        <w:tc>
          <w:tcPr>
            <w:tcW w:type="dxa" w:w="3312"/>
          </w:tcPr>
          <w:p>
            <w:pPr>
              <w:spacing w:after="40"/>
            </w:pPr>
            <w:r/>
            <w:r>
              <w:rPr>
                <w:b w:val="0"/>
                <w:sz w:val="17"/>
              </w:rPr>
              <w:t>No request queue — the workflow's HTTP /run is the async boundary</w:t>
            </w:r>
          </w:p>
        </w:tc>
        <w:tc>
          <w:tcPr>
            <w:tcW w:type="dxa" w:w="5760"/>
          </w:tcPr>
          <w:p>
            <w:pPr>
              <w:spacing w:after="40"/>
            </w:pPr>
            <w:r/>
            <w:r>
              <w:rPr>
                <w:b w:val="0"/>
                <w:sz w:val="17"/>
              </w:rPr>
              <w:t>Low volume, no burst; /run returns 202 and the workflow runs on Durable Task's own control queues.</w:t>
            </w:r>
          </w:p>
        </w:tc>
      </w:tr>
      <w:tr>
        <w:tc>
          <w:tcPr>
            <w:tcW w:type="dxa" w:w="576"/>
          </w:tcPr>
          <w:p>
            <w:pPr>
              <w:spacing w:after="40"/>
            </w:pPr>
            <w:r/>
            <w:r>
              <w:rPr>
                <w:b/>
                <w:sz w:val="17"/>
              </w:rPr>
              <w:t>TD-4</w:t>
            </w:r>
          </w:p>
        </w:tc>
        <w:tc>
          <w:tcPr>
            <w:tcW w:type="dxa" w:w="3312"/>
          </w:tcPr>
          <w:p>
            <w:pPr>
              <w:spacing w:after="40"/>
            </w:pPr>
            <w:r/>
            <w:r>
              <w:rPr>
                <w:b w:val="0"/>
                <w:sz w:val="17"/>
              </w:rPr>
              <w:t>Operational store is Azure Cosmos DB serverless, not Azure SQL</w:t>
            </w:r>
          </w:p>
        </w:tc>
        <w:tc>
          <w:tcPr>
            <w:tcW w:type="dxa" w:w="5760"/>
          </w:tcPr>
          <w:p>
            <w:pPr>
              <w:spacing w:after="40"/>
            </w:pPr>
            <w:r/>
            <w:r>
              <w:rPr>
                <w:b w:val="0"/>
                <w:sz w:val="17"/>
              </w:rPr>
              <w:t>A case is a nested aggregate that maps to one JSON document; partition by /requestId; serverless billing fits spiky demo volume; no migrations.</w:t>
            </w:r>
          </w:p>
        </w:tc>
      </w:tr>
      <w:tr>
        <w:tc>
          <w:tcPr>
            <w:tcW w:type="dxa" w:w="576"/>
          </w:tcPr>
          <w:p>
            <w:pPr>
              <w:spacing w:after="40"/>
            </w:pPr>
            <w:r/>
            <w:r>
              <w:rPr>
                <w:b/>
                <w:sz w:val="17"/>
              </w:rPr>
              <w:t>TD-5</w:t>
            </w:r>
          </w:p>
        </w:tc>
        <w:tc>
          <w:tcPr>
            <w:tcW w:type="dxa" w:w="3312"/>
          </w:tcPr>
          <w:p>
            <w:pPr>
              <w:spacing w:after="40"/>
            </w:pPr>
            <w:r/>
            <w:r>
              <w:rPr>
                <w:b w:val="0"/>
                <w:sz w:val="17"/>
              </w:rPr>
              <w:t>Corpus is Blob Storage + Foundry File Search (one vector index), separate from Cosmos</w:t>
            </w:r>
          </w:p>
        </w:tc>
        <w:tc>
          <w:tcPr>
            <w:tcW w:type="dxa" w:w="5760"/>
          </w:tcPr>
          <w:p>
            <w:pPr>
              <w:spacing w:after="40"/>
            </w:pPr>
            <w:r/>
            <w:r>
              <w:rPr>
                <w:b w:val="0"/>
                <w:sz w:val="17"/>
              </w:rPr>
              <w:t>Retrieval over policy / precedent text is semantic, not a query; File Search owns the index natively; Cosmos keeps only the structured metadata.</w:t>
            </w:r>
          </w:p>
        </w:tc>
      </w:tr>
      <w:tr>
        <w:tc>
          <w:tcPr>
            <w:tcW w:type="dxa" w:w="576"/>
          </w:tcPr>
          <w:p>
            <w:pPr>
              <w:spacing w:after="40"/>
            </w:pPr>
            <w:r/>
            <w:r>
              <w:rPr>
                <w:b/>
                <w:sz w:val="17"/>
              </w:rPr>
              <w:t>TD-6</w:t>
            </w:r>
          </w:p>
        </w:tc>
        <w:tc>
          <w:tcPr>
            <w:tcW w:type="dxa" w:w="3312"/>
          </w:tcPr>
          <w:p>
            <w:pPr>
              <w:spacing w:after="40"/>
            </w:pPr>
            <w:r/>
            <w:r>
              <w:rPr>
                <w:b w:val="0"/>
                <w:sz w:val="17"/>
              </w:rPr>
              <w:t>Foundry Agent Service (persistent hosted agents) bound as MAF AIAgents</w:t>
            </w:r>
          </w:p>
        </w:tc>
        <w:tc>
          <w:tcPr>
            <w:tcW w:type="dxa" w:w="5760"/>
          </w:tcPr>
          <w:p>
            <w:pPr>
              <w:spacing w:after="40"/>
            </w:pPr>
            <w:r/>
            <w:r>
              <w:rPr>
                <w:b w:val="0"/>
                <w:sz w:val="17"/>
              </w:rPr>
              <w:t>Versioned, portal-visible assets with File Search + tracing wired; AsAIAgent binds to the existing agent; each stays behind a Zynara.Core interface.</w:t>
            </w:r>
          </w:p>
        </w:tc>
      </w:tr>
      <w:tr>
        <w:tc>
          <w:tcPr>
            <w:tcW w:type="dxa" w:w="576"/>
          </w:tcPr>
          <w:p>
            <w:pPr>
              <w:spacing w:after="40"/>
            </w:pPr>
            <w:r/>
            <w:r>
              <w:rPr>
                <w:b/>
                <w:sz w:val="17"/>
              </w:rPr>
              <w:t>TD-7</w:t>
            </w:r>
          </w:p>
        </w:tc>
        <w:tc>
          <w:tcPr>
            <w:tcW w:type="dxa" w:w="3312"/>
          </w:tcPr>
          <w:p>
            <w:pPr>
              <w:spacing w:after="40"/>
            </w:pPr>
            <w:r/>
            <w:r>
              <w:rPr>
                <w:b w:val="0"/>
                <w:sz w:val="17"/>
              </w:rPr>
              <w:t>C# / .NET 8 · azd + Bicep · one resource group · managed-identity-first · W3C trace context</w:t>
            </w:r>
          </w:p>
        </w:tc>
        <w:tc>
          <w:tcPr>
            <w:tcW w:type="dxa" w:w="5760"/>
          </w:tcPr>
          <w:p>
            <w:pPr>
              <w:spacing w:after="40"/>
            </w:pPr>
            <w:r/>
            <w:r>
              <w:rPr>
                <w:b w:val="0"/>
                <w:sz w:val="17"/>
              </w:rPr>
              <w:t>First-class Agent Framework SDK; static types make the prose→contract boundary a compile-time guarantee; one azd up provisions and deploys; one trace per request feeds the audit trail and the cost meter.</w:t>
            </w:r>
          </w:p>
        </w:tc>
      </w:tr>
    </w:tbl>
    <w:p>
      <w:pPr>
        <w:spacing w:after="40"/>
      </w:pPr>
    </w:p>
    <w:p>
      <w:pPr>
        <w:pStyle w:val="Heading1"/>
      </w:pPr>
      <w:r>
        <w:t>8 · Scope &amp; roadmap</w:t>
      </w:r>
    </w:p>
    <w:p>
      <w:pPr>
        <w:spacing w:after="100"/>
      </w:pPr>
      <w:r>
        <w:rPr>
          <w:b/>
          <w:i w:val="0"/>
        </w:rPr>
        <w:t xml:space="preserve">Deliberately not built (production hardening, named so the gap is understood): </w:t>
      </w:r>
      <w:r>
        <w:rPr>
          <w:b w:val="0"/>
          <w:i w:val="0"/>
        </w:rPr>
        <w:t>network isolation with a subnet boundary between the reasoning plane and the payer plane; an AI-governance enforcement layer (per-agent quota, rate limits, spend caps); a CI/CD deploy pipeline with a staging slot; model/prompt versioning linked to outcomes; live quality monitoring on de-identified traffic; HA/DR; secret rotation; a full PHI-handling design (the demo carries none by design).</w:t>
      </w:r>
    </w:p>
    <w:p>
      <w:pPr>
        <w:spacing w:after="100"/>
      </w:pPr>
      <w:r>
        <w:rPr>
          <w:b/>
          <w:i w:val="0"/>
        </w:rPr>
        <w:t xml:space="preserve">Roadmap: </w:t>
      </w:r>
      <w:r>
        <w:rPr>
          <w:b w:val="0"/>
          <w:i w:val="0"/>
        </w:rPr>
        <w:t>real payer connectivity (FHIR Prior Authorization / Provider Access APIs, X12 278 clearinghouse, portal RPA — CMS-0057-F, Jan 2027); FHIR bundle intake; an eligibility / active-coverage check; the Early Warnings monitors (expiry-date math, policy-version diff — interfaces and stubs exist, feature unwired); peer-to-peer prep; learning from reviewer edits.</w:t>
      </w:r>
    </w:p>
    <w:p>
      <w:pPr>
        <w:pBdr>
          <w:bottom w:val="single" w:sz="6" w:color="0FA3A0"/>
        </w:pBdr>
      </w:pPr>
    </w:p>
    <w:p>
      <w:pPr>
        <w:spacing w:after="100"/>
        <w:jc w:val="center"/>
      </w:pPr>
      <w:r>
        <w:rPr>
          <w:b w:val="0"/>
          <w:i w:val="0"/>
          <w:color w:val="44555C"/>
          <w:sz w:val="16"/>
        </w:rPr>
        <w:t>Zynara Health (fictional) · Care Approval IQ · Microsoft Agent Framework · Architect Track Submission · Deepak Kumar</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0C7F76"/>
        <w:sz w:val="16"/>
      </w:rPr>
      <w:t>zynara  ·  Care Approval IQ</w:t>
    </w:r>
    <w:r>
      <w:rPr>
        <w:color w:val="44555C"/>
        <w:sz w:val="16"/>
      </w:rPr>
      <w:t xml:space="preserve">      Technical Design Document · v2  ·  Microsoft Agent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2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D4ED8"/>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libri" w:hAnsi="Calibri"/>
      <w:b/>
      <w:bCs/>
      <w:color w:val="122A3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