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C7F76"/>
          <w:sz w:val="40"/>
        </w:rPr>
        <w:t>Zynara Health · Care Approval IQ</w:t>
      </w:r>
      <w:r>
        <w:rPr>
          <w:b/>
          <w:color w:val="142B33"/>
          <w:sz w:val="26"/>
        </w:rPr>
        <w:br/>
        <w:t>Technical Design Document</w:t>
      </w:r>
    </w:p>
    <w:p>
      <w:pPr>
        <w:spacing w:after="40"/>
      </w:pPr>
      <w:r>
        <w:rPr>
          <w:b w:val="0"/>
          <w:i/>
          <w:color w:val="0C7F76"/>
          <w:sz w:val="21"/>
        </w:rPr>
        <w:t>Proof beats paperwork.</w:t>
      </w:r>
    </w:p>
    <w:p>
      <w:pPr>
        <w:spacing w:after="40"/>
      </w:pPr>
      <w:r>
        <w:rPr>
          <w:b w:val="0"/>
          <w:i w:val="0"/>
          <w:color w:val="44555C"/>
          <w:sz w:val="18"/>
        </w:rPr>
        <w:t>Microsoft Agent-a-thon 2026 · Architect Track Submission · Healthcare Prior Authorisation · Deepak Kumar · Original Work</w:t>
      </w:r>
    </w:p>
    <w:p>
      <w:pPr>
        <w:spacing w:after="80"/>
      </w:pPr>
      <w:r>
        <w:rPr>
          <w:b w:val="0"/>
          <w:i/>
          <w:color w:val="44555C"/>
          <w:sz w:val="17"/>
        </w:rPr>
        <w:t>Built on the Microsoft Agent Framework. Companion artefacts: the architecture SVG/PNG (authoritative diagram), DECISIONS.md (delta log), STATUS.md (build state).</w:t>
      </w:r>
    </w:p>
    <w:p>
      <w:pPr>
        <w:pBdr>
          <w:bottom w:val="single" w:sz="6" w:color="0FA3A0"/>
        </w:pBdr>
      </w:pPr>
    </w:p>
    <w:p>
      <w:pPr>
        <w:pStyle w:val="Heading1"/>
      </w:pPr>
      <w:r>
        <w:t>1. Problem Statement</w:t>
      </w:r>
    </w:p>
    <w:p>
      <w:pPr>
        <w:spacing w:after="120"/>
      </w:pPr>
      <w:r>
        <w:rPr>
          <w:b w:val="0"/>
          <w:i w:val="0"/>
        </w:rPr>
        <w:t>A clinician wants to treat a patient — an MRI, a specialist referral, physiotherapy, surgery. Before it can go ahead, the patient's insurer must authorise it in advance (“prior authorisation”). Today that process is manual, slow, and error-prone.</w:t>
      </w:r>
    </w:p>
    <w:p>
      <w:pPr>
        <w:pStyle w:val="ListBullet"/>
        <w:spacing w:after="60"/>
      </w:pPr>
      <w:r>
        <w:rPr>
          <w:b/>
          <w:i w:val="0"/>
        </w:rPr>
        <w:t xml:space="preserve">What this costs: </w:t>
      </w:r>
      <w:r>
        <w:rPr>
          <w:b w:val="0"/>
          <w:i w:val="0"/>
        </w:rPr>
        <w:t>US hospitals spend $687B/yr on administration vs $346B on direct patient care; prior authorisation is named the single largest automatable cost centre in health-system admin. Patients wait weeks; some get worse waiting.</w:t>
      </w:r>
    </w:p>
    <w:p>
      <w:pPr>
        <w:pStyle w:val="ListBullet"/>
        <w:spacing w:after="60"/>
      </w:pPr>
      <w:r>
        <w:rPr>
          <w:b/>
          <w:i w:val="0"/>
        </w:rPr>
        <w:t xml:space="preserve">What's missing: </w:t>
      </w:r>
      <w:r>
        <w:rPr>
          <w:b w:val="0"/>
          <w:i w:val="0"/>
        </w:rPr>
        <w:t>nobody reads the clinical chart against the specific payer's specific criteria before submission, and nobody checks whether the fact pattern historically wins on appeal.</w:t>
      </w:r>
    </w:p>
    <w:p>
      <w:pPr>
        <w:pStyle w:val="ListBullet"/>
        <w:spacing w:after="60"/>
      </w:pPr>
      <w:r>
        <w:rPr>
          <w:b/>
          <w:i w:val="0"/>
        </w:rPr>
        <w:t xml:space="preserve">The appeals gap (the number this design is built around): </w:t>
      </w:r>
      <w:r>
        <w:rPr>
          <w:b w:val="0"/>
          <w:i w:val="0"/>
        </w:rPr>
        <w:t>only 11.5% of denied requests are appealed, yet 80.7% of appeals win (95% for skilled-nursing). 62% of physicians don't appeal because they believe they'll lose — a belief provably wrong from the payer's own recorded outcomes.</w:t>
      </w:r>
    </w:p>
    <w:p>
      <w:pPr>
        <w:pStyle w:val="ListBullet"/>
        <w:spacing w:after="60"/>
      </w:pPr>
      <w:r>
        <w:rPr>
          <w:b/>
          <w:i w:val="0"/>
        </w:rPr>
        <w:t xml:space="preserve">The ask (per the course brief): </w:t>
      </w:r>
      <w:r>
        <w:rPr>
          <w:b w:val="0"/>
          <w:i w:val="0"/>
        </w:rPr>
        <w:t>design a production-ready multi-agent workflow — ≥2 specialised agents with distinct responsibilities, the tools and data each uses, and why multi-agent beats a single generalist — that moves a real business process from prototype to production.</w:t>
      </w:r>
    </w:p>
    <w:p>
      <w:pPr>
        <w:pStyle w:val="Heading1"/>
      </w:pPr>
      <w:r>
        <w:t>2. Mission &amp; Scope</w:t>
      </w:r>
    </w:p>
    <w:p>
      <w:pPr>
        <w:spacing w:after="120"/>
      </w:pPr>
      <w:r>
        <w:rPr>
          <w:b/>
          <w:i w:val="0"/>
        </w:rPr>
        <w:t xml:space="preserve">Request inputs: </w:t>
      </w:r>
      <w:r>
        <w:rPr>
          <w:b w:val="0"/>
          <w:i w:val="0"/>
        </w:rPr>
        <w:t>procedure/service requested · patient coverage reference · free-text clinical note · payer + plan · (post-decision) the denial letter.</w:t>
      </w:r>
    </w:p>
    <w:p>
      <w:pPr>
        <w:spacing w:after="60"/>
      </w:pPr>
      <w:r>
        <w:rPr>
          <w:b/>
          <w:i w:val="0"/>
        </w:rPr>
        <w:t>Mission:</w:t>
      </w:r>
    </w:p>
    <w:p>
      <w:pPr>
        <w:pStyle w:val="ListBullet"/>
        <w:spacing w:after="60"/>
      </w:pPr>
      <w:r>
        <w:rPr>
          <w:b w:val="0"/>
          <w:i w:val="0"/>
        </w:rPr>
        <w:t>Assemble a gap-checked prior-authorisation submission</w:t>
      </w:r>
    </w:p>
    <w:p>
      <w:pPr>
        <w:pStyle w:val="ListBullet"/>
        <w:spacing w:after="60"/>
      </w:pPr>
      <w:r>
        <w:rPr>
          <w:b w:val="0"/>
          <w:i w:val="0"/>
        </w:rPr>
        <w:t>Recommend and draft the appeal when the fact pattern historically wins</w:t>
      </w:r>
    </w:p>
    <w:p>
      <w:pPr>
        <w:pStyle w:val="ListBullet"/>
        <w:spacing w:after="60"/>
      </w:pPr>
      <w:r>
        <w:rPr>
          <w:b w:val="0"/>
          <w:i w:val="0"/>
        </w:rPr>
        <w:t>Keep a person in front of every outbound action</w:t>
      </w:r>
    </w:p>
    <w:p>
      <w:pPr>
        <w:spacing w:after="60"/>
      </w:pPr>
      <w:r>
        <w:rPr>
          <w:b/>
          <w:i w:val="0"/>
        </w:rPr>
        <w:t>In scope for this design:</w:t>
      </w:r>
    </w:p>
    <w:p>
      <w:pPr>
        <w:pStyle w:val="ListBullet"/>
        <w:spacing w:after="60"/>
      </w:pPr>
      <w:r>
        <w:rPr>
          <w:b w:val="0"/>
          <w:i w:val="0"/>
        </w:rPr>
        <w:t>End-to-end pipeline: request → needs-auth → evidence gap → claims extraction → precedent match → critic → deterministic Gate → human review → submit → (on denial) appeal draft → review</w:t>
      </w:r>
    </w:p>
    <w:p>
      <w:pPr>
        <w:pStyle w:val="ListBullet"/>
        <w:spacing w:after="60"/>
      </w:pPr>
      <w:r>
        <w:rPr>
          <w:b w:val="0"/>
          <w:i w:val="0"/>
        </w:rPr>
        <w:t>Human-in-the-loop approval for every outbound action (submit and appeal)</w:t>
      </w:r>
    </w:p>
    <w:p>
      <w:pPr>
        <w:pStyle w:val="ListBullet"/>
        <w:spacing w:after="60"/>
      </w:pPr>
      <w:r>
        <w:rPr>
          <w:b w:val="0"/>
          <w:i w:val="0"/>
        </w:rPr>
        <w:t>Payer-agnostic rules-as-data, with a visible UK ⇄ US region switch that swaps the criteria set, terminology and appeal-escalation path</w:t>
      </w:r>
    </w:p>
    <w:p>
      <w:pPr>
        <w:pStyle w:val="ListBullet"/>
        <w:spacing w:after="60"/>
      </w:pPr>
      <w:r>
        <w:rPr>
          <w:b w:val="0"/>
          <w:i w:val="0"/>
        </w:rPr>
        <w:t>Grounding: every recommendation cites the policy clause and the precedent case ids that drove it</w:t>
      </w:r>
    </w:p>
    <w:p>
      <w:pPr>
        <w:pStyle w:val="ListBullet"/>
        <w:spacing w:after="60"/>
      </w:pPr>
      <w:r>
        <w:rPr>
          <w:b w:val="0"/>
          <w:i w:val="0"/>
        </w:rPr>
        <w:t>The Estimated Recoverable Value — the appeals-gap statistic as the payer's own number (not-appealed × comparable-win-rate × mean-claim-value)</w:t>
      </w:r>
    </w:p>
    <w:p>
      <w:pPr>
        <w:spacing w:after="60"/>
      </w:pPr>
      <w:r>
        <w:rPr>
          <w:b/>
          <w:i w:val="0"/>
        </w:rPr>
        <w:t>Explicitly out of scope (see §10):</w:t>
      </w:r>
    </w:p>
    <w:p>
      <w:pPr>
        <w:pStyle w:val="ListBullet"/>
        <w:spacing w:after="60"/>
      </w:pPr>
      <w:r>
        <w:rPr>
          <w:b w:val="0"/>
          <w:i w:val="0"/>
        </w:rPr>
        <w:t>Real payer EHR/FHIR integration — synthetic + public-policy-excerpt data for the demo</w:t>
      </w:r>
    </w:p>
    <w:p>
      <w:pPr>
        <w:pStyle w:val="ListBullet"/>
        <w:spacing w:after="60"/>
      </w:pPr>
      <w:r>
        <w:rPr>
          <w:b w:val="0"/>
          <w:i w:val="0"/>
        </w:rPr>
        <w:t>Real PHI — request ids and procedure codes only; no patient-identifying data in telemetry or logs</w:t>
      </w:r>
    </w:p>
    <w:p>
      <w:pPr>
        <w:pStyle w:val="ListBullet"/>
        <w:spacing w:after="60"/>
      </w:pPr>
      <w:r>
        <w:rPr>
          <w:b w:val="0"/>
          <w:i w:val="0"/>
        </w:rPr>
        <w:t>Automated submission without human sign-off — deliberately never built</w:t>
      </w:r>
    </w:p>
    <w:p>
      <w:pPr>
        <w:pStyle w:val="ListBullet"/>
        <w:spacing w:after="60"/>
      </w:pPr>
      <w:r>
        <w:rPr>
          <w:b w:val="0"/>
          <w:i w:val="0"/>
        </w:rPr>
        <w:t>Clinical decision-making — the system is decision support, never medical or coverage advice</w:t>
      </w:r>
    </w:p>
    <w:p>
      <w:pPr>
        <w:pStyle w:val="Heading2"/>
      </w:pPr>
      <w:r>
        <w:t>2.1 Upstream assumptions</w:t>
      </w:r>
    </w:p>
    <w:p>
      <w:pPr>
        <w:spacing w:after="120"/>
      </w:pPr>
      <w:r>
        <w:rPr>
          <w:b w:val="0"/>
          <w:i w:val="0"/>
        </w:rPr>
        <w:t>The pipeline starts after document extraction. Assumed done by processes outside this design: payer criteria already structured as a versioned Criterion(Id, Text, Mandatory) list in Cosmos; the clinical note and the denial letter already plain text; precedent metadata and denial-history cohorts already aggregated. What the pipeline owns: reading that extracted text against the structured criteria, matching precedents, and grounding the agents in the policy/precedent corpus via Foundry File Search.</w:t>
      </w:r>
    </w:p>
    <w:p>
      <w:pPr>
        <w:pStyle w:val="Heading1"/>
      </w:pPr>
      <w:r>
        <w:t>3. Solution Overview</w:t>
      </w:r>
    </w:p>
    <w:p>
      <w:pPr>
        <w:spacing w:after="120"/>
      </w:pPr>
      <w:r>
        <w:rPr>
          <w:b w:val="0"/>
          <w:i w:val="0"/>
        </w:rPr>
        <w:t>Care Approval IQ is a multi-agent system on:</w:t>
      </w:r>
    </w:p>
    <w:p>
      <w:pPr>
        <w:pStyle w:val="ListBullet"/>
        <w:spacing w:after="60"/>
      </w:pPr>
      <w:r>
        <w:rPr>
          <w:b/>
          <w:i w:val="0"/>
        </w:rPr>
        <w:t xml:space="preserve">Microsoft Foundry Agent Service </w:t>
      </w:r>
      <w:r>
        <w:rPr>
          <w:b w:val="0"/>
          <w:i w:val="0"/>
        </w:rPr>
        <w:t>— the five reasoning agents</w:t>
      </w:r>
    </w:p>
    <w:p>
      <w:pPr>
        <w:pStyle w:val="ListBullet"/>
        <w:spacing w:after="60"/>
      </w:pPr>
      <w:r>
        <w:rPr>
          <w:b/>
          <w:i w:val="0"/>
        </w:rPr>
        <w:t xml:space="preserve">the Microsoft Agent Framework </w:t>
      </w:r>
      <w:r>
        <w:rPr>
          <w:b w:val="0"/>
          <w:i w:val="0"/>
        </w:rPr>
        <w:t>— the orchestration layer: a typed workflow graph of executors, hosted on Azure Functions with Durable Task as the checkpoint / replay backend</w:t>
      </w:r>
    </w:p>
    <w:p>
      <w:pPr>
        <w:pStyle w:val="ListBullet"/>
        <w:spacing w:after="60"/>
      </w:pPr>
      <w:r>
        <w:rPr>
          <w:b/>
          <w:i w:val="0"/>
        </w:rPr>
        <w:t xml:space="preserve">Azure Cosmos DB </w:t>
      </w:r>
      <w:r>
        <w:rPr>
          <w:b w:val="0"/>
          <w:i w:val="0"/>
        </w:rPr>
        <w:t>(serverless) for operational state; the unstructured corpus (policy docs, denial letters, precedent narratives) in Azure Blob Storage indexed by Foundry File Search (one vector index)</w:t>
      </w:r>
    </w:p>
    <w:p>
      <w:pPr>
        <w:pStyle w:val="ListBullet"/>
        <w:spacing w:after="60"/>
      </w:pPr>
      <w:r>
        <w:rPr>
          <w:b/>
          <w:i w:val="0"/>
        </w:rPr>
        <w:t xml:space="preserve">a Static Web App </w:t>
      </w:r>
      <w:r>
        <w:rPr>
          <w:b w:val="0"/>
          <w:i w:val="0"/>
        </w:rPr>
        <w:t>dashboard as the reviewer surface</w:t>
      </w:r>
    </w:p>
    <w:p>
      <w:pPr>
        <w:spacing w:after="120"/>
      </w:pPr>
      <w:r>
        <w:rPr>
          <w:b w:val="0"/>
          <w:i w:val="0"/>
        </w:rPr>
        <w:t>It replaces manual pre-auth assembly and the “don't bother appealing” reflex with a small team of reasoning agents that build and challenge a case, deterministic code that decides, and a human who authorises.</w:t>
      </w:r>
    </w:p>
    <w:p>
      <w:pPr>
        <w:pStyle w:val="ListBullet"/>
        <w:spacing w:after="60"/>
      </w:pPr>
      <w:r>
        <w:rPr>
          <w:b/>
          <w:i w:val="0"/>
        </w:rPr>
        <w:t xml:space="preserve">Five reasoning agents that collaborate, not a pipeline of prompts. </w:t>
      </w:r>
      <w:r>
        <w:rPr>
          <w:b w:val="0"/>
          <w:i w:val="0"/>
        </w:rPr>
        <w:t>needs-auth reads ambiguous plan language · evidence-gap maps the clinical note to the written criteria · claims-extraction pulls the note's claims and flags a self-contradiction · precedent-strategist reasons over recorded precedent outcomes and drafts the appeal · critic tries to disprove the assembled recommendation. Agents reason and challenge one another; the deterministic Gate decides; the human authorises.</w:t>
      </w:r>
    </w:p>
    <w:p>
      <w:pPr>
        <w:pStyle w:val="ListBullet"/>
        <w:spacing w:after="60"/>
      </w:pPr>
      <w:r>
        <w:rPr>
          <w:b/>
          <w:i w:val="0"/>
        </w:rPr>
        <w:t xml:space="preserve">One mandatory outbound path </w:t>
      </w:r>
      <w:r>
        <w:rPr>
          <w:b w:val="0"/>
          <w:i w:val="0"/>
        </w:rPr>
        <w:t>(the Submission Adapter) — no agent submits to a payer or files an appeal directly.</w:t>
      </w:r>
    </w:p>
    <w:p>
      <w:pPr>
        <w:pStyle w:val="ListBullet"/>
        <w:spacing w:after="60"/>
      </w:pPr>
      <w:r>
        <w:rPr>
          <w:b/>
          <w:i w:val="0"/>
        </w:rPr>
        <w:t xml:space="preserve">A deterministic Gate that weighs a structured model, not one averaged number. </w:t>
      </w:r>
      <w:r>
        <w:rPr>
          <w:b w:val="0"/>
          <w:i w:val="0"/>
        </w:rPr>
        <w:t>Mandatory criteria are a hard gate — never averaged away; a contradiction is never silently resolved; the system can explicitly abstain. Four routes: AutoSubmit / Strengthen / HumanReview / Abstain, each shown with its working.</w:t>
      </w:r>
    </w:p>
    <w:p>
      <w:pPr>
        <w:pStyle w:val="ListBullet"/>
        <w:spacing w:after="60"/>
      </w:pPr>
      <w:r>
        <w:rPr>
          <w:b/>
          <w:i w:val="0"/>
        </w:rPr>
        <w:t xml:space="preserve">Hybrid principle. </w:t>
      </w:r>
      <w:r>
        <w:rPr>
          <w:b w:val="0"/>
          <w:i w:val="0"/>
        </w:rPr>
        <w:t>Deterministic code owns every value that drives a decision or an action; agents produce the prose and the judgement over unstructured text. Preserved through the framework migration — the Gate is a plain executor, never an agent.</w:t>
      </w:r>
    </w:p>
    <w:p>
      <w:pPr>
        <w:pStyle w:val="Heading2"/>
      </w:pPr>
      <w:r>
        <w:t>3.1 Why multi-agent beats one generalist</w:t>
      </w:r>
    </w:p>
    <w:p>
      <w:pPr>
        <w:spacing w:after="120"/>
      </w:pPr>
      <w:r>
        <w:rPr>
          <w:b w:val="0"/>
          <w:i w:val="0"/>
        </w:rPr>
        <w:t>One prompt asked to “read the plan, map the note to the criteria, weigh the precedents, draft the appeal, and check your own work” is worse at every part and impossible to trust. This design is multi-agent because the agents do genuinely different reasoning and hold each other to account:</w:t>
      </w:r>
    </w:p>
    <w:p>
      <w:pPr>
        <w:pStyle w:val="ListNumber"/>
        <w:spacing w:after="60"/>
      </w:pPr>
      <w:r>
        <w:rPr>
          <w:b/>
          <w:i w:val="0"/>
        </w:rPr>
        <w:t xml:space="preserve">Different reasoning modes. </w:t>
      </w:r>
      <w:r>
        <w:rPr>
          <w:b w:val="0"/>
          <w:i w:val="0"/>
        </w:rPr>
        <w:t>Ambiguous-contract reading, free-text comprehension against a rubric, claim extraction, corpus-level fact-pattern matching, and adversarial self-review are five different skills. Each agent has one job, one prompt, one evaluation target.</w:t>
      </w:r>
    </w:p>
    <w:p>
      <w:pPr>
        <w:pStyle w:val="ListNumber"/>
        <w:spacing w:after="60"/>
      </w:pPr>
      <w:r>
        <w:rPr>
          <w:b/>
          <w:i w:val="0"/>
        </w:rPr>
        <w:t xml:space="preserve">A dedicated challenger. </w:t>
      </w:r>
      <w:r>
        <w:rPr>
          <w:b w:val="0"/>
          <w:i w:val="0"/>
        </w:rPr>
        <w:t>The critic never builds — it only tries to disprove. It catches unsupported claims, non-comparable precedents, over-strong conclusions and hidden contradictions that a generalist producing its own answer will not flag on itself. Its verdict can force a human or an abstention.</w:t>
      </w:r>
    </w:p>
    <w:p>
      <w:pPr>
        <w:pStyle w:val="ListNumber"/>
        <w:spacing w:after="60"/>
      </w:pPr>
      <w:r>
        <w:rPr>
          <w:b/>
          <w:i w:val="0"/>
        </w:rPr>
        <w:t xml:space="preserve">Independent evaluation. </w:t>
      </w:r>
      <w:r>
        <w:rPr>
          <w:b w:val="0"/>
          <w:i w:val="0"/>
        </w:rPr>
        <w:t>evidence-gap is scored in isolation against a labelled dataset (§9) — precision, recall, mandatory false-negative rate. Only possible because its job is not entangled with four others.</w:t>
      </w:r>
    </w:p>
    <w:p>
      <w:pPr>
        <w:pStyle w:val="ListNumber"/>
        <w:spacing w:after="60"/>
      </w:pPr>
      <w:r>
        <w:rPr>
          <w:b/>
          <w:i w:val="0"/>
        </w:rPr>
        <w:t xml:space="preserve">A seam for the human and for the Gate. </w:t>
      </w:r>
      <w:r>
        <w:rPr>
          <w:b w:val="0"/>
          <w:i w:val="0"/>
        </w:rPr>
        <w:t>The Gate sits between the agents' reasoning and any action; the RequestPort sits between the Gate and the reviewer. A monolithic agent that both decides and acts leaves nowhere for either to live.</w:t>
      </w:r>
    </w:p>
    <w:p>
      <w:pPr>
        <w:pStyle w:val="ListNumber"/>
        <w:spacing w:after="60"/>
      </w:pPr>
      <w:r>
        <w:rPr>
          <w:b/>
          <w:i w:val="0"/>
        </w:rPr>
        <w:t xml:space="preserve">Auditability. </w:t>
      </w:r>
      <w:r>
        <w:rPr>
          <w:b w:val="0"/>
          <w:i w:val="0"/>
        </w:rPr>
        <w:t>Each agent's output is a separate cited record: which criterion, which precedent, which clause, what the Critic challenged. A regulator or the Financial Ombudsman Service can follow the trail.</w:t>
      </w:r>
    </w:p>
    <w:p>
      <w:pPr>
        <w:pStyle w:val="Heading1"/>
      </w:pPr>
      <w:r>
        <w:t>4. Technical Architecture</w:t>
      </w:r>
    </w:p>
    <w:p>
      <w:pPr>
        <w:jc w:val="center"/>
      </w:pPr>
      <w:r>
        <w:drawing>
          <wp:inline xmlns:a="http://schemas.openxmlformats.org/drawingml/2006/main" xmlns:pic="http://schemas.openxmlformats.org/drawingml/2006/picture">
            <wp:extent cx="6217920" cy="3405507"/>
            <wp:docPr id="1" name="Picture 1"/>
            <wp:cNvGraphicFramePr>
              <a:graphicFrameLocks noChangeAspect="1"/>
            </wp:cNvGraphicFramePr>
            <a:graphic>
              <a:graphicData uri="http://schemas.openxmlformats.org/drawingml/2006/picture">
                <pic:pic>
                  <pic:nvPicPr>
                    <pic:cNvPr id="0" name="Care-Approval-IQ-Architecture_DesignV2.png"/>
                    <pic:cNvPicPr/>
                  </pic:nvPicPr>
                  <pic:blipFill>
                    <a:blip r:embed="rId9"/>
                    <a:stretch>
                      <a:fillRect/>
                    </a:stretch>
                  </pic:blipFill>
                  <pic:spPr>
                    <a:xfrm>
                      <a:off x="0" y="0"/>
                      <a:ext cx="6217920" cy="3405507"/>
                    </a:xfrm>
                    <a:prstGeom prst="rect"/>
                  </pic:spPr>
                </pic:pic>
              </a:graphicData>
            </a:graphic>
          </wp:inline>
        </w:drawing>
      </w:r>
    </w:p>
    <w:p>
      <w:pPr>
        <w:spacing w:after="160"/>
        <w:jc w:val="center"/>
      </w:pPr>
      <w:r>
        <w:rPr>
          <w:b w:val="0"/>
          <w:i/>
          <w:color w:val="44555C"/>
          <w:sz w:val="16"/>
        </w:rPr>
        <w:t>Care-Approval-IQ-Architecture_DesignV2.svg is the authoritative source; the .png is the same diagram rasterised for Word / PDF export.</w:t>
      </w:r>
    </w:p>
    <w:p>
      <w:pPr>
        <w:spacing w:after="120"/>
      </w:pPr>
      <w:r>
        <w:rPr>
          <w:b w:val="0"/>
          <w:i w:val="0"/>
        </w:rPr>
        <w:t>Five layers along the request path, plus three cross-cutting concerns.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432"/>
            <w:shd w:val="clear" w:fill="E3EBFC"/>
          </w:tcPr>
          <w:p>
            <w:r/>
            <w:r>
              <w:rPr>
                <w:b/>
                <w:color w:val="142B33"/>
                <w:sz w:val="17"/>
              </w:rPr>
              <w:t>#</w:t>
            </w:r>
          </w:p>
        </w:tc>
        <w:tc>
          <w:tcPr>
            <w:tcW w:type="dxa" w:w="2448"/>
            <w:shd w:val="clear" w:fill="E3EBFC"/>
          </w:tcPr>
          <w:p>
            <w:r/>
            <w:r>
              <w:rPr>
                <w:b/>
                <w:color w:val="142B33"/>
                <w:sz w:val="17"/>
              </w:rPr>
              <w:t>Layer</w:t>
            </w:r>
          </w:p>
        </w:tc>
        <w:tc>
          <w:tcPr>
            <w:tcW w:type="dxa" w:w="6768"/>
            <w:shd w:val="clear" w:fill="E3EBFC"/>
          </w:tcPr>
          <w:p>
            <w:r/>
            <w:r>
              <w:rPr>
                <w:b/>
                <w:color w:val="142B33"/>
                <w:sz w:val="17"/>
              </w:rPr>
              <w:t>Components</w:t>
            </w:r>
          </w:p>
        </w:tc>
      </w:tr>
      <w:tr>
        <w:tc>
          <w:tcPr>
            <w:tcW w:type="dxa" w:w="432"/>
          </w:tcPr>
          <w:p>
            <w:pPr>
              <w:spacing w:after="40"/>
            </w:pPr>
            <w:r/>
            <w:r>
              <w:rPr>
                <w:b w:val="0"/>
                <w:sz w:val="17"/>
              </w:rPr>
              <w:t>1</w:t>
            </w:r>
          </w:p>
        </w:tc>
        <w:tc>
          <w:tcPr>
            <w:tcW w:type="dxa" w:w="2448"/>
          </w:tcPr>
          <w:p>
            <w:pPr>
              <w:spacing w:after="40"/>
            </w:pPr>
            <w:r/>
            <w:r>
              <w:rPr>
                <w:b/>
                <w:sz w:val="17"/>
              </w:rPr>
              <w:t>Intake</w:t>
            </w:r>
          </w:p>
        </w:tc>
        <w:tc>
          <w:tcPr>
            <w:tcW w:type="dxa" w:w="6768"/>
          </w:tcPr>
          <w:p>
            <w:pPr>
              <w:spacing w:after="40"/>
            </w:pPr>
            <w:r/>
            <w:r>
              <w:rPr>
                <w:b w:val="0"/>
                <w:sz w:val="17"/>
              </w:rPr>
              <w:t>The request contract (procedure · plan · region · clinical note · prior denial letter) → POST /api/cases on the API Proxy, which starts a workflow run (runId = request id).</w:t>
            </w:r>
          </w:p>
        </w:tc>
      </w:tr>
      <w:tr>
        <w:tc>
          <w:tcPr>
            <w:tcW w:type="dxa" w:w="432"/>
          </w:tcPr>
          <w:p>
            <w:pPr>
              <w:spacing w:after="40"/>
            </w:pPr>
            <w:r/>
            <w:r>
              <w:rPr>
                <w:b w:val="0"/>
                <w:sz w:val="17"/>
              </w:rPr>
              <w:t>2</w:t>
            </w:r>
          </w:p>
        </w:tc>
        <w:tc>
          <w:tcPr>
            <w:tcW w:type="dxa" w:w="2448"/>
          </w:tcPr>
          <w:p>
            <w:pPr>
              <w:spacing w:after="40"/>
            </w:pPr>
            <w:r/>
            <w:r>
              <w:rPr>
                <w:b/>
                <w:sz w:val="17"/>
              </w:rPr>
              <w:t>Compute · Orchestration</w:t>
            </w:r>
            <w:r>
              <w:rPr>
                <w:b w:val="0"/>
                <w:sz w:val="17"/>
              </w:rPr>
              <w:t xml:space="preserve"> (Microsoft Agent Framework)</w:t>
            </w:r>
          </w:p>
        </w:tc>
        <w:tc>
          <w:tcPr>
            <w:tcW w:type="dxa" w:w="6768"/>
          </w:tcPr>
          <w:p>
            <w:pPr>
              <w:spacing w:after="40"/>
            </w:pPr>
            <w:r/>
            <w:r>
              <w:rPr>
                <w:b w:val="0"/>
                <w:sz w:val="17"/>
              </w:rPr>
              <w:t>CareApprovalWorkflow — a typed graph of executors, hosted on Zynara.WorkflowHost (Azure Functions + ConfigureDurableWorkflows). Executors run as Durable Task activities — checkpointed, retried, replay-safe. The orchestrator owns the deterministic Gate; human review is a MAF RequestPort (pause → /respond/{runId} → resume).</w:t>
            </w:r>
          </w:p>
        </w:tc>
      </w:tr>
      <w:tr>
        <w:tc>
          <w:tcPr>
            <w:tcW w:type="dxa" w:w="432"/>
          </w:tcPr>
          <w:p>
            <w:pPr>
              <w:spacing w:after="40"/>
            </w:pPr>
            <w:r/>
            <w:r>
              <w:rPr>
                <w:b w:val="0"/>
                <w:sz w:val="17"/>
              </w:rPr>
              <w:t>3</w:t>
            </w:r>
          </w:p>
        </w:tc>
        <w:tc>
          <w:tcPr>
            <w:tcW w:type="dxa" w:w="2448"/>
          </w:tcPr>
          <w:p>
            <w:pPr>
              <w:spacing w:after="40"/>
            </w:pPr>
            <w:r/>
            <w:r>
              <w:rPr>
                <w:b/>
                <w:sz w:val="17"/>
              </w:rPr>
              <w:t>AI Foundry · Agent Service</w:t>
            </w:r>
          </w:p>
        </w:tc>
        <w:tc>
          <w:tcPr>
            <w:tcW w:type="dxa" w:w="6768"/>
          </w:tcPr>
          <w:p>
            <w:pPr>
              <w:spacing w:after="40"/>
            </w:pPr>
            <w:r/>
            <w:r>
              <w:rPr>
                <w:b w:val="0"/>
                <w:sz w:val="17"/>
              </w:rPr>
              <w:t>Five reasoning agents — needs-auth · evidence-gap · claims-extraction · precedent-strategist · critic — bound as MAF AIAgents to the existing server-side Foundry agents; each behind a Zynara.Core interface with a deterministic stub twin.</w:t>
            </w:r>
          </w:p>
        </w:tc>
      </w:tr>
      <w:tr>
        <w:tc>
          <w:tcPr>
            <w:tcW w:type="dxa" w:w="432"/>
          </w:tcPr>
          <w:p>
            <w:pPr>
              <w:spacing w:after="40"/>
            </w:pPr>
            <w:r/>
            <w:r>
              <w:rPr>
                <w:b w:val="0"/>
                <w:sz w:val="17"/>
              </w:rPr>
              <w:t>4</w:t>
            </w:r>
          </w:p>
        </w:tc>
        <w:tc>
          <w:tcPr>
            <w:tcW w:type="dxa" w:w="2448"/>
          </w:tcPr>
          <w:p>
            <w:pPr>
              <w:spacing w:after="40"/>
            </w:pPr>
            <w:r/>
            <w:r>
              <w:rPr>
                <w:b/>
                <w:sz w:val="17"/>
              </w:rPr>
              <w:t>Data</w:t>
            </w:r>
          </w:p>
        </w:tc>
        <w:tc>
          <w:tcPr>
            <w:tcW w:type="dxa" w:w="6768"/>
          </w:tcPr>
          <w:p>
            <w:pPr>
              <w:spacing w:after="40"/>
            </w:pPr>
            <w:r/>
            <w:r>
              <w:rPr>
                <w:b w:val="0"/>
                <w:sz w:val="17"/>
              </w:rPr>
              <w:t>Submission Adapter (Azure Function · the only path to payer portal / X12 278 / FHIR / fax) → Azure Cosmos DB serverless (cases · submissions · auths · denials · agentCalls, plus precedents / policies metadata) → Azure Blob Storage (policy docs · denial PDFs · precedent narratives) → Foundry File Search (one vector index).</w:t>
            </w:r>
          </w:p>
        </w:tc>
      </w:tr>
      <w:tr>
        <w:tc>
          <w:tcPr>
            <w:tcW w:type="dxa" w:w="432"/>
          </w:tcPr>
          <w:p>
            <w:pPr>
              <w:spacing w:after="40"/>
            </w:pPr>
            <w:r/>
            <w:r>
              <w:rPr>
                <w:b w:val="0"/>
                <w:sz w:val="17"/>
              </w:rPr>
              <w:t>5</w:t>
            </w:r>
          </w:p>
        </w:tc>
        <w:tc>
          <w:tcPr>
            <w:tcW w:type="dxa" w:w="2448"/>
          </w:tcPr>
          <w:p>
            <w:pPr>
              <w:spacing w:after="40"/>
            </w:pPr>
            <w:r/>
            <w:r>
              <w:rPr>
                <w:b/>
                <w:sz w:val="17"/>
              </w:rPr>
              <w:t>Experience</w:t>
            </w:r>
          </w:p>
        </w:tc>
        <w:tc>
          <w:tcPr>
            <w:tcW w:type="dxa" w:w="6768"/>
          </w:tcPr>
          <w:p>
            <w:pPr>
              <w:spacing w:after="40"/>
            </w:pPr>
            <w:r/>
            <w:r>
              <w:rPr>
                <w:b w:val="0"/>
                <w:sz w:val="17"/>
              </w:rPr>
              <w:t>Reviewer (human) → Dashboard (Zynara.Dashboard, Static Web App + linked backend): Review queue · Approve/reject (routed to the workflow RequestPort) · Recovery &amp; cost — with a UK ⇄ US header control → API Proxy (Azure Function; read models + relays /run + /respond/{runId} to the workflow).</w:t>
            </w:r>
          </w:p>
        </w:tc>
      </w:tr>
    </w:tbl>
    <w:p>
      <w:pPr>
        <w:spacing w:after="40"/>
      </w:pPr>
    </w:p>
    <w:p>
      <w:pPr>
        <w:spacing w:after="60"/>
      </w:pPr>
      <w:r>
        <w:rPr>
          <w:b/>
          <w:i w:val="0"/>
        </w:rPr>
        <w:t>Cross-cutting (applies to every layer):</w:t>
      </w:r>
    </w:p>
    <w:p>
      <w:pPr>
        <w:pStyle w:val="ListBullet"/>
        <w:spacing w:after="60"/>
      </w:pPr>
      <w:r>
        <w:rPr>
          <w:b/>
          <w:i w:val="0"/>
        </w:rPr>
        <w:t xml:space="preserve">Security &amp; Identity — </w:t>
      </w:r>
      <w:r>
        <w:rPr>
          <w:b w:val="0"/>
          <w:i w:val="0"/>
        </w:rPr>
        <w:t>managed identity first: Cosmos data-plane RBAC, Foundry (Cognitive Services User), Blob (Blob Data Contributor). The reasoning identity holds no payer secret; the submission identity has no model access. The payer credential and the two unavoidable strings (App Insights connection, content-share key) live in Key Vault. No PHI anywhere in scope.</w:t>
      </w:r>
    </w:p>
    <w:p>
      <w:pPr>
        <w:pStyle w:val="ListBullet"/>
        <w:spacing w:after="60"/>
      </w:pPr>
      <w:r>
        <w:rPr>
          <w:b/>
          <w:i w:val="0"/>
        </w:rPr>
        <w:t xml:space="preserve">Observability — </w:t>
      </w:r>
      <w:r>
        <w:rPr>
          <w:b w:val="0"/>
          <w:i w:val="0"/>
        </w:rPr>
        <w:t>App Insights via the Azure Monitor OpenTelemetry exporter. ZynaraTelemetry emits pipeline.run → spoke.&lt;name&gt; → invoke_agent &lt;name&gt; → chat &lt;model&gt; per request (verified live from zynara-workflowhost). Per-agent cost meter off agentCalls, each row carrying the trace id. Zynara.Eval CI gate.</w:t>
      </w:r>
    </w:p>
    <w:p>
      <w:pPr>
        <w:pStyle w:val="ListBullet"/>
        <w:spacing w:after="60"/>
      </w:pPr>
      <w:r>
        <w:rPr>
          <w:b/>
          <w:i w:val="0"/>
        </w:rPr>
        <w:t xml:space="preserve">Responsible AI — </w:t>
      </w:r>
      <w:r>
        <w:rPr>
          <w:b w:val="0"/>
          <w:i w:val="0"/>
        </w:rPr>
        <w:t>the Gate routes every gap or low-confidence case to a human; the Submission Adapter is the sole actor that touches a payer; deterministic code owns every decision value; every recommendation retains its grounding. Production hardening is named in §10, not built.</w:t>
      </w:r>
    </w:p>
    <w:p>
      <w:pPr>
        <w:pStyle w:val="Heading1"/>
      </w:pPr>
      <w:r>
        <w:t>5. End-to-End Flow</w:t>
      </w:r>
    </w:p>
    <w:p>
      <w:pPr>
        <w:spacing w:after="120"/>
      </w:pPr>
      <w:r>
        <w:rPr>
          <w:b w:val="0"/>
          <w:i/>
          <w:color w:val="44555C"/>
          <w:sz w:val="19"/>
        </w:rPr>
        <w:t>Submit → NeedsAuth → Gap → Claims → Precedent → Critic → Gate → Assemble → Route → [AutoSubmit | Review] → Send → (Decision) → Appeal → Review</w:t>
      </w:r>
    </w:p>
    <w:p>
      <w:pPr>
        <w:pStyle w:val="ListNumber"/>
        <w:spacing w:after="60"/>
      </w:pPr>
      <w:r>
        <w:rPr>
          <w:b/>
          <w:i w:val="0"/>
        </w:rPr>
        <w:t xml:space="preserve">Submit — </w:t>
      </w:r>
      <w:r>
        <w:rPr>
          <w:b w:val="0"/>
          <w:i w:val="0"/>
        </w:rPr>
        <w:t>POST /api/cases on the API Proxy; it starts a workflow run (/api/workflows/CareApprovalPipeline/run?runId={requestId}) and polls the case store for the assembled result.</w:t>
      </w:r>
    </w:p>
    <w:p>
      <w:pPr>
        <w:pStyle w:val="ListNumber"/>
        <w:spacing w:after="60"/>
      </w:pPr>
      <w:r>
        <w:rPr>
          <w:b/>
          <w:i w:val="0"/>
        </w:rPr>
        <w:t xml:space="preserve">NeedsAuth — </w:t>
      </w:r>
      <w:r>
        <w:rPr>
          <w:b w:val="0"/>
          <w:i w:val="0"/>
        </w:rPr>
        <w:t>the needs-auth executor resolves the payer+plan rule set; the agent narrates ambiguous plan language → {authRequired, code, policyRef}. Not required → stop, nothing submitted.</w:t>
      </w:r>
    </w:p>
    <w:p>
      <w:pPr>
        <w:pStyle w:val="ListNumber"/>
        <w:spacing w:after="60"/>
      </w:pPr>
      <w:r>
        <w:rPr>
          <w:b/>
          <w:i w:val="0"/>
        </w:rPr>
        <w:t xml:space="preserve">Gap — </w:t>
      </w:r>
      <w:r>
        <w:rPr>
          <w:b w:val="0"/>
          <w:i w:val="0"/>
        </w:rPr>
        <w:t>evidence-gap reads the clinical note against the payer's written criteria (Foundry File Search) → per-criterion status + supporting quote + evidence-quality grade.</w:t>
      </w:r>
    </w:p>
    <w:p>
      <w:pPr>
        <w:pStyle w:val="ListNumber"/>
        <w:spacing w:after="60"/>
      </w:pPr>
      <w:r>
        <w:rPr>
          <w:b/>
          <w:i w:val="0"/>
        </w:rPr>
        <w:t xml:space="preserve">Claims — </w:t>
      </w:r>
      <w:r>
        <w:rPr>
          <w:b w:val="0"/>
          <w:i w:val="0"/>
        </w:rPr>
        <w:t>claims-extraction pulls the note's clinical claims and flags a self-contradiction.</w:t>
      </w:r>
    </w:p>
    <w:p>
      <w:pPr>
        <w:pStyle w:val="ListNumber"/>
        <w:spacing w:after="60"/>
      </w:pPr>
      <w:r>
        <w:rPr>
          <w:b/>
          <w:i w:val="0"/>
        </w:rPr>
        <w:t xml:space="preserve">Precedent — </w:t>
      </w:r>
      <w:r>
        <w:rPr>
          <w:b w:val="0"/>
          <w:i w:val="0"/>
        </w:rPr>
        <w:t>precedent-match (deterministic) filters the precedents metadata; precedent-strategist reasons over the File-Search-retrieved narratives, reports the recorded outcomes, and recommends submit / strengthen / appeal.</w:t>
      </w:r>
    </w:p>
    <w:p>
      <w:pPr>
        <w:pStyle w:val="ListNumber"/>
        <w:spacing w:after="60"/>
      </w:pPr>
      <w:r>
        <w:rPr>
          <w:b/>
          <w:i w:val="0"/>
        </w:rPr>
        <w:t xml:space="preserve">Critic — </w:t>
      </w:r>
      <w:r>
        <w:rPr>
          <w:b w:val="0"/>
          <w:i w:val="0"/>
        </w:rPr>
        <w:t>critic runs its seven checks; verdict (Clear / Concerns / Block / Abstain) and any flags attach to the case.</w:t>
      </w:r>
    </w:p>
    <w:p>
      <w:pPr>
        <w:pStyle w:val="ListNumber"/>
        <w:spacing w:after="60"/>
      </w:pPr>
      <w:r>
        <w:rPr>
          <w:b/>
          <w:i w:val="0"/>
        </w:rPr>
        <w:t xml:space="preserve">Gate — </w:t>
      </w:r>
      <w:r>
        <w:rPr>
          <w:b w:val="0"/>
          <w:i w:val="0"/>
        </w:rPr>
        <w:t>deterministic. Any unmet mandatory criterion or a contradiction → HumanReview; a Critic Block → HumanReview regardless of the numbers; thin evidence + weak precedent, or a Critic Abstain → Abstain; value over the auto-limit → HumanReview; an undocumented supporting criterion, medium evidence, or Critic Concerns → Strengthen; otherwise → AutoSubmit. Every route carries its working.</w:t>
      </w:r>
    </w:p>
    <w:p>
      <w:pPr>
        <w:pStyle w:val="ListNumber"/>
        <w:spacing w:after="60"/>
      </w:pPr>
      <w:r>
        <w:rPr>
          <w:b/>
          <w:i w:val="0"/>
        </w:rPr>
        <w:t xml:space="preserve">Assemble &amp; persist — </w:t>
      </w:r>
      <w:r>
        <w:rPr>
          <w:b w:val="0"/>
          <w:i w:val="0"/>
        </w:rPr>
        <w:t>one assemble executor runs the whole reasoning pipeline in-process, persists the PipelineResult to Cosmos, then emits a slim routing message (coarse-graph design — §7).</w:t>
      </w:r>
    </w:p>
    <w:p>
      <w:pPr>
        <w:pStyle w:val="ListNumber"/>
        <w:spacing w:after="60"/>
      </w:pPr>
      <w:r>
        <w:rPr>
          <w:b/>
          <w:i w:val="0"/>
        </w:rPr>
        <w:t xml:space="preserve">Route — </w:t>
      </w:r>
      <w:r>
        <w:rPr>
          <w:b w:val="0"/>
          <w:i w:val="0"/>
        </w:rPr>
        <w:t>AutoSubmit → the auto-approve executor records a system decision and hands the case to the Submission Adapter. Any other route → the workflow raises a ReviewCard on the review RequestPort and pauses.</w:t>
      </w:r>
    </w:p>
    <w:p>
      <w:pPr>
        <w:pStyle w:val="ListNumber"/>
        <w:spacing w:after="60"/>
      </w:pPr>
      <w:r>
        <w:rPr>
          <w:b/>
          <w:i w:val="0"/>
        </w:rPr>
        <w:t xml:space="preserve">Review — </w:t>
      </w:r>
      <w:r>
        <w:rPr>
          <w:b w:val="0"/>
          <w:i w:val="0"/>
        </w:rPr>
        <w:t>the reviewer approves/rejects from the dashboard; the API Proxy delivers the decision to /respond/{runId}; the workflow resumes, the apply-decision executor enforces ApprovalAuthority, and on an authorised approve-send hands the case to the Submission Adapter.</w:t>
      </w:r>
    </w:p>
    <w:p>
      <w:pPr>
        <w:pStyle w:val="ListNumber"/>
        <w:spacing w:after="60"/>
      </w:pPr>
      <w:r>
        <w:rPr>
          <w:b/>
          <w:i w:val="0"/>
        </w:rPr>
        <w:t xml:space="preserve">Send — </w:t>
      </w:r>
      <w:r>
        <w:rPr>
          <w:b w:val="0"/>
          <w:i w:val="0"/>
        </w:rPr>
        <w:t>the Submission Adapter submits to the payer in their format (portal / X12 278 / FHIR / fax) — the only outbound path.</w:t>
      </w:r>
    </w:p>
    <w:p>
      <w:pPr>
        <w:pStyle w:val="ListNumber"/>
        <w:spacing w:after="60"/>
      </w:pPr>
      <w:r>
        <w:rPr>
          <w:b/>
          <w:i w:val="0"/>
        </w:rPr>
        <w:t xml:space="preserve">Decision → Appeal — </w:t>
      </w:r>
      <w:r>
        <w:rPr>
          <w:b w:val="0"/>
          <w:i w:val="0"/>
        </w:rPr>
        <w:t>on denial, precedent-strategist drafts the appeal citing the misapplied clause and the precedent ids; critic reviews it; deterministic code fills the dates and the region-specific escalation route; the reviewer approves; the Adapter files it.</w:t>
      </w:r>
    </w:p>
    <w:p>
      <w:pPr>
        <w:spacing w:after="120"/>
      </w:pPr>
      <w:r>
        <w:rPr>
          <w:b w:val="0"/>
          <w:i w:val="0"/>
          <w:color w:val="44555C"/>
          <w:sz w:val="19"/>
        </w:rPr>
        <w:t>Throughout: one trace id per request across every hop; every agent call written to agentCalls; no agent performs an outbound action.</w:t>
      </w:r>
    </w:p>
    <w:p>
      <w:pPr>
        <w:pStyle w:val="Heading1"/>
      </w:pPr>
      <w:r>
        <w:t>6. Components, Service by Service</w:t>
      </w:r>
    </w:p>
    <w:p>
      <w:pPr>
        <w:spacing w:after="120"/>
      </w:pPr>
      <w:r>
        <w:rPr>
          <w:b/>
          <w:i w:val="0"/>
        </w:rPr>
        <w:t xml:space="preserve">Intake / API Proxy — </w:t>
      </w:r>
      <w:r>
        <w:rPr>
          <w:b w:val="0"/>
          <w:i w:val="0"/>
        </w:rPr>
        <w:t>POST /api/cases validates the request DTO and starts a workflow run keyed on request id. The API Proxy also serves read models to the dashboard and relays reviewer decisions to /respond/{runId}. It shares the Cosmos case store with the workflow host.</w:t>
      </w:r>
    </w:p>
    <w:p>
      <w:pPr>
        <w:spacing w:after="60"/>
      </w:pPr>
      <w:r>
        <w:rPr>
          <w:b/>
          <w:i w:val="0"/>
        </w:rPr>
        <w:t>Compute · Orchestration (Microsoft Agent Framework) —</w:t>
      </w:r>
    </w:p>
    <w:p>
      <w:pPr>
        <w:pStyle w:val="ListBullet"/>
        <w:spacing w:after="60"/>
      </w:pPr>
      <w:r>
        <w:rPr>
          <w:b/>
          <w:i w:val="0"/>
        </w:rPr>
        <w:t xml:space="preserve">CareApprovalWorkflow — </w:t>
      </w:r>
      <w:r>
        <w:rPr>
          <w:b w:val="0"/>
          <w:i w:val="0"/>
        </w:rPr>
        <w:t>the typed executor graph. Two shapes from one definition: a fine-grained per-step graph (Build) used by the eval harness and the in-process tests, and a coarse durable graph (BuildDurable) for the hosted app.</w:t>
      </w:r>
    </w:p>
    <w:p>
      <w:pPr>
        <w:pStyle w:val="ListBullet"/>
        <w:spacing w:after="60"/>
      </w:pPr>
      <w:r>
        <w:rPr>
          <w:b/>
          <w:i w:val="0"/>
        </w:rPr>
        <w:t xml:space="preserve">Executors — </w:t>
      </w:r>
      <w:r>
        <w:rPr>
          <w:b w:val="0"/>
          <w:i w:val="0"/>
        </w:rPr>
        <w:t>needs-auth, evidence-gap, claims-extraction, precedent-match, critic, the Gate, assemble, auto-approve, review-card, apply-decision. Each is a thin lambda over the existing Zynara.Core logic; deterministic wrappers, no LLM in the wrapper.</w:t>
      </w:r>
    </w:p>
    <w:p>
      <w:pPr>
        <w:pStyle w:val="ListBullet"/>
        <w:spacing w:after="60"/>
      </w:pPr>
      <w:r>
        <w:rPr>
          <w:b/>
          <w:i w:val="0"/>
        </w:rPr>
        <w:t xml:space="preserve">Zynara.WorkflowHost — </w:t>
      </w:r>
      <w:r>
        <w:rPr>
          <w:b w:val="0"/>
          <w:i w:val="0"/>
        </w:rPr>
        <w:t>an Azure Functions app; FunctionsApplication.CreateBuilder + ConfigureDurableWorkflows auto-generate the HTTP surface (/run, /respond/{runId}) and one Durable activity per executor. Durable Task on AzureWebJobsStorage is the checkpoint / replay backend — no separate scheduler resource.</w:t>
      </w:r>
    </w:p>
    <w:p>
      <w:pPr>
        <w:spacing w:after="120"/>
      </w:pPr>
      <w:r>
        <w:rPr>
          <w:b/>
          <w:i w:val="0"/>
        </w:rPr>
        <w:t xml:space="preserve">AI Foundry · Agent Service — </w:t>
      </w:r>
      <w:r>
        <w:rPr>
          <w:b w:val="0"/>
          <w:i w:val="0"/>
        </w:rPr>
        <w:t>five agents provisioned via Azure.AI.Projects (AgentAdministrationClient.CreateAgentVersion), bound at runtime as MAF AIAgents (AIProjectClient.AsAIAgent) — bind-to-existing, never re-create. Each behind a Zynara.Core interface with a deterministic stub twin.</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160"/>
            <w:shd w:val="clear" w:fill="E3EBFC"/>
          </w:tcPr>
          <w:p>
            <w:r/>
            <w:r>
              <w:rPr>
                <w:b/>
                <w:color w:val="142B33"/>
                <w:sz w:val="17"/>
              </w:rPr>
              <w:t>Agent</w:t>
            </w:r>
          </w:p>
        </w:tc>
        <w:tc>
          <w:tcPr>
            <w:tcW w:type="dxa" w:w="4752"/>
            <w:shd w:val="clear" w:fill="E3EBFC"/>
          </w:tcPr>
          <w:p>
            <w:r/>
            <w:r>
              <w:rPr>
                <w:b/>
                <w:color w:val="142B33"/>
                <w:sz w:val="17"/>
              </w:rPr>
              <w:t>Reasoning job</w:t>
            </w:r>
          </w:p>
        </w:tc>
        <w:tc>
          <w:tcPr>
            <w:tcW w:type="dxa" w:w="2736"/>
            <w:shd w:val="clear" w:fill="E3EBFC"/>
          </w:tcPr>
          <w:p>
            <w:r/>
            <w:r>
              <w:rPr>
                <w:b/>
                <w:color w:val="142B33"/>
                <w:sz w:val="17"/>
              </w:rPr>
              <w:t>Tools / grounding</w:t>
            </w:r>
          </w:p>
        </w:tc>
      </w:tr>
      <w:tr>
        <w:tc>
          <w:tcPr>
            <w:tcW w:type="dxa" w:w="2160"/>
          </w:tcPr>
          <w:p>
            <w:pPr>
              <w:spacing w:after="40"/>
            </w:pPr>
            <w:r/>
            <w:r>
              <w:rPr>
                <w:b w:val="0"/>
                <w:sz w:val="17"/>
              </w:rPr>
              <w:t>needs-auth-agent</w:t>
            </w:r>
          </w:p>
        </w:tc>
        <w:tc>
          <w:tcPr>
            <w:tcW w:type="dxa" w:w="4752"/>
          </w:tcPr>
          <w:p>
            <w:pPr>
              <w:spacing w:after="40"/>
            </w:pPr>
            <w:r/>
            <w:r>
              <w:rPr>
                <w:b w:val="0"/>
                <w:sz w:val="17"/>
              </w:rPr>
              <w:t>Plain-language reading of ambiguous plan text</w:t>
            </w:r>
          </w:p>
        </w:tc>
        <w:tc>
          <w:tcPr>
            <w:tcW w:type="dxa" w:w="2736"/>
          </w:tcPr>
          <w:p>
            <w:pPr>
              <w:spacing w:after="40"/>
            </w:pPr>
            <w:r/>
            <w:r>
              <w:rPr>
                <w:b w:val="0"/>
                <w:sz w:val="17"/>
              </w:rPr>
              <w:t>payer rule-set, procedure-code lookup</w:t>
            </w:r>
          </w:p>
        </w:tc>
      </w:tr>
      <w:tr>
        <w:tc>
          <w:tcPr>
            <w:tcW w:type="dxa" w:w="2160"/>
          </w:tcPr>
          <w:p>
            <w:pPr>
              <w:spacing w:after="40"/>
            </w:pPr>
            <w:r/>
            <w:r>
              <w:rPr>
                <w:b w:val="0"/>
                <w:sz w:val="17"/>
              </w:rPr>
              <w:t>evidence-gap-agent</w:t>
            </w:r>
          </w:p>
        </w:tc>
        <w:tc>
          <w:tcPr>
            <w:tcW w:type="dxa" w:w="4752"/>
          </w:tcPr>
          <w:p>
            <w:pPr>
              <w:spacing w:after="40"/>
            </w:pPr>
            <w:r/>
            <w:r>
              <w:rPr>
                <w:b w:val="0"/>
                <w:sz w:val="17"/>
              </w:rPr>
              <w:t>Clinical note vs. the numbered criteria — per-criterion status + supporting quote + evidence-quality grade</w:t>
            </w:r>
          </w:p>
        </w:tc>
        <w:tc>
          <w:tcPr>
            <w:tcW w:type="dxa" w:w="2736"/>
          </w:tcPr>
          <w:p>
            <w:pPr>
              <w:spacing w:after="40"/>
            </w:pPr>
            <w:r/>
            <w:r>
              <w:rPr>
                <w:b w:val="0"/>
                <w:sz w:val="17"/>
              </w:rPr>
              <w:t>Foundry File Search over policies/</w:t>
            </w:r>
          </w:p>
        </w:tc>
      </w:tr>
      <w:tr>
        <w:tc>
          <w:tcPr>
            <w:tcW w:type="dxa" w:w="2160"/>
          </w:tcPr>
          <w:p>
            <w:pPr>
              <w:spacing w:after="40"/>
            </w:pPr>
            <w:r/>
            <w:r>
              <w:rPr>
                <w:b w:val="0"/>
                <w:sz w:val="17"/>
              </w:rPr>
              <w:t>claims-extraction-agent</w:t>
            </w:r>
          </w:p>
        </w:tc>
        <w:tc>
          <w:tcPr>
            <w:tcW w:type="dxa" w:w="4752"/>
          </w:tcPr>
          <w:p>
            <w:pPr>
              <w:spacing w:after="40"/>
            </w:pPr>
            <w:r/>
            <w:r>
              <w:rPr>
                <w:b w:val="0"/>
                <w:sz w:val="17"/>
              </w:rPr>
              <w:t>Pulls the note's clinical claims; flags a self-contradiction</w:t>
            </w:r>
          </w:p>
        </w:tc>
        <w:tc>
          <w:tcPr>
            <w:tcW w:type="dxa" w:w="2736"/>
          </w:tcPr>
          <w:p>
            <w:pPr>
              <w:spacing w:after="40"/>
            </w:pPr>
            <w:r/>
            <w:r>
              <w:rPr>
                <w:b w:val="0"/>
                <w:sz w:val="17"/>
              </w:rPr>
              <w:t>the clinical note</w:t>
            </w:r>
          </w:p>
        </w:tc>
      </w:tr>
      <w:tr>
        <w:tc>
          <w:tcPr>
            <w:tcW w:type="dxa" w:w="2160"/>
          </w:tcPr>
          <w:p>
            <w:pPr>
              <w:spacing w:after="40"/>
            </w:pPr>
            <w:r/>
            <w:r>
              <w:rPr>
                <w:b w:val="0"/>
                <w:sz w:val="17"/>
              </w:rPr>
              <w:t>precedent-strategist-agent</w:t>
            </w:r>
          </w:p>
        </w:tc>
        <w:tc>
          <w:tcPr>
            <w:tcW w:type="dxa" w:w="4752"/>
          </w:tcPr>
          <w:p>
            <w:pPr>
              <w:spacing w:after="40"/>
            </w:pPr>
            <w:r/>
            <w:r>
              <w:rPr>
                <w:b w:val="0"/>
                <w:sz w:val="17"/>
              </w:rPr>
              <w:t>Corpus-level fact-pattern match over recorded outcomes; drafts the appeal argument</w:t>
            </w:r>
          </w:p>
        </w:tc>
        <w:tc>
          <w:tcPr>
            <w:tcW w:type="dxa" w:w="2736"/>
          </w:tcPr>
          <w:p>
            <w:pPr>
              <w:spacing w:after="40"/>
            </w:pPr>
            <w:r/>
            <w:r>
              <w:rPr>
                <w:b w:val="0"/>
                <w:sz w:val="17"/>
              </w:rPr>
              <w:t>precedents metadata + narratives (File Search)</w:t>
            </w:r>
          </w:p>
        </w:tc>
      </w:tr>
      <w:tr>
        <w:tc>
          <w:tcPr>
            <w:tcW w:type="dxa" w:w="2160"/>
          </w:tcPr>
          <w:p>
            <w:pPr>
              <w:spacing w:after="40"/>
            </w:pPr>
            <w:r/>
            <w:r>
              <w:rPr>
                <w:b/>
                <w:sz w:val="17"/>
              </w:rPr>
              <w:t>critic-agent</w:t>
            </w:r>
          </w:p>
        </w:tc>
        <w:tc>
          <w:tcPr>
            <w:tcW w:type="dxa" w:w="4752"/>
          </w:tcPr>
          <w:p>
            <w:pPr>
              <w:spacing w:after="40"/>
            </w:pPr>
            <w:r/>
            <w:r>
              <w:rPr>
                <w:b w:val="0"/>
                <w:sz w:val="17"/>
              </w:rPr>
              <w:t>Tries to disprove the assembled recommendation — the seven checks — and can force a human or an abstention</w:t>
            </w:r>
          </w:p>
        </w:tc>
        <w:tc>
          <w:tcPr>
            <w:tcW w:type="dxa" w:w="2736"/>
          </w:tcPr>
          <w:p>
            <w:pPr>
              <w:spacing w:after="40"/>
            </w:pPr>
            <w:r/>
            <w:r>
              <w:rPr>
                <w:b w:val="0"/>
                <w:sz w:val="17"/>
              </w:rPr>
              <w:t>the whole assembled case + File Search</w:t>
            </w:r>
          </w:p>
        </w:tc>
      </w:tr>
    </w:tbl>
    <w:p>
      <w:pPr>
        <w:spacing w:after="40"/>
      </w:pPr>
    </w:p>
    <w:p>
      <w:pPr>
        <w:spacing w:after="120"/>
      </w:pPr>
      <w:r>
        <w:rPr>
          <w:b/>
          <w:i w:val="0"/>
        </w:rPr>
        <w:t xml:space="preserve">Data — </w:t>
      </w:r>
      <w:r>
        <w:rPr>
          <w:b w:val="0"/>
          <w:i w:val="0"/>
        </w:rPr>
        <w:t>Submission Adapter (Function; the only path to payer portal / X12 / FHIR / fax); Azure Cosmos DB serverless (Core/NoSQL) — one container per aggregate, partition key /requestId or /payerPlan, session consistency; Azure Blob Storage (policies/&lt;region&gt;/&lt;payer&gt;/&lt;procedure&gt;.md, denials/&lt;requestId&gt;.pdf, precedents/&lt;caseId&gt;.md); Foundry File Search — the one vector index over the Blob corpus.</w:t>
      </w:r>
    </w:p>
    <w:p>
      <w:pPr>
        <w:spacing w:after="120"/>
      </w:pPr>
      <w:r>
        <w:rPr>
          <w:b/>
          <w:i w:val="0"/>
        </w:rPr>
        <w:t xml:space="preserve">Experience — </w:t>
      </w:r>
      <w:r>
        <w:rPr>
          <w:b w:val="0"/>
          <w:i w:val="0"/>
        </w:rPr>
        <w:t>Reviewer (human); Dashboard (Zynara.Dashboard, Static Web App Standard + linked backend, same-origin /api); API Proxy.</w:t>
      </w:r>
    </w:p>
    <w:p>
      <w:pPr>
        <w:spacing w:after="120"/>
      </w:pPr>
      <w:r>
        <w:rPr>
          <w:b/>
          <w:i w:val="0"/>
        </w:rPr>
        <w:t xml:space="preserve">Cross-cutting — </w:t>
      </w:r>
      <w:r>
        <w:rPr>
          <w:b w:val="0"/>
          <w:i w:val="0"/>
        </w:rPr>
        <w:t>managed identity; Key Vault (payer credential + App Insights + content-share strings); App Insights (one trace id per request); Zynara.Eval (labelled clinical-case set, CI-gated); Zynara.DbDeploy (azd post-provision — create containers, upload the corpus, seed).</w:t>
      </w:r>
    </w:p>
    <w:p>
      <w:pPr>
        <w:pStyle w:val="Heading1"/>
      </w:pPr>
      <w:r>
        <w:t>7. The Microsoft Agent Framework Workflow — in Detail</w:t>
      </w:r>
    </w:p>
    <w:p>
      <w:pPr>
        <w:spacing w:after="120"/>
      </w:pPr>
      <w:r>
        <w:rPr>
          <w:b w:val="0"/>
          <w:i w:val="0"/>
        </w:rPr>
        <w:t>The orchestration layer is the design's centrepiece and the reference pattern for the team's forthcoming agent projects.</w:t>
      </w:r>
    </w:p>
    <w:p>
      <w:pPr>
        <w:spacing w:after="120"/>
      </w:pPr>
      <w:r>
        <w:rPr>
          <w:b/>
          <w:i w:val="0"/>
        </w:rPr>
        <w:t xml:space="preserve">Why the framework, not a hand-rolled orchestrator. </w:t>
      </w:r>
      <w:r>
        <w:rPr>
          <w:b w:val="0"/>
          <w:i w:val="0"/>
        </w:rPr>
        <w:t>The Microsoft Agent Framework — the unification of Semantic Kernel and AutoGen, Microsoft's recommended framework for production agent systems on .NET — provides, as framework primitives, exactly what a prior-auth pipeline needs and would otherwise hand-build: a typed graph of executors with conditional edges, a first-class human-in-the-loop pause/resume (RequestPort), durable checkpoint + replay via Durable Task, and built-in OpenTelemetry. Building this reference pattern once, on the framework Microsoft recommends, is worth more than the equivalent bespoke Durable Functions code — for this project and the next.</w:t>
      </w:r>
    </w:p>
    <w:p>
      <w:pPr>
        <w:spacing w:after="40"/>
      </w:pPr>
      <w:r>
        <w:rPr>
          <w:b/>
          <w:i w:val="0"/>
        </w:rPr>
        <w:t>The graph.</w:t>
      </w:r>
    </w:p>
    <w:p>
      <w:pPr>
        <w:spacing w:after="120"/>
      </w:pPr>
      <w:r>
        <w:rPr>
          <w:rFonts w:ascii="Consolas" w:hAnsi="Consolas"/>
          <w:color w:val="44555C"/>
          <w:sz w:val="17"/>
        </w:rPr>
        <w:t>Request → assemble ─┬(AutoSubmit)→ auto-approve → submit</w:t>
        <w:br/>
        <w:t xml:space="preserve">                    └(else)→ review-card → [review RequestPort] → apply-decision</w:t>
        <w:br/>
        <w:t xml:space="preserve">                                                          └(approve-send, authorised)→ submit</w:t>
      </w:r>
    </w:p>
    <w:p>
      <w:pPr>
        <w:pStyle w:val="ListBullet"/>
        <w:spacing w:after="60"/>
      </w:pPr>
      <w:r>
        <w:rPr>
          <w:b/>
          <w:i w:val="0"/>
        </w:rPr>
        <w:t xml:space="preserve">The Gate is a plain executor, </w:t>
      </w:r>
      <w:r>
        <w:rPr>
          <w:b w:val="0"/>
          <w:i w:val="0"/>
        </w:rPr>
        <w:t>never an agent — the hybrid principle, preserved.</w:t>
      </w:r>
    </w:p>
    <w:p>
      <w:pPr>
        <w:pStyle w:val="ListBullet"/>
        <w:spacing w:after="60"/>
      </w:pPr>
      <w:r>
        <w:rPr>
          <w:b/>
          <w:i w:val="0"/>
        </w:rPr>
        <w:t xml:space="preserve">Human review is a RequestPort </w:t>
      </w:r>
      <w:r>
        <w:rPr>
          <w:b w:val="0"/>
          <w:i w:val="0"/>
        </w:rPr>
        <w:t>— the workflow pauses with a ReviewCard, the host answers /respond/{runId} with a ReviewDecision, the workflow resumes at apply-decision.</w:t>
      </w:r>
    </w:p>
    <w:p>
      <w:pPr>
        <w:pStyle w:val="ListBullet"/>
        <w:spacing w:after="60"/>
      </w:pPr>
      <w:r>
        <w:rPr>
          <w:b/>
          <w:i w:val="0"/>
        </w:rPr>
        <w:t xml:space="preserve">assemble is coarse by design. </w:t>
      </w:r>
      <w:r>
        <w:rPr>
          <w:b w:val="0"/>
          <w:i w:val="0"/>
        </w:rPr>
        <w:t>The framework serialises the workflow's runtime snapshot into Durable Task's CustomStatus, which is hard-capped at 16 KB. A fine-grained graph that threaded every agent result down the edges exceeded that. So the hosted graph runs the whole reasoning pipeline inside one assemble executor, persists the bulky PipelineResult to Cosmos, and threads only a slim routing message from there. The fine-grained per-step graph is retained for InProcessExecution — that is where the per-step route-agreement tests and the eval harness run.</w:t>
      </w:r>
    </w:p>
    <w:p>
      <w:pPr>
        <w:spacing w:after="120"/>
      </w:pPr>
      <w:r>
        <w:rPr>
          <w:b/>
          <w:i w:val="0"/>
        </w:rPr>
        <w:t xml:space="preserve">Hosting. </w:t>
      </w:r>
      <w:r>
        <w:rPr>
          <w:b w:val="0"/>
          <w:i w:val="0"/>
        </w:rPr>
        <w:t>ConfigureDurableWorkflows on an Azure Functions app generates the HTTP surface and the activity-per-executor set at runtime; AzureWebJobsStorage is the Durable Task backend, so there is no Durable Task Scheduler resource to provision. The workflow host runs alongside the v1 Durable Functions orchestrator during the transition and is deployed live to zynara-spike-rg.</w:t>
      </w:r>
    </w:p>
    <w:p>
      <w:pPr>
        <w:spacing w:after="120"/>
      </w:pPr>
      <w:r>
        <w:rPr>
          <w:b/>
          <w:i w:val="0"/>
        </w:rPr>
        <w:t xml:space="preserve">Verified live </w:t>
      </w:r>
      <w:r>
        <w:rPr>
          <w:b w:val="0"/>
          <w:i w:val="0"/>
        </w:rPr>
        <w:t>(real GPT-5.4): both the auto-submit path and the human-review → respond → submit path complete end-to-end with no CustomStatus error; App Insights shows the full pipeline.run → spoke.* → invoke_agent * → chat gpt-5.4 → submission.send trace tree from zynara-workflowhost.</w:t>
      </w:r>
    </w:p>
    <w:p>
      <w:pPr>
        <w:pStyle w:val="Heading1"/>
      </w:pPr>
      <w:r>
        <w:t>8. The Deterministic Gate &amp; Responsible AI</w:t>
      </w:r>
    </w:p>
    <w:p>
      <w:pPr>
        <w:spacing w:after="120"/>
      </w:pPr>
      <w:r>
        <w:rPr>
          <w:b/>
          <w:i w:val="0"/>
        </w:rPr>
        <w:t xml:space="preserve">The Gate weighs a structured model, not one number. </w:t>
      </w:r>
      <w:r>
        <w:rPr>
          <w:b w:val="0"/>
          <w:i w:val="0"/>
        </w:rPr>
        <w:t>Inputs: mandatory-criterion status, supporting-criterion counts, evidence quality, contradiction flag, precedent-support level, the Critic verdict, the estimated value, and whether this is an appeal. Rules: any unmet mandatory criterion or a contradiction → HumanReview; a Critic Block → HumanReview regardless of the numbers; a Critic Abstain, or low-quality evidence with weak/none precedent support → Abstain; value over the auto-limit → HumanReview; an undocumented supporting criterion, medium evidence, or Critic Concerns → Strengthen; otherwise → AutoSubmit. Every route is shown with its working.</w:t>
      </w:r>
    </w:p>
    <w:p>
      <w:pPr>
        <w:spacing w:after="60"/>
      </w:pPr>
      <w:r>
        <w:rPr>
          <w:b/>
          <w:i w:val="0"/>
        </w:rPr>
        <w:t>In scope, built and demonstrated:</w:t>
      </w:r>
    </w:p>
    <w:p>
      <w:pPr>
        <w:pStyle w:val="ListBullet"/>
        <w:spacing w:after="60"/>
      </w:pPr>
      <w:r>
        <w:rPr>
          <w:b/>
          <w:i w:val="0"/>
        </w:rPr>
        <w:t xml:space="preserve">Every outbound action is human-approved </w:t>
      </w:r>
      <w:r>
        <w:rPr>
          <w:b w:val="0"/>
          <w:i w:val="0"/>
        </w:rPr>
        <w:t>— submit and appeal both. The Submission Adapter is the sole actor with payer reach.</w:t>
      </w:r>
    </w:p>
    <w:p>
      <w:pPr>
        <w:pStyle w:val="ListBullet"/>
        <w:spacing w:after="60"/>
      </w:pPr>
      <w:r>
        <w:rPr>
          <w:b/>
          <w:i w:val="0"/>
        </w:rPr>
        <w:t xml:space="preserve">Bounded agents </w:t>
      </w:r>
      <w:r>
        <w:rPr>
          <w:b w:val="0"/>
          <w:i w:val="0"/>
        </w:rPr>
        <w:t>— deterministic code owns every value that drives a decision or an action.</w:t>
      </w:r>
    </w:p>
    <w:p>
      <w:pPr>
        <w:pStyle w:val="ListBullet"/>
        <w:spacing w:after="60"/>
      </w:pPr>
      <w:r>
        <w:rPr>
          <w:b/>
          <w:i w:val="0"/>
        </w:rPr>
        <w:t xml:space="preserve">Grounding &amp; citation, retained </w:t>
      </w:r>
      <w:r>
        <w:rPr>
          <w:b w:val="0"/>
          <w:i w:val="0"/>
        </w:rPr>
        <w:t>— every recommendation records the policy clause ids, criteria version, and precedent case ids on the case document alongside the Gate's working. Any decision replays: which criterion → which precedent → which clause.</w:t>
      </w:r>
    </w:p>
    <w:p>
      <w:pPr>
        <w:pStyle w:val="ListBullet"/>
        <w:spacing w:after="60"/>
      </w:pPr>
      <w:r>
        <w:rPr>
          <w:b/>
          <w:i w:val="0"/>
        </w:rPr>
        <w:t xml:space="preserve">Reviewer roles + approval authority </w:t>
      </w:r>
      <w:r>
        <w:rPr>
          <w:b w:val="0"/>
          <w:i w:val="0"/>
        </w:rPr>
        <w:t>(ApprovalAuthority) — four roles (Coordinator → Reviewer → Senior Reviewer → Medical Director). The authority to approve-and-send is the higher of the route tier and the financial-risk tier; an appeal is always at least a Senior sign-off. A refused decision is written to the audit trail. Enforced in the apply-decision executor.</w:t>
      </w:r>
    </w:p>
    <w:p>
      <w:pPr>
        <w:pStyle w:val="ListBullet"/>
        <w:spacing w:after="60"/>
      </w:pPr>
      <w:r>
        <w:rPr>
          <w:b/>
          <w:i w:val="0"/>
        </w:rPr>
        <w:t xml:space="preserve">Append-only case audit trail </w:t>
      </w:r>
      <w:r>
        <w:rPr>
          <w:b w:val="0"/>
          <w:i w:val="0"/>
        </w:rPr>
        <w:t>(CaseRecord.Audit) — every run records the agent implementation and version behind each step; every reviewer action records identity, role, timestamp, note; every refusal records the reason.</w:t>
      </w:r>
    </w:p>
    <w:p>
      <w:pPr>
        <w:pStyle w:val="ListBullet"/>
        <w:spacing w:after="60"/>
      </w:pPr>
      <w:r>
        <w:rPr>
          <w:b/>
          <w:i w:val="0"/>
        </w:rPr>
        <w:t xml:space="preserve">No PHI in scope </w:t>
      </w:r>
      <w:r>
        <w:rPr>
          <w:b w:val="0"/>
          <w:i w:val="0"/>
        </w:rPr>
        <w:t>— request ids and procedure codes only in telemetry, logs, and the trace tree.</w:t>
      </w:r>
    </w:p>
    <w:p>
      <w:pPr>
        <w:pStyle w:val="ListBullet"/>
        <w:spacing w:after="60"/>
      </w:pPr>
      <w:r>
        <w:rPr>
          <w:b/>
          <w:i w:val="0"/>
        </w:rPr>
        <w:t xml:space="preserve">Disclaimer, shown in-product: </w:t>
      </w:r>
      <w:r>
        <w:rPr>
          <w:b w:val="0"/>
          <w:i/>
        </w:rPr>
        <w:t>Care Approval IQ is decision support, not coverage or medical advice. A person makes every decision.</w:t>
      </w:r>
    </w:p>
    <w:p>
      <w:pPr>
        <w:pStyle w:val="Heading1"/>
      </w:pPr>
      <w:r>
        <w:t>9. Evaluation — beyond classification accuracy</w:t>
      </w:r>
    </w:p>
    <w:p>
      <w:pPr>
        <w:spacing w:after="120"/>
      </w:pPr>
      <w:r>
        <w:rPr>
          <w:b w:val="0"/>
          <w:i w:val="0"/>
        </w:rPr>
        <w:t>Two halves.</w:t>
      </w:r>
    </w:p>
    <w:p>
      <w:pPr>
        <w:spacing w:after="120"/>
      </w:pPr>
      <w:r>
        <w:rPr>
          <w:b/>
          <w:i w:val="0"/>
        </w:rPr>
        <w:t xml:space="preserve">Quality — the Foundry portal evaluation </w:t>
      </w:r>
      <w:r>
        <w:rPr>
          <w:b w:val="0"/>
          <w:i w:val="0"/>
        </w:rPr>
        <w:t>of evidence-gap-agent: Coherence / Fluency over a 15-turn dataset; runbook docs/runbooks/challenge-3-portal-evaluation.md. Result: 100% Coherence / Fluency.</w:t>
      </w:r>
    </w:p>
    <w:p>
      <w:pPr>
        <w:spacing w:after="120"/>
      </w:pPr>
      <w:r>
        <w:rPr>
          <w:b/>
          <w:i w:val="0"/>
        </w:rPr>
        <w:t xml:space="preserve">Correctness — the Zynara.Eval CI gate </w:t>
      </w:r>
      <w:r>
        <w:rPr>
          <w:b w:val="0"/>
          <w:i w:val="0"/>
        </w:rPr>
        <w:t>replays a 20-case labelled clinical set (ground truth per criterion + expected route + expected citations) and measures:</w:t>
      </w:r>
    </w:p>
    <w:tbl>
      <w:tblPr>
        <w:tblStyle w:val="TableGrid"/>
        <w:tblW w:type="auto" w:w="0"/>
        <w:jc w:val="center"/>
        <w:tblLayout w:type="autofit"/>
        <w:tblLook w:firstColumn="1" w:firstRow="1" w:lastColumn="0" w:lastRow="0" w:noHBand="0" w:noVBand="1" w:val="04A0"/>
      </w:tblPr>
      <w:tblGrid>
        <w:gridCol w:w="4896"/>
        <w:gridCol w:w="4896"/>
      </w:tblGrid>
      <w:tr>
        <w:tc>
          <w:tcPr>
            <w:tcW w:type="dxa" w:w="3744"/>
            <w:shd w:val="clear" w:fill="E3EBFC"/>
          </w:tcPr>
          <w:p>
            <w:r/>
            <w:r>
              <w:rPr>
                <w:b/>
                <w:color w:val="142B33"/>
                <w:sz w:val="17"/>
              </w:rPr>
              <w:t>Metric</w:t>
            </w:r>
          </w:p>
        </w:tc>
        <w:tc>
          <w:tcPr>
            <w:tcW w:type="dxa" w:w="5904"/>
            <w:shd w:val="clear" w:fill="E3EBFC"/>
          </w:tcPr>
          <w:p>
            <w:r/>
            <w:r>
              <w:rPr>
                <w:b/>
                <w:color w:val="142B33"/>
                <w:sz w:val="17"/>
              </w:rPr>
              <w:t>Why it matters</w:t>
            </w:r>
          </w:p>
        </w:tc>
      </w:tr>
      <w:tr>
        <w:tc>
          <w:tcPr>
            <w:tcW w:type="dxa" w:w="3744"/>
          </w:tcPr>
          <w:p>
            <w:pPr>
              <w:spacing w:after="40"/>
            </w:pPr>
            <w:r/>
            <w:r>
              <w:rPr>
                <w:b w:val="0"/>
                <w:sz w:val="17"/>
              </w:rPr>
              <w:t>Evidence-extraction precision / recall</w:t>
            </w:r>
          </w:p>
        </w:tc>
        <w:tc>
          <w:tcPr>
            <w:tcW w:type="dxa" w:w="5904"/>
          </w:tcPr>
          <w:p>
            <w:pPr>
              <w:spacing w:after="40"/>
            </w:pPr>
            <w:r/>
            <w:r>
              <w:rPr>
                <w:b w:val="0"/>
                <w:sz w:val="17"/>
              </w:rPr>
              <w:t>finds what is there without inventing what is not</w:t>
            </w:r>
          </w:p>
        </w:tc>
      </w:tr>
      <w:tr>
        <w:tc>
          <w:tcPr>
            <w:tcW w:type="dxa" w:w="3744"/>
          </w:tcPr>
          <w:p>
            <w:pPr>
              <w:spacing w:after="40"/>
            </w:pPr>
            <w:r/>
            <w:r>
              <w:rPr>
                <w:b/>
                <w:sz w:val="17"/>
              </w:rPr>
              <w:t>Mandatory-criterion false-negative rate</w:t>
            </w:r>
          </w:p>
        </w:tc>
        <w:tc>
          <w:tcPr>
            <w:tcW w:type="dxa" w:w="5904"/>
          </w:tcPr>
          <w:p>
            <w:pPr>
              <w:spacing w:after="40"/>
            </w:pPr>
            <w:r/>
            <w:r>
              <w:rPr>
                <w:b w:val="0"/>
                <w:sz w:val="17"/>
              </w:rPr>
              <w:t>the unsafe direction — calling a missing mandatory criterion “met” — CI hard-gate: 0</w:t>
            </w:r>
          </w:p>
        </w:tc>
      </w:tr>
      <w:tr>
        <w:tc>
          <w:tcPr>
            <w:tcW w:type="dxa" w:w="3744"/>
          </w:tcPr>
          <w:p>
            <w:pPr>
              <w:spacing w:after="40"/>
            </w:pPr>
            <w:r/>
            <w:r>
              <w:rPr>
                <w:b w:val="0"/>
                <w:sz w:val="17"/>
              </w:rPr>
              <w:t>Policy-citation accuracy</w:t>
            </w:r>
          </w:p>
        </w:tc>
        <w:tc>
          <w:tcPr>
            <w:tcW w:type="dxa" w:w="5904"/>
          </w:tcPr>
          <w:p>
            <w:pPr>
              <w:spacing w:after="40"/>
            </w:pPr>
            <w:r/>
            <w:r>
              <w:rPr>
                <w:b w:val="0"/>
                <w:sz w:val="17"/>
              </w:rPr>
              <w:t>the draft names the governing policy ref — CI floor 95%</w:t>
            </w:r>
          </w:p>
        </w:tc>
      </w:tr>
      <w:tr>
        <w:tc>
          <w:tcPr>
            <w:tcW w:type="dxa" w:w="3744"/>
          </w:tcPr>
          <w:p>
            <w:pPr>
              <w:spacing w:after="40"/>
            </w:pPr>
            <w:r/>
            <w:r>
              <w:rPr>
                <w:b w:val="0"/>
                <w:sz w:val="17"/>
              </w:rPr>
              <w:t>Precedent-citation accuracy</w:t>
            </w:r>
          </w:p>
        </w:tc>
        <w:tc>
          <w:tcPr>
            <w:tcW w:type="dxa" w:w="5904"/>
          </w:tcPr>
          <w:p>
            <w:pPr>
              <w:spacing w:after="40"/>
            </w:pPr>
            <w:r/>
            <w:r>
              <w:rPr>
                <w:b w:val="0"/>
                <w:sz w:val="17"/>
              </w:rPr>
              <w:t>the cited precedent ids match the labelled set — CI floor 80%</w:t>
            </w:r>
          </w:p>
        </w:tc>
      </w:tr>
      <w:tr>
        <w:tc>
          <w:tcPr>
            <w:tcW w:type="dxa" w:w="3744"/>
          </w:tcPr>
          <w:p>
            <w:pPr>
              <w:spacing w:after="40"/>
            </w:pPr>
            <w:r/>
            <w:r>
              <w:rPr>
                <w:b/>
                <w:sz w:val="17"/>
              </w:rPr>
              <w:t>Hallucination rate</w:t>
            </w:r>
          </w:p>
        </w:tc>
        <w:tc>
          <w:tcPr>
            <w:tcW w:type="dxa" w:w="5904"/>
          </w:tcPr>
          <w:p>
            <w:pPr>
              <w:spacing w:after="40"/>
            </w:pPr>
            <w:r/>
            <w:r>
              <w:rPr>
                <w:b w:val="0"/>
                <w:sz w:val="17"/>
              </w:rPr>
              <w:t>criterion / precedent / clause ids not on record — CI hard-gate: 0</w:t>
            </w:r>
          </w:p>
        </w:tc>
      </w:tr>
      <w:tr>
        <w:tc>
          <w:tcPr>
            <w:tcW w:type="dxa" w:w="3744"/>
          </w:tcPr>
          <w:p>
            <w:pPr>
              <w:spacing w:after="40"/>
            </w:pPr>
            <w:r/>
            <w:r>
              <w:rPr>
                <w:b w:val="0"/>
                <w:sz w:val="17"/>
              </w:rPr>
              <w:t>Appeal-recommendation agreement vs. labels</w:t>
            </w:r>
          </w:p>
        </w:tc>
        <w:tc>
          <w:tcPr>
            <w:tcW w:type="dxa" w:w="5904"/>
          </w:tcPr>
          <w:p>
            <w:pPr>
              <w:spacing w:after="40"/>
            </w:pPr>
            <w:r/>
            <w:r>
              <w:rPr>
                <w:b w:val="0"/>
                <w:sz w:val="17"/>
              </w:rPr>
              <w:t>the precedent-strategist verdict matches the expert label — CI floor 80%</w:t>
            </w:r>
          </w:p>
        </w:tc>
      </w:tr>
      <w:tr>
        <w:tc>
          <w:tcPr>
            <w:tcW w:type="dxa" w:w="3744"/>
          </w:tcPr>
          <w:p>
            <w:pPr>
              <w:spacing w:after="40"/>
            </w:pPr>
            <w:r/>
            <w:r>
              <w:rPr>
                <w:b/>
                <w:sz w:val="17"/>
              </w:rPr>
              <w:t>Safe-abstention rate</w:t>
            </w:r>
          </w:p>
        </w:tc>
        <w:tc>
          <w:tcPr>
            <w:tcW w:type="dxa" w:w="5904"/>
          </w:tcPr>
          <w:p>
            <w:pPr>
              <w:spacing w:after="40"/>
            </w:pPr>
            <w:r/>
            <w:r>
              <w:rPr>
                <w:b w:val="0"/>
                <w:sz w:val="17"/>
              </w:rPr>
              <w:t>of cases an expert marks “not enough to advise”, how many routed to Abstain — CI floor 80%</w:t>
            </w:r>
          </w:p>
        </w:tc>
      </w:tr>
      <w:tr>
        <w:tc>
          <w:tcPr>
            <w:tcW w:type="dxa" w:w="3744"/>
          </w:tcPr>
          <w:p>
            <w:pPr>
              <w:spacing w:after="40"/>
            </w:pPr>
            <w:r/>
            <w:r>
              <w:rPr>
                <w:b/>
                <w:sz w:val="17"/>
              </w:rPr>
              <w:t>Unsafe-automation rate</w:t>
            </w:r>
          </w:p>
        </w:tc>
        <w:tc>
          <w:tcPr>
            <w:tcW w:type="dxa" w:w="5904"/>
          </w:tcPr>
          <w:p>
            <w:pPr>
              <w:spacing w:after="40"/>
            </w:pPr>
            <w:r/>
            <w:r>
              <w:rPr>
                <w:b w:val="0"/>
                <w:sz w:val="17"/>
              </w:rPr>
              <w:t>cases auto-submitted that an expert would not have — CI hard-gate: 0</w:t>
            </w:r>
          </w:p>
        </w:tc>
      </w:tr>
    </w:tbl>
    <w:p>
      <w:pPr>
        <w:spacing w:after="40"/>
      </w:pPr>
    </w:p>
    <w:p>
      <w:pPr>
        <w:spacing w:after="120"/>
      </w:pPr>
      <w:r>
        <w:rPr>
          <w:b w:val="0"/>
          <w:i w:val="0"/>
        </w:rPr>
        <w:t>The agents-vs-generalist comparison runs the same set through a single-prompt baseline: route agreement 100% vs the baseline's 55%; unsafe automation 0 vs the baseline's 5.</w:t>
      </w:r>
    </w:p>
    <w:p>
      <w:pPr>
        <w:pStyle w:val="Heading1"/>
      </w:pPr>
      <w:r>
        <w:t>10. Deployment &amp; Scope Decisions</w:t>
      </w:r>
    </w:p>
    <w:p>
      <w:pPr>
        <w:spacing w:after="120"/>
      </w:pPr>
      <w:r>
        <w:rPr>
          <w:b w:val="0"/>
          <w:i w:val="0"/>
        </w:rPr>
        <w:t>Deliberate trade-offs for a solo build inside the competition window (deadline 2026-09-23 midnight US).</w:t>
      </w:r>
    </w:p>
    <w:p>
      <w:pPr>
        <w:pStyle w:val="ListBullet"/>
        <w:spacing w:after="60"/>
      </w:pPr>
      <w:r>
        <w:rPr>
          <w:b/>
          <w:i w:val="0"/>
        </w:rPr>
        <w:t xml:space="preserve">Microsoft Agent Framework for orchestration </w:t>
      </w:r>
      <w:r>
        <w:rPr>
          <w:b w:val="0"/>
          <w:i w:val="0"/>
        </w:rPr>
        <w:t>— a deliberate investment, not a deadline compromise: the reference pattern for the team's forthcoming agent projects and Microsoft's recommended approach. Rollback is the tagged v1.0-durable Durable Functions version.</w:t>
      </w:r>
    </w:p>
    <w:p>
      <w:pPr>
        <w:pStyle w:val="ListBullet"/>
        <w:spacing w:after="60"/>
      </w:pPr>
      <w:r>
        <w:rPr>
          <w:b/>
          <w:i w:val="0"/>
        </w:rPr>
        <w:t xml:space="preserve">Synthetic + public-excerpt data over real payer integration </w:t>
      </w:r>
      <w:r>
        <w:rPr>
          <w:b w:val="0"/>
          <w:i w:val="0"/>
        </w:rPr>
        <w:t>— CMS-0057-F forces the real FHIR APIs into existence on a 2027 timeline; for the demo, ~20 LLM-generated labelled clinical cases, transcribed public criteria (Bupa CCSD + a small set of US Medicare LCDs), synthetic past outcomes, and policy-version pairs for the drift narrative.</w:t>
      </w:r>
    </w:p>
    <w:p>
      <w:pPr>
        <w:pStyle w:val="ListBullet"/>
        <w:spacing w:after="60"/>
      </w:pPr>
      <w:r>
        <w:rPr>
          <w:b/>
          <w:i w:val="0"/>
        </w:rPr>
        <w:t xml:space="preserve">One resource group, references the existing Foundry account </w:t>
      </w:r>
      <w:r>
        <w:rPr>
          <w:b w:val="0"/>
          <w:i w:val="0"/>
        </w:rPr>
        <w:t>— everything deploys into zynara-spike-rg alongside the pre-existing Foundry care-approval project; Consumption (Y1) Linux Function apps; identity-based storage; Cosmos serverless; Static Web App.</w:t>
      </w:r>
    </w:p>
    <w:p>
      <w:pPr>
        <w:pStyle w:val="ListBullet"/>
        <w:spacing w:after="60"/>
      </w:pPr>
      <w:r>
        <w:rPr>
          <w:b/>
          <w:i w:val="0"/>
        </w:rPr>
        <w:t xml:space="preserve">Cosmos DB serverless for operational state, Blob + File Search for the corpus </w:t>
      </w:r>
      <w:r>
        <w:rPr>
          <w:b w:val="0"/>
          <w:i w:val="0"/>
        </w:rPr>
        <w:t>— see §12 (TD-4, TD-5).</w:t>
      </w:r>
    </w:p>
    <w:p>
      <w:pPr>
        <w:pStyle w:val="ListBullet"/>
        <w:spacing w:after="60"/>
      </w:pPr>
      <w:r>
        <w:rPr>
          <w:b/>
          <w:i w:val="0"/>
        </w:rPr>
        <w:t xml:space="preserve">Pre-computed demo playback over live inference </w:t>
      </w:r>
      <w:r>
        <w:rPr>
          <w:b w:val="0"/>
          <w:i w:val="0"/>
        </w:rPr>
        <w:t>for the scripted 3-minute demo; the live pipeline is shown separately on one fresh case.</w:t>
      </w:r>
    </w:p>
    <w:p>
      <w:pPr>
        <w:pStyle w:val="ListBullet"/>
        <w:spacing w:after="60"/>
      </w:pPr>
      <w:r>
        <w:rPr>
          <w:b/>
          <w:i w:val="0"/>
        </w:rPr>
        <w:t xml:space="preserve">Production hardening named, not built </w:t>
      </w:r>
      <w:r>
        <w:rPr>
          <w:b w:val="0"/>
          <w:i w:val="0"/>
        </w:rPr>
        <w:t>— network isolation (private endpoints, a subnet boundary between the reasoning plane and the payer plane), an AI-governance layer (per-agent quota / rate limits / spend caps), a CI/CD deploy pipeline, model / prompt versioning linked to outcomes, live quality monitoring on de-identified traffic, HA/DR, secret rotation, and a full PHI-handling design. The identity boundary is built; the network boundary is the production layer on top.</w:t>
      </w:r>
    </w:p>
    <w:p>
      <w:pPr>
        <w:pStyle w:val="Heading1"/>
      </w:pPr>
      <w:r>
        <w:t>11. Out of Scope · Future Roadmap</w:t>
      </w:r>
    </w:p>
    <w:p>
      <w:pPr>
        <w:pStyle w:val="ListBullet"/>
        <w:spacing w:after="60"/>
      </w:pPr>
      <w:r>
        <w:rPr>
          <w:b/>
          <w:i w:val="0"/>
        </w:rPr>
        <w:t xml:space="preserve">Real payer connectivity </w:t>
      </w:r>
      <w:r>
        <w:rPr>
          <w:b w:val="0"/>
          <w:i w:val="0"/>
        </w:rPr>
        <w:t>— FHIR Prior Authorization / Provider Access APIs, X12 278 clearinghouse, portal RPA (CMS-0057-F, Jan 2027).</w:t>
      </w:r>
    </w:p>
    <w:p>
      <w:pPr>
        <w:pStyle w:val="ListBullet"/>
        <w:spacing w:after="60"/>
      </w:pPr>
      <w:r>
        <w:rPr>
          <w:b/>
          <w:i w:val="0"/>
        </w:rPr>
        <w:t xml:space="preserve">FHIR bundle intake </w:t>
      </w:r>
      <w:r>
        <w:rPr>
          <w:b w:val="0"/>
          <w:i w:val="0"/>
        </w:rPr>
        <w:t>— v1 takes a simplified request DTO.</w:t>
      </w:r>
    </w:p>
    <w:p>
      <w:pPr>
        <w:pStyle w:val="ListBullet"/>
        <w:spacing w:after="60"/>
      </w:pPr>
      <w:r>
        <w:rPr>
          <w:b/>
          <w:i w:val="0"/>
        </w:rPr>
        <w:t xml:space="preserve">Eligibility / active-coverage check </w:t>
      </w:r>
      <w:r>
        <w:rPr>
          <w:b w:val="0"/>
          <w:i w:val="0"/>
        </w:rPr>
        <w:t>— a separate payer system call; assumed valid for the demo.</w:t>
      </w:r>
    </w:p>
    <w:p>
      <w:pPr>
        <w:pStyle w:val="ListBullet"/>
        <w:spacing w:after="60"/>
      </w:pPr>
      <w:r>
        <w:rPr>
          <w:b/>
          <w:i w:val="0"/>
        </w:rPr>
        <w:t xml:space="preserve">Early Warnings </w:t>
      </w:r>
      <w:r>
        <w:rPr>
          <w:b w:val="0"/>
          <w:i w:val="0"/>
        </w:rPr>
        <w:t>— ExpiryMath (expiry date arithmetic) and PolicyDiff (policy version diff) as advisory deterministic monitors; the interfaces and stubs exist, the feature is unwired.</w:t>
      </w:r>
    </w:p>
    <w:p>
      <w:pPr>
        <w:pStyle w:val="ListBullet"/>
        <w:spacing w:after="60"/>
      </w:pPr>
      <w:r>
        <w:rPr>
          <w:b/>
          <w:i w:val="0"/>
        </w:rPr>
        <w:t xml:space="preserve">Peer-to-peer prep </w:t>
      </w:r>
      <w:r>
        <w:rPr>
          <w:b w:val="0"/>
          <w:i w:val="0"/>
        </w:rPr>
        <w:t>— the clinician's talking points for the call with the insurer's medical director.</w:t>
      </w:r>
    </w:p>
    <w:p>
      <w:pPr>
        <w:pStyle w:val="ListBullet"/>
        <w:spacing w:after="60"/>
      </w:pPr>
      <w:r>
        <w:rPr>
          <w:b/>
          <w:i w:val="0"/>
        </w:rPr>
        <w:t xml:space="preserve">Learning from reviewer edits </w:t>
      </w:r>
      <w:r>
        <w:rPr>
          <w:b w:val="0"/>
          <w:i w:val="0"/>
        </w:rPr>
        <w:t>— closing the loop so the Gate threshold and the draft templates improve from what reviewers change.</w:t>
      </w:r>
    </w:p>
    <w:p>
      <w:pPr>
        <w:pStyle w:val="Heading1"/>
      </w:pPr>
      <w:r>
        <w:t>12. Technology Decisions (ADR summary)</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576"/>
            <w:shd w:val="clear" w:fill="E3EBFC"/>
          </w:tcPr>
          <w:p>
            <w:r/>
            <w:r>
              <w:rPr>
                <w:b/>
                <w:color w:val="142B33"/>
                <w:sz w:val="17"/>
              </w:rPr>
              <w:t>#</w:t>
            </w:r>
          </w:p>
        </w:tc>
        <w:tc>
          <w:tcPr>
            <w:tcW w:type="dxa" w:w="2304"/>
            <w:shd w:val="clear" w:fill="E3EBFC"/>
          </w:tcPr>
          <w:p>
            <w:r/>
            <w:r>
              <w:rPr>
                <w:b/>
                <w:color w:val="142B33"/>
                <w:sz w:val="17"/>
              </w:rPr>
              <w:t>Decision</w:t>
            </w:r>
          </w:p>
        </w:tc>
        <w:tc>
          <w:tcPr>
            <w:tcW w:type="dxa" w:w="3600"/>
            <w:shd w:val="clear" w:fill="E3EBFC"/>
          </w:tcPr>
          <w:p>
            <w:r/>
            <w:r>
              <w:rPr>
                <w:b/>
                <w:color w:val="142B33"/>
                <w:sz w:val="17"/>
              </w:rPr>
              <w:t>Why</w:t>
            </w:r>
          </w:p>
        </w:tc>
        <w:tc>
          <w:tcPr>
            <w:tcW w:type="dxa" w:w="3168"/>
            <w:shd w:val="clear" w:fill="E3EBFC"/>
          </w:tcPr>
          <w:p>
            <w:r/>
            <w:r>
              <w:rPr>
                <w:b/>
                <w:color w:val="142B33"/>
                <w:sz w:val="17"/>
              </w:rPr>
              <w:t>Rejected alternative</w:t>
            </w:r>
          </w:p>
        </w:tc>
      </w:tr>
      <w:tr>
        <w:tc>
          <w:tcPr>
            <w:tcW w:type="dxa" w:w="576"/>
          </w:tcPr>
          <w:p>
            <w:pPr>
              <w:spacing w:after="40"/>
            </w:pPr>
            <w:r/>
            <w:r>
              <w:rPr>
                <w:b/>
                <w:sz w:val="17"/>
              </w:rPr>
              <w:t>TD-1</w:t>
            </w:r>
          </w:p>
        </w:tc>
        <w:tc>
          <w:tcPr>
            <w:tcW w:type="dxa" w:w="2304"/>
          </w:tcPr>
          <w:p>
            <w:pPr>
              <w:spacing w:after="40"/>
            </w:pPr>
            <w:r/>
            <w:r>
              <w:rPr>
                <w:b w:val="0"/>
                <w:sz w:val="17"/>
              </w:rPr>
              <w:t>Orchestration is a Microsoft Agent Framework workflow — a typed executor graph — not agent-to-agent chaining</w:t>
            </w:r>
          </w:p>
        </w:tc>
        <w:tc>
          <w:tcPr>
            <w:tcW w:type="dxa" w:w="3600"/>
          </w:tcPr>
          <w:p>
            <w:pPr>
              <w:spacing w:after="40"/>
            </w:pPr>
            <w:r/>
            <w:r>
              <w:rPr>
                <w:b w:val="0"/>
                <w:sz w:val="17"/>
              </w:rPr>
              <w:t>The auto-submit-vs-review decision, the readiness threshold, the pipeline order and the audit trail must be deterministic and inspectable; agents must never own the Gate. The framework gives the typed graph, the HITL port, and durable replay as primitives.</w:t>
            </w:r>
          </w:p>
        </w:tc>
        <w:tc>
          <w:tcPr>
            <w:tcW w:type="dxa" w:w="3168"/>
          </w:tcPr>
          <w:p>
            <w:pPr>
              <w:spacing w:after="40"/>
            </w:pPr>
            <w:r/>
            <w:r>
              <w:rPr>
                <w:b w:val="0"/>
                <w:sz w:val="17"/>
              </w:rPr>
              <w:t>A generalist agent orchestrating via connected agents — non-deterministic order, no auditable Gate. A hand-rolled Durable Functions hub — more bespoke code for the same properties the framework owns.</w:t>
            </w:r>
          </w:p>
        </w:tc>
      </w:tr>
      <w:tr>
        <w:tc>
          <w:tcPr>
            <w:tcW w:type="dxa" w:w="576"/>
          </w:tcPr>
          <w:p>
            <w:pPr>
              <w:spacing w:after="40"/>
            </w:pPr>
            <w:r/>
            <w:r>
              <w:rPr>
                <w:b/>
                <w:sz w:val="17"/>
              </w:rPr>
              <w:t>TD-2</w:t>
            </w:r>
          </w:p>
        </w:tc>
        <w:tc>
          <w:tcPr>
            <w:tcW w:type="dxa" w:w="2304"/>
          </w:tcPr>
          <w:p>
            <w:pPr>
              <w:spacing w:after="40"/>
            </w:pPr>
            <w:r/>
            <w:r>
              <w:rPr>
                <w:b w:val="0"/>
                <w:sz w:val="17"/>
              </w:rPr>
              <w:t>The pipeline steps are MAF executors with a deterministic wrapper, each with a stub twin</w:t>
            </w:r>
          </w:p>
        </w:tc>
        <w:tc>
          <w:tcPr>
            <w:tcW w:type="dxa" w:w="3600"/>
          </w:tcPr>
          <w:p>
            <w:pPr>
              <w:spacing w:after="40"/>
            </w:pPr>
            <w:r/>
            <w:r>
              <w:rPr>
                <w:b w:val="0"/>
                <w:sz w:val="17"/>
              </w:rPr>
              <w:t>Per-step retry isolation; the prose→typed-value boundary is a named unit; a stub twin per step runs the whole pipeline in CI with zero live inference; replay-safe resume via Durable Task.</w:t>
            </w:r>
          </w:p>
        </w:tc>
        <w:tc>
          <w:tcPr>
            <w:tcW w:type="dxa" w:w="3168"/>
          </w:tcPr>
          <w:p>
            <w:pPr>
              <w:spacing w:after="40"/>
            </w:pPr>
            <w:r/>
            <w:r>
              <w:rPr>
                <w:b w:val="0"/>
                <w:sz w:val="17"/>
              </w:rPr>
              <w:t>Five helper methods inside one function — loses all four.</w:t>
            </w:r>
          </w:p>
        </w:tc>
      </w:tr>
      <w:tr>
        <w:tc>
          <w:tcPr>
            <w:tcW w:type="dxa" w:w="576"/>
          </w:tcPr>
          <w:p>
            <w:pPr>
              <w:spacing w:after="40"/>
            </w:pPr>
            <w:r/>
            <w:r>
              <w:rPr>
                <w:b/>
                <w:sz w:val="17"/>
              </w:rPr>
              <w:t>TD-3</w:t>
            </w:r>
          </w:p>
        </w:tc>
        <w:tc>
          <w:tcPr>
            <w:tcW w:type="dxa" w:w="2304"/>
          </w:tcPr>
          <w:p>
            <w:pPr>
              <w:spacing w:after="40"/>
            </w:pPr>
            <w:r/>
            <w:r>
              <w:rPr>
                <w:b w:val="0"/>
                <w:sz w:val="17"/>
              </w:rPr>
              <w:t>No explicit request queue — the workflow's HTTP /run is the async boundary</w:t>
            </w:r>
          </w:p>
        </w:tc>
        <w:tc>
          <w:tcPr>
            <w:tcW w:type="dxa" w:w="3600"/>
          </w:tcPr>
          <w:p>
            <w:pPr>
              <w:spacing w:after="40"/>
            </w:pPr>
            <w:r/>
            <w:r>
              <w:rPr>
                <w:b w:val="0"/>
                <w:sz w:val="17"/>
              </w:rPr>
              <w:t>Request/response at low volume, no burst to absorb; /run returns 202 immediately and the workflow runs on Durable Task's own control queues.</w:t>
            </w:r>
          </w:p>
        </w:tc>
        <w:tc>
          <w:tcPr>
            <w:tcW w:type="dxa" w:w="3168"/>
          </w:tcPr>
          <w:p>
            <w:pPr>
              <w:spacing w:after="40"/>
            </w:pPr>
            <w:r/>
            <w:r>
              <w:rPr>
                <w:b w:val="0"/>
                <w:sz w:val="17"/>
              </w:rPr>
              <w:t>A dedicated Storage Queue — an extra resource and failure mode for load that does not exist.</w:t>
            </w:r>
          </w:p>
        </w:tc>
      </w:tr>
      <w:tr>
        <w:tc>
          <w:tcPr>
            <w:tcW w:type="dxa" w:w="576"/>
          </w:tcPr>
          <w:p>
            <w:pPr>
              <w:spacing w:after="40"/>
            </w:pPr>
            <w:r/>
            <w:r>
              <w:rPr>
                <w:b/>
                <w:sz w:val="17"/>
              </w:rPr>
              <w:t>TD-4</w:t>
            </w:r>
          </w:p>
        </w:tc>
        <w:tc>
          <w:tcPr>
            <w:tcW w:type="dxa" w:w="2304"/>
          </w:tcPr>
          <w:p>
            <w:pPr>
              <w:spacing w:after="40"/>
            </w:pPr>
            <w:r/>
            <w:r>
              <w:rPr>
                <w:b w:val="0"/>
                <w:sz w:val="17"/>
              </w:rPr>
              <w:t>Operational store is Azure Cosmos DB serverless, not Azure SQL</w:t>
            </w:r>
          </w:p>
        </w:tc>
        <w:tc>
          <w:tcPr>
            <w:tcW w:type="dxa" w:w="3600"/>
          </w:tcPr>
          <w:p>
            <w:pPr>
              <w:spacing w:after="40"/>
            </w:pPr>
            <w:r/>
            <w:r>
              <w:rPr>
                <w:b w:val="0"/>
                <w:sz w:val="17"/>
              </w:rPr>
              <w:t>A case is a nested aggregate that maps to one JSON document; partition by /requestId makes “everything for this case” a single-partition read; serverless billing fits spiky demo volume; no migrations.</w:t>
            </w:r>
          </w:p>
        </w:tc>
        <w:tc>
          <w:tcPr>
            <w:tcW w:type="dxa" w:w="3168"/>
          </w:tcPr>
          <w:p>
            <w:pPr>
              <w:spacing w:after="40"/>
            </w:pPr>
            <w:r/>
            <w:r>
              <w:rPr>
                <w:b w:val="0"/>
                <w:sz w:val="17"/>
              </w:rPr>
              <w:t>Azure SQL serverless — relational schema, EF migrations, join modelling for document-shaped data.</w:t>
            </w:r>
          </w:p>
        </w:tc>
      </w:tr>
      <w:tr>
        <w:tc>
          <w:tcPr>
            <w:tcW w:type="dxa" w:w="576"/>
          </w:tcPr>
          <w:p>
            <w:pPr>
              <w:spacing w:after="40"/>
            </w:pPr>
            <w:r/>
            <w:r>
              <w:rPr>
                <w:b/>
                <w:sz w:val="17"/>
              </w:rPr>
              <w:t>TD-5</w:t>
            </w:r>
          </w:p>
        </w:tc>
        <w:tc>
          <w:tcPr>
            <w:tcW w:type="dxa" w:w="2304"/>
          </w:tcPr>
          <w:p>
            <w:pPr>
              <w:spacing w:after="40"/>
            </w:pPr>
            <w:r/>
            <w:r>
              <w:rPr>
                <w:b w:val="0"/>
                <w:sz w:val="17"/>
              </w:rPr>
              <w:t>Unstructured corpus is Blob Storage + Foundry File Search, one vector index, separate from Cosmos</w:t>
            </w:r>
          </w:p>
        </w:tc>
        <w:tc>
          <w:tcPr>
            <w:tcW w:type="dxa" w:w="3600"/>
          </w:tcPr>
          <w:p>
            <w:pPr>
              <w:spacing w:after="40"/>
            </w:pPr>
            <w:r/>
            <w:r>
              <w:rPr>
                <w:b w:val="0"/>
                <w:sz w:val="17"/>
              </w:rPr>
              <w:t>Retrieval over the corpus is semantic, not a query; File Search builds and owns the index natively. Cosmos keeps only the structured metadata.</w:t>
            </w:r>
          </w:p>
        </w:tc>
        <w:tc>
          <w:tcPr>
            <w:tcW w:type="dxa" w:w="3168"/>
          </w:tcPr>
          <w:p>
            <w:pPr>
              <w:spacing w:after="40"/>
            </w:pPr>
            <w:r/>
            <w:r>
              <w:rPr>
                <w:b w:val="0"/>
                <w:sz w:val="17"/>
              </w:rPr>
              <w:t>Cosmos-native vector search — couples the corpus to the operational DB and still needs a home-grown embedding pipeline. Azure AI Search — another service to secure for no demo gain.</w:t>
            </w:r>
          </w:p>
        </w:tc>
      </w:tr>
      <w:tr>
        <w:tc>
          <w:tcPr>
            <w:tcW w:type="dxa" w:w="576"/>
          </w:tcPr>
          <w:p>
            <w:pPr>
              <w:spacing w:after="40"/>
            </w:pPr>
            <w:r/>
            <w:r>
              <w:rPr>
                <w:b/>
                <w:sz w:val="17"/>
              </w:rPr>
              <w:t>TD-6</w:t>
            </w:r>
          </w:p>
        </w:tc>
        <w:tc>
          <w:tcPr>
            <w:tcW w:type="dxa" w:w="2304"/>
          </w:tcPr>
          <w:p>
            <w:pPr>
              <w:spacing w:after="40"/>
            </w:pPr>
            <w:r/>
            <w:r>
              <w:rPr>
                <w:b w:val="0"/>
                <w:sz w:val="17"/>
              </w:rPr>
              <w:t>Foundry Agent Service (persistent hosted agents) bound as MAF AIAgents</w:t>
            </w:r>
          </w:p>
        </w:tc>
        <w:tc>
          <w:tcPr>
            <w:tcW w:type="dxa" w:w="3600"/>
          </w:tcPr>
          <w:p>
            <w:pPr>
              <w:spacing w:after="40"/>
            </w:pPr>
            <w:r/>
            <w:r>
              <w:rPr>
                <w:b w:val="0"/>
                <w:sz w:val="17"/>
              </w:rPr>
              <w:t>Agents are versioned, portal-visible assets with File Search + tool-calling + tracing wired; AsAIAgent binds to the existing server-side agent (never re-creates); each agent stays behind a Zynara.Core interface.</w:t>
            </w:r>
          </w:p>
        </w:tc>
        <w:tc>
          <w:tcPr>
            <w:tcW w:type="dxa" w:w="3168"/>
          </w:tcPr>
          <w:p>
            <w:pPr>
              <w:spacing w:after="40"/>
            </w:pPr>
            <w:r/>
            <w:r>
              <w:rPr>
                <w:b w:val="0"/>
                <w:sz w:val="17"/>
              </w:rPr>
              <w:t>Hand-rolled chat-completions calls — rebuild retrieval, tool loop, versioning and tracing; lose the portal asset view.</w:t>
            </w:r>
          </w:p>
        </w:tc>
      </w:tr>
      <w:tr>
        <w:tc>
          <w:tcPr>
            <w:tcW w:type="dxa" w:w="576"/>
          </w:tcPr>
          <w:p>
            <w:pPr>
              <w:spacing w:after="40"/>
            </w:pPr>
            <w:r/>
            <w:r>
              <w:rPr>
                <w:b/>
                <w:sz w:val="17"/>
              </w:rPr>
              <w:t>TD-7</w:t>
            </w:r>
          </w:p>
        </w:tc>
        <w:tc>
          <w:tcPr>
            <w:tcW w:type="dxa" w:w="2304"/>
          </w:tcPr>
          <w:p>
            <w:pPr>
              <w:spacing w:after="40"/>
            </w:pPr>
            <w:r/>
            <w:r>
              <w:rPr>
                <w:b w:val="0"/>
                <w:sz w:val="17"/>
              </w:rPr>
              <w:t>C# / .NET 8, azd + Bicep, one resource group, managed-identity-first from commit 1, App Insights + W3C trace context</w:t>
            </w:r>
          </w:p>
        </w:tc>
        <w:tc>
          <w:tcPr>
            <w:tcW w:type="dxa" w:w="3600"/>
          </w:tcPr>
          <w:p>
            <w:pPr>
              <w:spacing w:after="40"/>
            </w:pPr>
            <w:r/>
            <w:r>
              <w:rPr>
                <w:b w:val="0"/>
                <w:sz w:val="17"/>
              </w:rPr>
              <w:t>The Agent Framework's .NET SDK is first-class; static types make the prose→contract boundary a compile-time guarantee; one azd up provisions and deploys; one correlated trace per request feeds both the audit trail and the cost meter.</w:t>
            </w:r>
          </w:p>
        </w:tc>
        <w:tc>
          <w:tcPr>
            <w:tcW w:type="dxa" w:w="3168"/>
          </w:tcPr>
          <w:p>
            <w:pPr>
              <w:spacing w:after="40"/>
            </w:pPr>
            <w:r/>
            <w:r>
              <w:rPr>
                <w:b w:val="0"/>
                <w:sz w:val="17"/>
              </w:rPr>
              <w:t>Portal click-ops or retrofitted identity — not reproducible, a security gap.</w:t>
            </w:r>
          </w:p>
        </w:tc>
      </w:tr>
    </w:tbl>
    <w:p>
      <w:pPr>
        <w:spacing w:after="40"/>
      </w:pPr>
    </w:p>
    <w:p>
      <w:pPr>
        <w:pBdr>
          <w:bottom w:val="single" w:sz="6" w:color="0FA3A0"/>
        </w:pBdr>
      </w:pPr>
    </w:p>
    <w:p>
      <w:pPr>
        <w:spacing w:after="120"/>
        <w:jc w:val="center"/>
      </w:pPr>
      <w:r>
        <w:rPr>
          <w:b w:val="0"/>
          <w:i w:val="0"/>
          <w:color w:val="44555C"/>
          <w:sz w:val="16"/>
        </w:rPr>
        <w:t>Zynara Health (fictional) · Care Approval IQ · Microsoft Agent Framework · Deepak Kumar · Architect Track Submission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42B33"/>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4455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