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93389" w14:textId="77777777" w:rsidR="0097081E" w:rsidRPr="00234CA0" w:rsidRDefault="00000000">
      <w:pPr>
        <w:spacing w:before="100" w:after="60"/>
        <w:jc w:val="center"/>
        <w:rPr>
          <w:rFonts w:ascii="Times New Roman" w:eastAsia="Times New Roman" w:hAnsi="Times New Roman" w:cs="Times New Roman"/>
          <w:b/>
          <w:bCs/>
          <w:sz w:val="36"/>
          <w:szCs w:val="36"/>
          <w:u w:val="single"/>
        </w:rPr>
      </w:pPr>
      <w:r w:rsidRPr="00234CA0">
        <w:rPr>
          <w:rFonts w:ascii="Times New Roman" w:eastAsia="Times New Roman" w:hAnsi="Times New Roman" w:cs="Times New Roman"/>
          <w:b/>
          <w:bCs/>
          <w:sz w:val="36"/>
          <w:szCs w:val="36"/>
          <w:u w:val="single"/>
        </w:rPr>
        <w:t>GO Enrichment Analysis Report</w:t>
      </w:r>
    </w:p>
    <w:p w14:paraId="76AAFE1C" w14:textId="77777777" w:rsidR="0097081E" w:rsidRPr="00234CA0" w:rsidRDefault="00000000" w:rsidP="00234CA0">
      <w:pPr>
        <w:spacing w:before="200" w:after="100"/>
        <w:jc w:val="both"/>
        <w:rPr>
          <w:rFonts w:ascii="Times New Roman" w:eastAsia="Times New Roman" w:hAnsi="Times New Roman" w:cs="Times New Roman"/>
          <w:b/>
          <w:bCs/>
          <w:color w:val="1F3864"/>
          <w:sz w:val="24"/>
          <w:szCs w:val="24"/>
          <w:u w:val="single"/>
        </w:rPr>
      </w:pPr>
      <w:r w:rsidRPr="00234CA0">
        <w:rPr>
          <w:rFonts w:ascii="Times New Roman" w:eastAsia="Times New Roman" w:hAnsi="Times New Roman" w:cs="Times New Roman"/>
          <w:b/>
          <w:bCs/>
          <w:color w:val="1F3864"/>
          <w:sz w:val="24"/>
          <w:szCs w:val="24"/>
          <w:u w:val="single"/>
        </w:rPr>
        <w:t>Overview:</w:t>
      </w:r>
    </w:p>
    <w:p w14:paraId="31094AD3" w14:textId="77777777" w:rsidR="00704D02" w:rsidRPr="00704D02" w:rsidRDefault="00704D02" w:rsidP="00704D02">
      <w:pPr>
        <w:spacing w:before="200" w:after="100"/>
        <w:jc w:val="both"/>
        <w:rPr>
          <w:rFonts w:ascii="Times New Roman" w:eastAsia="Times New Roman" w:hAnsi="Times New Roman" w:cs="Times New Roman"/>
          <w:sz w:val="24"/>
          <w:szCs w:val="24"/>
          <w:lang w:val="en-US"/>
        </w:rPr>
      </w:pPr>
      <w:r w:rsidRPr="00704D02">
        <w:rPr>
          <w:rFonts w:ascii="Times New Roman" w:eastAsia="Times New Roman" w:hAnsi="Times New Roman" w:cs="Times New Roman"/>
          <w:sz w:val="24"/>
          <w:szCs w:val="24"/>
          <w:lang w:val="en-US"/>
        </w:rPr>
        <w:t xml:space="preserve">mRNA half-lives were calculated for 6,146 yeast genes from a 60-minute decay time series experiment with three biological replicates. Genes were ranked by their average half-life, and the top 10% (most stable transcripts) and bottom 10% (least stable transcripts) were submitted to </w:t>
      </w:r>
      <w:proofErr w:type="spellStart"/>
      <w:r w:rsidRPr="00704D02">
        <w:rPr>
          <w:rFonts w:ascii="Times New Roman" w:eastAsia="Times New Roman" w:hAnsi="Times New Roman" w:cs="Times New Roman"/>
          <w:sz w:val="24"/>
          <w:szCs w:val="24"/>
          <w:lang w:val="en-US"/>
        </w:rPr>
        <w:t>gProfiler</w:t>
      </w:r>
      <w:proofErr w:type="spellEnd"/>
      <w:r w:rsidRPr="00704D02">
        <w:rPr>
          <w:rFonts w:ascii="Times New Roman" w:eastAsia="Times New Roman" w:hAnsi="Times New Roman" w:cs="Times New Roman"/>
          <w:sz w:val="24"/>
          <w:szCs w:val="24"/>
          <w:lang w:val="en-US"/>
        </w:rPr>
        <w:t xml:space="preserve"> for Gene Ontology (GO) enrichment analysis.</w:t>
      </w:r>
    </w:p>
    <w:p w14:paraId="4C88522D" w14:textId="77777777" w:rsidR="00704D02" w:rsidRPr="00704D02" w:rsidRDefault="00704D02" w:rsidP="00704D02">
      <w:pPr>
        <w:spacing w:before="200" w:after="100"/>
        <w:jc w:val="both"/>
        <w:rPr>
          <w:rFonts w:ascii="Times New Roman" w:eastAsia="Times New Roman" w:hAnsi="Times New Roman" w:cs="Times New Roman"/>
          <w:sz w:val="24"/>
          <w:szCs w:val="24"/>
          <w:lang w:val="en-US"/>
        </w:rPr>
      </w:pPr>
      <w:r w:rsidRPr="00704D02">
        <w:rPr>
          <w:rFonts w:ascii="Times New Roman" w:eastAsia="Times New Roman" w:hAnsi="Times New Roman" w:cs="Times New Roman"/>
          <w:i/>
          <w:iCs/>
          <w:sz w:val="24"/>
          <w:szCs w:val="24"/>
          <w:lang w:val="en-US"/>
        </w:rPr>
        <w:t>Saccharomyces cerevisiae</w:t>
      </w:r>
      <w:r w:rsidRPr="00704D02">
        <w:rPr>
          <w:rFonts w:ascii="Times New Roman" w:eastAsia="Times New Roman" w:hAnsi="Times New Roman" w:cs="Times New Roman"/>
          <w:sz w:val="24"/>
          <w:szCs w:val="24"/>
          <w:lang w:val="en-US"/>
        </w:rPr>
        <w:t xml:space="preserve"> was used as the reference organism, and all 6,146 genes with calculated half-lives were used as the statistical background to ensure unbiased enrichment analysis.</w:t>
      </w:r>
    </w:p>
    <w:p w14:paraId="691AD1CB" w14:textId="788F2AC8" w:rsidR="0097081E" w:rsidRPr="00E172A5" w:rsidRDefault="00000000">
      <w:pPr>
        <w:spacing w:before="200" w:after="100"/>
        <w:jc w:val="both"/>
        <w:rPr>
          <w:rFonts w:ascii="Times New Roman" w:eastAsia="Times New Roman" w:hAnsi="Times New Roman" w:cs="Times New Roman"/>
          <w:b/>
          <w:bCs/>
          <w:color w:val="1F3864"/>
          <w:sz w:val="24"/>
          <w:szCs w:val="24"/>
          <w:u w:val="single"/>
        </w:rPr>
      </w:pPr>
      <w:r w:rsidRPr="00E172A5">
        <w:rPr>
          <w:rFonts w:ascii="Times New Roman" w:eastAsia="Times New Roman" w:hAnsi="Times New Roman" w:cs="Times New Roman"/>
          <w:b/>
          <w:bCs/>
          <w:color w:val="1F3864"/>
          <w:sz w:val="24"/>
          <w:szCs w:val="24"/>
          <w:u w:val="single"/>
        </w:rPr>
        <w:t xml:space="preserve">Top 10% </w:t>
      </w:r>
      <w:r w:rsidR="00B264E2" w:rsidRPr="00E172A5">
        <w:rPr>
          <w:rFonts w:ascii="Times New Roman" w:eastAsia="Times New Roman" w:hAnsi="Times New Roman" w:cs="Times New Roman"/>
          <w:b/>
          <w:bCs/>
          <w:color w:val="1F3864"/>
          <w:sz w:val="24"/>
          <w:szCs w:val="24"/>
          <w:u w:val="single"/>
        </w:rPr>
        <w:t>-</w:t>
      </w:r>
      <w:r w:rsidRPr="00E172A5">
        <w:rPr>
          <w:rFonts w:ascii="Times New Roman" w:eastAsia="Times New Roman" w:hAnsi="Times New Roman" w:cs="Times New Roman"/>
          <w:b/>
          <w:bCs/>
          <w:color w:val="1F3864"/>
          <w:sz w:val="24"/>
          <w:szCs w:val="24"/>
          <w:u w:val="single"/>
        </w:rPr>
        <w:t>Long-Lived Transcripts</w:t>
      </w:r>
      <w:r w:rsidR="00B264E2" w:rsidRPr="00E172A5">
        <w:rPr>
          <w:rFonts w:ascii="Times New Roman" w:eastAsia="Times New Roman" w:hAnsi="Times New Roman" w:cs="Times New Roman"/>
          <w:b/>
          <w:bCs/>
          <w:color w:val="1F3864"/>
          <w:sz w:val="24"/>
          <w:szCs w:val="24"/>
          <w:u w:val="single"/>
        </w:rPr>
        <w:t>:</w:t>
      </w:r>
      <w:r w:rsidRPr="00E172A5">
        <w:rPr>
          <w:rFonts w:ascii="Times New Roman" w:eastAsia="Times New Roman" w:hAnsi="Times New Roman" w:cs="Times New Roman"/>
          <w:b/>
          <w:bCs/>
          <w:color w:val="1F3864"/>
          <w:sz w:val="24"/>
          <w:szCs w:val="24"/>
          <w:u w:val="single"/>
        </w:rPr>
        <w:t xml:space="preserve"> </w:t>
      </w:r>
    </w:p>
    <w:p w14:paraId="44EF447E" w14:textId="77777777" w:rsidR="0097081E" w:rsidRPr="00E172A5" w:rsidRDefault="00000000">
      <w:pPr>
        <w:spacing w:before="60" w:after="60"/>
        <w:jc w:val="both"/>
        <w:rPr>
          <w:rFonts w:ascii="Times New Roman" w:eastAsia="Times New Roman" w:hAnsi="Times New Roman" w:cs="Times New Roman"/>
          <w:sz w:val="24"/>
          <w:szCs w:val="24"/>
        </w:rPr>
      </w:pPr>
      <w:r w:rsidRPr="00E172A5">
        <w:rPr>
          <w:rFonts w:ascii="Times New Roman" w:eastAsia="Times New Roman" w:hAnsi="Times New Roman" w:cs="Times New Roman"/>
          <w:sz w:val="24"/>
          <w:szCs w:val="24"/>
        </w:rPr>
        <w:t>615 genes with the most stable mRNA were enriched for 8 significant GO terms, mainly in metabolic and stress-related processes. Fewer and less extreme signals reflect the functional diversity of stable transcripts.</w:t>
      </w:r>
    </w:p>
    <w:p w14:paraId="12982888" w14:textId="77777777" w:rsidR="00704D02" w:rsidRPr="00704D02" w:rsidRDefault="00704D02" w:rsidP="00704D02">
      <w:p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sz w:val="24"/>
          <w:szCs w:val="24"/>
          <w:lang w:val="en-US"/>
        </w:rPr>
        <w:t>A total of 615 genes with the most stable mRNA transcripts were enriched for 8 significant GO terms, primarily associated with metabolism and stress-related processes. The smaller number of enriched terms likely reflects the broader functional diversity of stable transcripts.</w:t>
      </w:r>
    </w:p>
    <w:p w14:paraId="7257B142" w14:textId="77777777" w:rsidR="00704D02" w:rsidRPr="00704D02" w:rsidRDefault="00704D02" w:rsidP="00704D02">
      <w:pPr>
        <w:spacing w:before="200" w:after="100"/>
        <w:jc w:val="both"/>
        <w:rPr>
          <w:rFonts w:ascii="Times New Roman" w:eastAsia="Times New Roman" w:hAnsi="Times New Roman" w:cs="Times New Roman"/>
          <w:b/>
          <w:bCs/>
          <w:color w:val="1F3864"/>
          <w:sz w:val="24"/>
          <w:szCs w:val="24"/>
          <w:u w:val="single"/>
        </w:rPr>
      </w:pPr>
      <w:r w:rsidRPr="00704D02">
        <w:rPr>
          <w:rFonts w:ascii="Times New Roman" w:eastAsia="Times New Roman" w:hAnsi="Times New Roman" w:cs="Times New Roman"/>
          <w:b/>
          <w:bCs/>
          <w:color w:val="1F3864"/>
          <w:sz w:val="24"/>
          <w:szCs w:val="24"/>
          <w:u w:val="single"/>
        </w:rPr>
        <w:t>Key Enriched Terms</w:t>
      </w:r>
    </w:p>
    <w:p w14:paraId="29383899" w14:textId="77777777" w:rsidR="00704D02" w:rsidRPr="00704D02" w:rsidRDefault="00704D02" w:rsidP="00704D0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Carbohydrate metabolic process (</w:t>
      </w:r>
      <w:proofErr w:type="gramStart"/>
      <w:r w:rsidRPr="00704D02">
        <w:rPr>
          <w:rFonts w:ascii="Times New Roman" w:eastAsia="Times New Roman" w:hAnsi="Times New Roman" w:cs="Times New Roman"/>
          <w:b/>
          <w:bCs/>
          <w:sz w:val="24"/>
          <w:szCs w:val="24"/>
          <w:lang w:val="en-US"/>
        </w:rPr>
        <w:t>GO:BP</w:t>
      </w:r>
      <w:proofErr w:type="gramEnd"/>
      <w:r w:rsidRPr="00704D02">
        <w:rPr>
          <w:rFonts w:ascii="Times New Roman" w:eastAsia="Times New Roman" w:hAnsi="Times New Roman" w:cs="Times New Roman"/>
          <w:b/>
          <w:bCs/>
          <w:sz w:val="24"/>
          <w:szCs w:val="24"/>
          <w:lang w:val="en-US"/>
        </w:rPr>
        <w:t>)</w:t>
      </w:r>
      <w:r w:rsidRPr="00704D02">
        <w:rPr>
          <w:rFonts w:ascii="Times New Roman" w:eastAsia="Times New Roman" w:hAnsi="Times New Roman" w:cs="Times New Roman"/>
          <w:sz w:val="24"/>
          <w:szCs w:val="24"/>
          <w:lang w:val="en-US"/>
        </w:rPr>
        <w:br/>
        <w:t>The strongest biological process signal. Core metabolic enzymes involved in glycolysis and related pathways require stable transcripts to maintain a continuous enzyme supply.</w:t>
      </w:r>
    </w:p>
    <w:p w14:paraId="6CE016BA" w14:textId="77777777" w:rsidR="00704D02" w:rsidRPr="00704D02" w:rsidRDefault="00704D02" w:rsidP="00704D0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Generation of precursor metabolites and energy (</w:t>
      </w:r>
      <w:proofErr w:type="gramStart"/>
      <w:r w:rsidRPr="00704D02">
        <w:rPr>
          <w:rFonts w:ascii="Times New Roman" w:eastAsia="Times New Roman" w:hAnsi="Times New Roman" w:cs="Times New Roman"/>
          <w:b/>
          <w:bCs/>
          <w:sz w:val="24"/>
          <w:szCs w:val="24"/>
          <w:lang w:val="en-US"/>
        </w:rPr>
        <w:t>GO:BP</w:t>
      </w:r>
      <w:proofErr w:type="gramEnd"/>
      <w:r w:rsidRPr="00704D02">
        <w:rPr>
          <w:rFonts w:ascii="Times New Roman" w:eastAsia="Times New Roman" w:hAnsi="Times New Roman" w:cs="Times New Roman"/>
          <w:b/>
          <w:bCs/>
          <w:sz w:val="24"/>
          <w:szCs w:val="24"/>
          <w:lang w:val="en-US"/>
        </w:rPr>
        <w:t>)</w:t>
      </w:r>
      <w:r w:rsidRPr="00704D02">
        <w:rPr>
          <w:rFonts w:ascii="Times New Roman" w:eastAsia="Times New Roman" w:hAnsi="Times New Roman" w:cs="Times New Roman"/>
          <w:sz w:val="24"/>
          <w:szCs w:val="24"/>
          <w:lang w:val="en-US"/>
        </w:rPr>
        <w:br/>
        <w:t>Energy production pathways (ATP, NADH) depend on constitutively expressed, stable mRNAs to meet the cell’s ongoing energy demands.</w:t>
      </w:r>
    </w:p>
    <w:p w14:paraId="6BD4D2E8" w14:textId="77777777" w:rsidR="00704D02" w:rsidRPr="00704D02" w:rsidRDefault="00704D02" w:rsidP="00704D0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Oxidoreductase activity &amp; antioxidant activity (GO:MF)</w:t>
      </w:r>
      <w:r w:rsidRPr="00704D02">
        <w:rPr>
          <w:rFonts w:ascii="Times New Roman" w:eastAsia="Times New Roman" w:hAnsi="Times New Roman" w:cs="Times New Roman"/>
          <w:sz w:val="24"/>
          <w:szCs w:val="24"/>
          <w:lang w:val="en-US"/>
        </w:rPr>
        <w:br/>
        <w:t>Stable enzyme transcripts allow the cell to maintain a ready pool of metabolic and protective proteins without repeatedly initiating transcription.</w:t>
      </w:r>
    </w:p>
    <w:p w14:paraId="5EABF981" w14:textId="77777777" w:rsidR="00704D02" w:rsidRPr="00704D02" w:rsidRDefault="00704D02" w:rsidP="00704D02">
      <w:pPr>
        <w:numPr>
          <w:ilvl w:val="0"/>
          <w:numId w:val="2"/>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Cellular response to toxic substance &amp; chemical stress (</w:t>
      </w:r>
      <w:proofErr w:type="gramStart"/>
      <w:r w:rsidRPr="00704D02">
        <w:rPr>
          <w:rFonts w:ascii="Times New Roman" w:eastAsia="Times New Roman" w:hAnsi="Times New Roman" w:cs="Times New Roman"/>
          <w:b/>
          <w:bCs/>
          <w:sz w:val="24"/>
          <w:szCs w:val="24"/>
          <w:lang w:val="en-US"/>
        </w:rPr>
        <w:t>GO:BP</w:t>
      </w:r>
      <w:proofErr w:type="gramEnd"/>
      <w:r w:rsidRPr="00704D02">
        <w:rPr>
          <w:rFonts w:ascii="Times New Roman" w:eastAsia="Times New Roman" w:hAnsi="Times New Roman" w:cs="Times New Roman"/>
          <w:b/>
          <w:bCs/>
          <w:sz w:val="24"/>
          <w:szCs w:val="24"/>
          <w:lang w:val="en-US"/>
        </w:rPr>
        <w:t>)</w:t>
      </w:r>
      <w:r w:rsidRPr="00704D02">
        <w:rPr>
          <w:rFonts w:ascii="Times New Roman" w:eastAsia="Times New Roman" w:hAnsi="Times New Roman" w:cs="Times New Roman"/>
          <w:sz w:val="24"/>
          <w:szCs w:val="24"/>
          <w:lang w:val="en-US"/>
        </w:rPr>
        <w:br/>
        <w:t>Stress-response genes benefit from transcript stability, enabling rapid protein production without waiting for new mRNA synthesis.</w:t>
      </w:r>
    </w:p>
    <w:p w14:paraId="78963DCF" w14:textId="77777777" w:rsidR="0097081E" w:rsidRPr="00E172A5" w:rsidRDefault="00000000">
      <w:pPr>
        <w:spacing w:before="80" w:after="240"/>
        <w:jc w:val="both"/>
        <w:rPr>
          <w:rFonts w:ascii="Times New Roman" w:eastAsia="Times New Roman" w:hAnsi="Times New Roman" w:cs="Times New Roman"/>
          <w:sz w:val="24"/>
          <w:szCs w:val="24"/>
        </w:rPr>
      </w:pPr>
      <w:r w:rsidRPr="00E172A5">
        <w:rPr>
          <w:rFonts w:ascii="Times New Roman" w:eastAsia="Times New Roman" w:hAnsi="Times New Roman" w:cs="Times New Roman"/>
          <w:sz w:val="24"/>
          <w:szCs w:val="24"/>
        </w:rPr>
        <w:t xml:space="preserve"> </w:t>
      </w:r>
    </w:p>
    <w:p w14:paraId="36CE2556" w14:textId="4A8ECC6B" w:rsidR="0097081E" w:rsidRPr="00234CA0" w:rsidRDefault="00000000">
      <w:pPr>
        <w:spacing w:before="160" w:after="80"/>
        <w:jc w:val="both"/>
        <w:rPr>
          <w:rFonts w:ascii="Times New Roman" w:eastAsia="Times New Roman" w:hAnsi="Times New Roman" w:cs="Times New Roman"/>
          <w:b/>
          <w:bCs/>
          <w:color w:val="1F3864"/>
          <w:sz w:val="24"/>
          <w:szCs w:val="24"/>
          <w:u w:val="single"/>
        </w:rPr>
      </w:pPr>
      <w:r w:rsidRPr="00234CA0">
        <w:rPr>
          <w:rFonts w:ascii="Times New Roman" w:eastAsia="Times New Roman" w:hAnsi="Times New Roman" w:cs="Times New Roman"/>
          <w:b/>
          <w:bCs/>
          <w:color w:val="1F3864"/>
          <w:sz w:val="24"/>
          <w:szCs w:val="24"/>
          <w:u w:val="single"/>
        </w:rPr>
        <w:t>Interpretation</w:t>
      </w:r>
      <w:r w:rsidR="00234CA0">
        <w:rPr>
          <w:rFonts w:ascii="Times New Roman" w:eastAsia="Times New Roman" w:hAnsi="Times New Roman" w:cs="Times New Roman"/>
          <w:b/>
          <w:bCs/>
          <w:color w:val="1F3864"/>
          <w:sz w:val="24"/>
          <w:szCs w:val="24"/>
          <w:u w:val="single"/>
        </w:rPr>
        <w:t>:</w:t>
      </w:r>
    </w:p>
    <w:p w14:paraId="65330F95" w14:textId="77777777" w:rsidR="00704D02" w:rsidRPr="00704D02" w:rsidRDefault="00704D02" w:rsidP="00704D02">
      <w:pPr>
        <w:spacing w:before="60" w:after="60"/>
        <w:jc w:val="both"/>
        <w:rPr>
          <w:rFonts w:ascii="Times New Roman" w:eastAsia="Times New Roman" w:hAnsi="Times New Roman" w:cs="Times New Roman"/>
          <w:sz w:val="24"/>
          <w:szCs w:val="24"/>
          <w:lang w:val="en-US"/>
        </w:rPr>
      </w:pPr>
      <w:r w:rsidRPr="00704D02">
        <w:rPr>
          <w:rFonts w:ascii="Times New Roman" w:eastAsia="Times New Roman" w:hAnsi="Times New Roman" w:cs="Times New Roman"/>
          <w:sz w:val="24"/>
          <w:szCs w:val="24"/>
          <w:lang w:val="en-US"/>
        </w:rPr>
        <w:t>Long-lived transcripts encode proteins required continuously over time, particularly those involved in core metabolic functions and maintaining baseline stress defense. In this context, mRNA stability is an adaptive feature that ensures sustained protein production for essential cellular processes.</w:t>
      </w:r>
    </w:p>
    <w:p w14:paraId="1D7B26E4" w14:textId="71A3780E" w:rsidR="0097081E" w:rsidRPr="00E172A5" w:rsidRDefault="0097081E">
      <w:pPr>
        <w:spacing w:before="60" w:after="60"/>
        <w:jc w:val="both"/>
        <w:rPr>
          <w:rFonts w:ascii="Times New Roman" w:eastAsia="Times New Roman" w:hAnsi="Times New Roman" w:cs="Times New Roman"/>
          <w:sz w:val="24"/>
          <w:szCs w:val="24"/>
        </w:rPr>
      </w:pPr>
    </w:p>
    <w:p w14:paraId="188FB9B8" w14:textId="77777777" w:rsidR="0097081E" w:rsidRPr="00E172A5" w:rsidRDefault="00000000">
      <w:pPr>
        <w:spacing w:before="100" w:after="240"/>
        <w:jc w:val="both"/>
        <w:rPr>
          <w:rFonts w:ascii="Times New Roman" w:eastAsia="Times New Roman" w:hAnsi="Times New Roman" w:cs="Times New Roman"/>
          <w:sz w:val="24"/>
          <w:szCs w:val="24"/>
        </w:rPr>
      </w:pPr>
      <w:r w:rsidRPr="00E172A5">
        <w:rPr>
          <w:rFonts w:ascii="Times New Roman" w:eastAsia="Times New Roman" w:hAnsi="Times New Roman" w:cs="Times New Roman"/>
          <w:sz w:val="24"/>
          <w:szCs w:val="24"/>
        </w:rPr>
        <w:t xml:space="preserve"> </w:t>
      </w:r>
    </w:p>
    <w:p w14:paraId="5CD486DB" w14:textId="77777777" w:rsidR="0097081E" w:rsidRPr="00E172A5" w:rsidRDefault="00000000">
      <w:pPr>
        <w:spacing w:before="100" w:after="60"/>
        <w:jc w:val="center"/>
        <w:rPr>
          <w:rFonts w:ascii="Times New Roman" w:eastAsia="Times New Roman" w:hAnsi="Times New Roman" w:cs="Times New Roman"/>
          <w:sz w:val="24"/>
          <w:szCs w:val="24"/>
        </w:rPr>
      </w:pPr>
      <w:r w:rsidRPr="00E172A5">
        <w:rPr>
          <w:rFonts w:ascii="Times New Roman" w:eastAsia="Times New Roman" w:hAnsi="Times New Roman" w:cs="Times New Roman"/>
          <w:noProof/>
          <w:sz w:val="24"/>
          <w:szCs w:val="24"/>
        </w:rPr>
        <w:lastRenderedPageBreak/>
        <w:drawing>
          <wp:inline distT="114300" distB="114300" distL="114300" distR="114300" wp14:anchorId="4C30D71C" wp14:editId="08B93A92">
            <wp:extent cx="5731200" cy="3352800"/>
            <wp:effectExtent l="0" t="0" r="0" b="0"/>
            <wp:docPr id="1" name="image1.gif" descr="Title: Figure 2. gProfiler results for top 10% (long-lived) genes — S. cerevisiae, 20 Feb 2026 - Description: Figure 2. gProfiler results for top 10% (long-lived) genes — S. cerevisiae, 20 Feb 2026"/>
            <wp:cNvGraphicFramePr/>
            <a:graphic xmlns:a="http://schemas.openxmlformats.org/drawingml/2006/main">
              <a:graphicData uri="http://schemas.openxmlformats.org/drawingml/2006/picture">
                <pic:pic xmlns:pic="http://schemas.openxmlformats.org/drawingml/2006/picture">
                  <pic:nvPicPr>
                    <pic:cNvPr id="0" name="image1.gif" descr="Title: Figure 2. gProfiler results for top 10% (long-lived) genes — S. cerevisiae, 20 Feb 2026 - Description: Figure 2. gProfiler results for top 10% (long-lived) genes — S. cerevisiae, 20 Feb 2026"/>
                    <pic:cNvPicPr preferRelativeResize="0"/>
                  </pic:nvPicPr>
                  <pic:blipFill>
                    <a:blip r:embed="rId5"/>
                    <a:srcRect/>
                    <a:stretch>
                      <a:fillRect/>
                    </a:stretch>
                  </pic:blipFill>
                  <pic:spPr>
                    <a:xfrm>
                      <a:off x="0" y="0"/>
                      <a:ext cx="5731200" cy="3352800"/>
                    </a:xfrm>
                    <a:prstGeom prst="rect">
                      <a:avLst/>
                    </a:prstGeom>
                    <a:ln/>
                  </pic:spPr>
                </pic:pic>
              </a:graphicData>
            </a:graphic>
          </wp:inline>
        </w:drawing>
      </w:r>
    </w:p>
    <w:p w14:paraId="6046768B" w14:textId="4DB47392" w:rsidR="0097081E" w:rsidRPr="00AD237B" w:rsidRDefault="00000000" w:rsidP="00AD237B">
      <w:pPr>
        <w:spacing w:before="240" w:after="100"/>
        <w:jc w:val="center"/>
        <w:rPr>
          <w:rFonts w:ascii="Times New Roman" w:hAnsi="Times New Roman" w:cs="Times New Roman"/>
          <w:color w:val="888888"/>
          <w:sz w:val="24"/>
          <w:szCs w:val="24"/>
        </w:rPr>
      </w:pPr>
      <w:r w:rsidRPr="00AD237B">
        <w:rPr>
          <w:rFonts w:ascii="Times New Roman" w:hAnsi="Times New Roman" w:cs="Times New Roman"/>
          <w:color w:val="888888"/>
          <w:sz w:val="24"/>
          <w:szCs w:val="24"/>
        </w:rPr>
        <w:t xml:space="preserve">Figure </w:t>
      </w:r>
      <w:r w:rsidR="00B264E2" w:rsidRPr="00AD237B">
        <w:rPr>
          <w:rFonts w:ascii="Times New Roman" w:hAnsi="Times New Roman" w:cs="Times New Roman"/>
          <w:color w:val="888888"/>
          <w:sz w:val="24"/>
          <w:szCs w:val="24"/>
        </w:rPr>
        <w:t>1</w:t>
      </w:r>
      <w:r w:rsidRPr="00AD237B">
        <w:rPr>
          <w:rFonts w:ascii="Times New Roman" w:hAnsi="Times New Roman" w:cs="Times New Roman"/>
          <w:color w:val="888888"/>
          <w:sz w:val="24"/>
          <w:szCs w:val="24"/>
        </w:rPr>
        <w:t xml:space="preserve">. </w:t>
      </w:r>
      <w:proofErr w:type="spellStart"/>
      <w:r w:rsidRPr="00AD237B">
        <w:rPr>
          <w:rFonts w:ascii="Times New Roman" w:hAnsi="Times New Roman" w:cs="Times New Roman"/>
          <w:color w:val="888888"/>
          <w:sz w:val="24"/>
          <w:szCs w:val="24"/>
        </w:rPr>
        <w:t>gProfiler</w:t>
      </w:r>
      <w:proofErr w:type="spellEnd"/>
      <w:r w:rsidRPr="00AD237B">
        <w:rPr>
          <w:rFonts w:ascii="Times New Roman" w:hAnsi="Times New Roman" w:cs="Times New Roman"/>
          <w:color w:val="888888"/>
          <w:sz w:val="24"/>
          <w:szCs w:val="24"/>
        </w:rPr>
        <w:t xml:space="preserve"> results for top 10% (long-lived) genes </w:t>
      </w:r>
    </w:p>
    <w:p w14:paraId="0A3E9D6C" w14:textId="77777777" w:rsidR="0097081E" w:rsidRPr="00E172A5" w:rsidRDefault="0097081E">
      <w:pPr>
        <w:spacing w:before="60" w:after="60"/>
        <w:jc w:val="both"/>
        <w:rPr>
          <w:rFonts w:ascii="Times New Roman" w:hAnsi="Times New Roman" w:cs="Times New Roman"/>
          <w:i/>
          <w:iCs/>
          <w:color w:val="888888"/>
          <w:sz w:val="24"/>
          <w:szCs w:val="24"/>
        </w:rPr>
      </w:pPr>
    </w:p>
    <w:p w14:paraId="1F29F36E" w14:textId="77777777" w:rsidR="0097081E" w:rsidRPr="00E172A5" w:rsidRDefault="0097081E">
      <w:pPr>
        <w:spacing w:before="60" w:after="60"/>
        <w:jc w:val="both"/>
        <w:rPr>
          <w:rFonts w:ascii="Times New Roman" w:hAnsi="Times New Roman" w:cs="Times New Roman"/>
          <w:i/>
          <w:iCs/>
          <w:color w:val="888888"/>
          <w:sz w:val="24"/>
          <w:szCs w:val="24"/>
        </w:rPr>
      </w:pPr>
    </w:p>
    <w:p w14:paraId="276C8978" w14:textId="7C923984" w:rsidR="0097081E" w:rsidRPr="00E172A5" w:rsidRDefault="00000000" w:rsidP="00B264E2">
      <w:pPr>
        <w:spacing w:before="60" w:after="60"/>
        <w:jc w:val="both"/>
        <w:rPr>
          <w:rFonts w:ascii="Times New Roman" w:hAnsi="Times New Roman" w:cs="Times New Roman"/>
          <w:b/>
          <w:bCs/>
          <w:color w:val="1F3864"/>
          <w:sz w:val="24"/>
          <w:szCs w:val="24"/>
        </w:rPr>
      </w:pPr>
      <w:r w:rsidRPr="00E172A5">
        <w:rPr>
          <w:rFonts w:ascii="Times New Roman" w:hAnsi="Times New Roman" w:cs="Times New Roman"/>
          <w:b/>
          <w:bCs/>
          <w:color w:val="1F3864"/>
          <w:sz w:val="24"/>
          <w:szCs w:val="24"/>
        </w:rPr>
        <w:t xml:space="preserve">Bottom 10% — Short-Lived </w:t>
      </w:r>
      <w:proofErr w:type="gramStart"/>
      <w:r w:rsidRPr="00E172A5">
        <w:rPr>
          <w:rFonts w:ascii="Times New Roman" w:hAnsi="Times New Roman" w:cs="Times New Roman"/>
          <w:b/>
          <w:bCs/>
          <w:color w:val="1F3864"/>
          <w:sz w:val="24"/>
          <w:szCs w:val="24"/>
        </w:rPr>
        <w:t xml:space="preserve">Transcripts </w:t>
      </w:r>
      <w:r w:rsidR="00E172A5" w:rsidRPr="00E172A5">
        <w:rPr>
          <w:rFonts w:ascii="Times New Roman" w:hAnsi="Times New Roman" w:cs="Times New Roman"/>
          <w:b/>
          <w:bCs/>
          <w:color w:val="1F3864"/>
          <w:sz w:val="24"/>
          <w:szCs w:val="24"/>
        </w:rPr>
        <w:t>:</w:t>
      </w:r>
      <w:proofErr w:type="gramEnd"/>
    </w:p>
    <w:p w14:paraId="54DB4B0A" w14:textId="4B8D7DD9" w:rsidR="0097081E" w:rsidRPr="00E172A5" w:rsidRDefault="00704D02">
      <w:pPr>
        <w:spacing w:before="80" w:after="240"/>
        <w:jc w:val="both"/>
        <w:rPr>
          <w:rFonts w:ascii="Times New Roman" w:hAnsi="Times New Roman" w:cs="Times New Roman"/>
          <w:color w:val="888888"/>
          <w:sz w:val="24"/>
          <w:szCs w:val="24"/>
        </w:rPr>
      </w:pPr>
      <w:r w:rsidRPr="00704D02">
        <w:rPr>
          <w:rFonts w:ascii="Times New Roman" w:hAnsi="Times New Roman" w:cs="Times New Roman"/>
          <w:color w:val="000000" w:themeColor="text1"/>
          <w:sz w:val="24"/>
          <w:szCs w:val="24"/>
        </w:rPr>
        <w:t>A total of 615 genes with the fastest-decaying transcripts were enriched for 16 significant GO terms across all three GO namespaces. The strongest enrichment signals were associated with RNA biology, chromatin organization, and cell cycle regulation.</w:t>
      </w:r>
      <w:r w:rsidR="00000000" w:rsidRPr="00E172A5">
        <w:rPr>
          <w:rFonts w:ascii="Times New Roman" w:hAnsi="Times New Roman" w:cs="Times New Roman"/>
          <w:color w:val="888888"/>
          <w:sz w:val="24"/>
          <w:szCs w:val="24"/>
        </w:rPr>
        <w:t xml:space="preserve"> </w:t>
      </w:r>
    </w:p>
    <w:p w14:paraId="7BDA9F49" w14:textId="77777777" w:rsidR="0097081E" w:rsidRPr="00234CA0" w:rsidRDefault="00000000">
      <w:pPr>
        <w:spacing w:before="160" w:after="80"/>
        <w:jc w:val="both"/>
        <w:rPr>
          <w:rFonts w:ascii="Times New Roman" w:eastAsia="Times New Roman" w:hAnsi="Times New Roman" w:cs="Times New Roman"/>
          <w:b/>
          <w:bCs/>
          <w:color w:val="1F3864"/>
          <w:sz w:val="24"/>
          <w:szCs w:val="24"/>
          <w:u w:val="single"/>
        </w:rPr>
      </w:pPr>
      <w:r w:rsidRPr="00234CA0">
        <w:rPr>
          <w:rFonts w:ascii="Times New Roman" w:eastAsia="Times New Roman" w:hAnsi="Times New Roman" w:cs="Times New Roman"/>
          <w:b/>
          <w:bCs/>
          <w:color w:val="1F3864"/>
          <w:sz w:val="24"/>
          <w:szCs w:val="24"/>
          <w:u w:val="single"/>
        </w:rPr>
        <w:t>Key Enriched Terms</w:t>
      </w:r>
    </w:p>
    <w:p w14:paraId="59C40533" w14:textId="77777777" w:rsidR="00704D02" w:rsidRPr="00704D02" w:rsidRDefault="00704D02" w:rsidP="00704D0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Nucleolus (GO:CC)</w:t>
      </w:r>
      <w:r w:rsidRPr="00704D02">
        <w:rPr>
          <w:rFonts w:ascii="Times New Roman" w:eastAsia="Times New Roman" w:hAnsi="Times New Roman" w:cs="Times New Roman"/>
          <w:sz w:val="24"/>
          <w:szCs w:val="24"/>
          <w:lang w:val="en-US"/>
        </w:rPr>
        <w:br/>
        <w:t>The strongest enrichment overall. Genes localized to the nucleolus, the site of ribosome production, exhibit short transcript half-lives to allow rapid adjustment of ribosome biogenesis.</w:t>
      </w:r>
    </w:p>
    <w:p w14:paraId="500864A5" w14:textId="77777777" w:rsidR="00704D02" w:rsidRPr="00704D02" w:rsidRDefault="00704D02" w:rsidP="00704D0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proofErr w:type="gramStart"/>
      <w:r w:rsidRPr="00704D02">
        <w:rPr>
          <w:rFonts w:ascii="Times New Roman" w:eastAsia="Times New Roman" w:hAnsi="Times New Roman" w:cs="Times New Roman"/>
          <w:b/>
          <w:bCs/>
          <w:sz w:val="24"/>
          <w:szCs w:val="24"/>
          <w:lang w:val="en-US"/>
        </w:rPr>
        <w:t>rRNA</w:t>
      </w:r>
      <w:proofErr w:type="gramEnd"/>
      <w:r w:rsidRPr="00704D02">
        <w:rPr>
          <w:rFonts w:ascii="Times New Roman" w:eastAsia="Times New Roman" w:hAnsi="Times New Roman" w:cs="Times New Roman"/>
          <w:b/>
          <w:bCs/>
          <w:sz w:val="24"/>
          <w:szCs w:val="24"/>
          <w:lang w:val="en-US"/>
        </w:rPr>
        <w:t xml:space="preserve"> metabolic process (</w:t>
      </w:r>
      <w:proofErr w:type="gramStart"/>
      <w:r w:rsidRPr="00704D02">
        <w:rPr>
          <w:rFonts w:ascii="Times New Roman" w:eastAsia="Times New Roman" w:hAnsi="Times New Roman" w:cs="Times New Roman"/>
          <w:b/>
          <w:bCs/>
          <w:sz w:val="24"/>
          <w:szCs w:val="24"/>
          <w:lang w:val="en-US"/>
        </w:rPr>
        <w:t>GO:BP</w:t>
      </w:r>
      <w:proofErr w:type="gramEnd"/>
      <w:r w:rsidRPr="00704D02">
        <w:rPr>
          <w:rFonts w:ascii="Times New Roman" w:eastAsia="Times New Roman" w:hAnsi="Times New Roman" w:cs="Times New Roman"/>
          <w:b/>
          <w:bCs/>
          <w:sz w:val="24"/>
          <w:szCs w:val="24"/>
          <w:lang w:val="en-US"/>
        </w:rPr>
        <w:t>)</w:t>
      </w:r>
      <w:r w:rsidRPr="00704D02">
        <w:rPr>
          <w:rFonts w:ascii="Times New Roman" w:eastAsia="Times New Roman" w:hAnsi="Times New Roman" w:cs="Times New Roman"/>
          <w:sz w:val="24"/>
          <w:szCs w:val="24"/>
          <w:lang w:val="en-US"/>
        </w:rPr>
        <w:br/>
        <w:t>Ribosomal RNA processing is tightly regulated and highly responsive to nutrient availability, requiring fast mRNA turnover.</w:t>
      </w:r>
    </w:p>
    <w:p w14:paraId="6D09F617" w14:textId="77777777" w:rsidR="00704D02" w:rsidRPr="00704D02" w:rsidRDefault="00704D02" w:rsidP="00704D0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Nucleic acid binding (GO:MF)</w:t>
      </w:r>
      <w:r w:rsidRPr="00704D02">
        <w:rPr>
          <w:rFonts w:ascii="Times New Roman" w:eastAsia="Times New Roman" w:hAnsi="Times New Roman" w:cs="Times New Roman"/>
          <w:sz w:val="24"/>
          <w:szCs w:val="24"/>
          <w:lang w:val="en-US"/>
        </w:rPr>
        <w:br/>
        <w:t>This category includes transcription factors and RNA-binding proteins, which must be rapidly degraded to enable dynamic regulation of gene expression.</w:t>
      </w:r>
    </w:p>
    <w:p w14:paraId="3232BCA1" w14:textId="77777777" w:rsidR="00704D02" w:rsidRPr="00704D02" w:rsidRDefault="00704D02" w:rsidP="00704D0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Chromatin organization &amp; nucleosome (</w:t>
      </w:r>
      <w:proofErr w:type="gramStart"/>
      <w:r w:rsidRPr="00704D02">
        <w:rPr>
          <w:rFonts w:ascii="Times New Roman" w:eastAsia="Times New Roman" w:hAnsi="Times New Roman" w:cs="Times New Roman"/>
          <w:b/>
          <w:bCs/>
          <w:sz w:val="24"/>
          <w:szCs w:val="24"/>
          <w:lang w:val="en-US"/>
        </w:rPr>
        <w:t>GO:BP</w:t>
      </w:r>
      <w:proofErr w:type="gramEnd"/>
      <w:r w:rsidRPr="00704D02">
        <w:rPr>
          <w:rFonts w:ascii="Times New Roman" w:eastAsia="Times New Roman" w:hAnsi="Times New Roman" w:cs="Times New Roman"/>
          <w:b/>
          <w:bCs/>
          <w:sz w:val="24"/>
          <w:szCs w:val="24"/>
          <w:lang w:val="en-US"/>
        </w:rPr>
        <w:t xml:space="preserve"> / GO:CC)</w:t>
      </w:r>
      <w:r w:rsidRPr="00704D02">
        <w:rPr>
          <w:rFonts w:ascii="Times New Roman" w:eastAsia="Times New Roman" w:hAnsi="Times New Roman" w:cs="Times New Roman"/>
          <w:sz w:val="24"/>
          <w:szCs w:val="24"/>
          <w:lang w:val="en-US"/>
        </w:rPr>
        <w:br/>
        <w:t>Histone and chromatin remodeling transcripts are short-lived, allowing rapid restructuring of chromatin architecture.</w:t>
      </w:r>
    </w:p>
    <w:p w14:paraId="5F7B3218" w14:textId="77777777" w:rsidR="00704D02" w:rsidRPr="00704D02" w:rsidRDefault="00704D02" w:rsidP="00704D02">
      <w:pPr>
        <w:numPr>
          <w:ilvl w:val="0"/>
          <w:numId w:val="3"/>
        </w:numPr>
        <w:spacing w:before="100" w:beforeAutospacing="1" w:after="100" w:afterAutospacing="1" w:line="240" w:lineRule="auto"/>
        <w:rPr>
          <w:rFonts w:ascii="Times New Roman" w:eastAsia="Times New Roman" w:hAnsi="Times New Roman" w:cs="Times New Roman"/>
          <w:sz w:val="24"/>
          <w:szCs w:val="24"/>
          <w:lang w:val="en-US"/>
        </w:rPr>
      </w:pPr>
      <w:r w:rsidRPr="00704D02">
        <w:rPr>
          <w:rFonts w:ascii="Times New Roman" w:eastAsia="Times New Roman" w:hAnsi="Times New Roman" w:cs="Times New Roman"/>
          <w:b/>
          <w:bCs/>
          <w:sz w:val="24"/>
          <w:szCs w:val="24"/>
          <w:lang w:val="en-US"/>
        </w:rPr>
        <w:t>Mitotic spindle assembly &amp; microtubule-based process (</w:t>
      </w:r>
      <w:proofErr w:type="gramStart"/>
      <w:r w:rsidRPr="00704D02">
        <w:rPr>
          <w:rFonts w:ascii="Times New Roman" w:eastAsia="Times New Roman" w:hAnsi="Times New Roman" w:cs="Times New Roman"/>
          <w:b/>
          <w:bCs/>
          <w:sz w:val="24"/>
          <w:szCs w:val="24"/>
          <w:lang w:val="en-US"/>
        </w:rPr>
        <w:t>GO:BP</w:t>
      </w:r>
      <w:proofErr w:type="gramEnd"/>
      <w:r w:rsidRPr="00704D02">
        <w:rPr>
          <w:rFonts w:ascii="Times New Roman" w:eastAsia="Times New Roman" w:hAnsi="Times New Roman" w:cs="Times New Roman"/>
          <w:b/>
          <w:bCs/>
          <w:sz w:val="24"/>
          <w:szCs w:val="24"/>
          <w:lang w:val="en-US"/>
        </w:rPr>
        <w:t>)</w:t>
      </w:r>
      <w:r w:rsidRPr="00704D02">
        <w:rPr>
          <w:rFonts w:ascii="Times New Roman" w:eastAsia="Times New Roman" w:hAnsi="Times New Roman" w:cs="Times New Roman"/>
          <w:sz w:val="24"/>
          <w:szCs w:val="24"/>
          <w:lang w:val="en-US"/>
        </w:rPr>
        <w:br/>
        <w:t>Cell cycle genes require precise timing, and rapid mRNA degradation ensures accurate progression through mitosis.</w:t>
      </w:r>
    </w:p>
    <w:p w14:paraId="6B5A6C32" w14:textId="77777777" w:rsidR="00670AD3" w:rsidRDefault="00670AD3">
      <w:pPr>
        <w:spacing w:before="160" w:after="80"/>
        <w:jc w:val="both"/>
        <w:rPr>
          <w:rFonts w:ascii="Times New Roman" w:hAnsi="Times New Roman" w:cs="Times New Roman"/>
          <w:b/>
          <w:bCs/>
          <w:color w:val="2E75B6"/>
          <w:sz w:val="24"/>
          <w:szCs w:val="24"/>
        </w:rPr>
      </w:pPr>
    </w:p>
    <w:p w14:paraId="0C64C13E" w14:textId="06F5BB58" w:rsidR="0097081E" w:rsidRPr="00234CA0" w:rsidRDefault="00000000">
      <w:pPr>
        <w:spacing w:before="160" w:after="80"/>
        <w:jc w:val="both"/>
        <w:rPr>
          <w:rFonts w:ascii="Times New Roman" w:eastAsia="Times New Roman" w:hAnsi="Times New Roman" w:cs="Times New Roman"/>
          <w:b/>
          <w:bCs/>
          <w:color w:val="1F3864"/>
          <w:sz w:val="24"/>
          <w:szCs w:val="24"/>
          <w:u w:val="single"/>
        </w:rPr>
      </w:pPr>
      <w:r w:rsidRPr="00234CA0">
        <w:rPr>
          <w:rFonts w:ascii="Times New Roman" w:eastAsia="Times New Roman" w:hAnsi="Times New Roman" w:cs="Times New Roman"/>
          <w:b/>
          <w:bCs/>
          <w:color w:val="1F3864"/>
          <w:sz w:val="24"/>
          <w:szCs w:val="24"/>
          <w:u w:val="single"/>
        </w:rPr>
        <w:lastRenderedPageBreak/>
        <w:t>Interpretation</w:t>
      </w:r>
      <w:r w:rsidR="00670AD3" w:rsidRPr="00234CA0">
        <w:rPr>
          <w:rFonts w:ascii="Times New Roman" w:eastAsia="Times New Roman" w:hAnsi="Times New Roman" w:cs="Times New Roman"/>
          <w:b/>
          <w:bCs/>
          <w:color w:val="1F3864"/>
          <w:sz w:val="24"/>
          <w:szCs w:val="24"/>
          <w:u w:val="single"/>
        </w:rPr>
        <w:t>:</w:t>
      </w:r>
    </w:p>
    <w:p w14:paraId="5586FBF1" w14:textId="167EC2EB" w:rsidR="0097081E" w:rsidRPr="00E172A5" w:rsidRDefault="00C86368">
      <w:pPr>
        <w:spacing w:before="100" w:after="240"/>
        <w:jc w:val="both"/>
        <w:rPr>
          <w:rFonts w:ascii="Times New Roman" w:hAnsi="Times New Roman" w:cs="Times New Roman"/>
          <w:color w:val="888888"/>
          <w:sz w:val="24"/>
          <w:szCs w:val="24"/>
        </w:rPr>
      </w:pPr>
      <w:r w:rsidRPr="00C86368">
        <w:rPr>
          <w:rFonts w:ascii="Times New Roman" w:hAnsi="Times New Roman" w:cs="Times New Roman"/>
          <w:color w:val="000000" w:themeColor="text1"/>
          <w:sz w:val="24"/>
          <w:szCs w:val="24"/>
        </w:rPr>
        <w:t>Short-lived transcripts encode proteins involved in highly dynamic, tightly regulated processes. Rapid mRNA degradation functions as a regulatory mechanism, allowing the cell to quickly alter gene expression in response to growth conditions, environmental signals, or cell cycle stage.</w:t>
      </w:r>
      <w:r w:rsidR="00000000" w:rsidRPr="00E172A5">
        <w:rPr>
          <w:rFonts w:ascii="Times New Roman" w:hAnsi="Times New Roman" w:cs="Times New Roman"/>
          <w:color w:val="888888"/>
          <w:sz w:val="24"/>
          <w:szCs w:val="24"/>
        </w:rPr>
        <w:t xml:space="preserve"> </w:t>
      </w:r>
    </w:p>
    <w:p w14:paraId="367C38D3" w14:textId="77777777" w:rsidR="0097081E" w:rsidRPr="00E172A5" w:rsidRDefault="00000000">
      <w:pPr>
        <w:spacing w:before="100" w:after="60"/>
        <w:jc w:val="center"/>
        <w:rPr>
          <w:rFonts w:ascii="Times New Roman" w:hAnsi="Times New Roman" w:cs="Times New Roman"/>
          <w:color w:val="888888"/>
          <w:sz w:val="24"/>
          <w:szCs w:val="24"/>
        </w:rPr>
      </w:pPr>
      <w:r w:rsidRPr="00E172A5">
        <w:rPr>
          <w:rFonts w:ascii="Times New Roman" w:hAnsi="Times New Roman" w:cs="Times New Roman"/>
          <w:noProof/>
          <w:color w:val="888888"/>
          <w:sz w:val="24"/>
          <w:szCs w:val="24"/>
        </w:rPr>
        <w:drawing>
          <wp:inline distT="114300" distB="114300" distL="114300" distR="114300" wp14:anchorId="4508AE02" wp14:editId="79085AB0">
            <wp:extent cx="5731200" cy="4102100"/>
            <wp:effectExtent l="0" t="0" r="0" b="0"/>
            <wp:docPr id="2" name="image2.gif" descr="Title: Figure 1. gProfiler results for bottom 10% (short-lived) genes — S. cerevisiae, 20 Feb 2026 - Description: Figure 1. gProfiler results for bottom 10% (short-lived) genes — S. cerevisiae, 20 Feb 2026"/>
            <wp:cNvGraphicFramePr/>
            <a:graphic xmlns:a="http://schemas.openxmlformats.org/drawingml/2006/main">
              <a:graphicData uri="http://schemas.openxmlformats.org/drawingml/2006/picture">
                <pic:pic xmlns:pic="http://schemas.openxmlformats.org/drawingml/2006/picture">
                  <pic:nvPicPr>
                    <pic:cNvPr id="0" name="image2.gif" descr="Title: Figure 1. gProfiler results for bottom 10% (short-lived) genes — S. cerevisiae, 20 Feb 2026 - Description: Figure 1. gProfiler results for bottom 10% (short-lived) genes — S. cerevisiae, 20 Feb 2026"/>
                    <pic:cNvPicPr preferRelativeResize="0"/>
                  </pic:nvPicPr>
                  <pic:blipFill>
                    <a:blip r:embed="rId6"/>
                    <a:srcRect/>
                    <a:stretch>
                      <a:fillRect/>
                    </a:stretch>
                  </pic:blipFill>
                  <pic:spPr>
                    <a:xfrm>
                      <a:off x="0" y="0"/>
                      <a:ext cx="5731200" cy="4102100"/>
                    </a:xfrm>
                    <a:prstGeom prst="rect">
                      <a:avLst/>
                    </a:prstGeom>
                    <a:ln/>
                  </pic:spPr>
                </pic:pic>
              </a:graphicData>
            </a:graphic>
          </wp:inline>
        </w:drawing>
      </w:r>
    </w:p>
    <w:p w14:paraId="0148A94D" w14:textId="4D4A853F" w:rsidR="00B264E2" w:rsidRPr="00E172A5" w:rsidRDefault="00000000" w:rsidP="00B264E2">
      <w:pPr>
        <w:spacing w:before="240" w:after="100"/>
        <w:jc w:val="center"/>
        <w:rPr>
          <w:rFonts w:ascii="Times New Roman" w:hAnsi="Times New Roman" w:cs="Times New Roman"/>
          <w:color w:val="888888"/>
          <w:sz w:val="24"/>
          <w:szCs w:val="24"/>
        </w:rPr>
      </w:pPr>
      <w:r w:rsidRPr="00E172A5">
        <w:rPr>
          <w:rFonts w:ascii="Times New Roman" w:hAnsi="Times New Roman" w:cs="Times New Roman"/>
          <w:color w:val="888888"/>
          <w:sz w:val="24"/>
          <w:szCs w:val="24"/>
        </w:rPr>
        <w:t xml:space="preserve">Figure </w:t>
      </w:r>
      <w:r w:rsidR="00B264E2" w:rsidRPr="00E172A5">
        <w:rPr>
          <w:rFonts w:ascii="Times New Roman" w:hAnsi="Times New Roman" w:cs="Times New Roman"/>
          <w:color w:val="888888"/>
          <w:sz w:val="24"/>
          <w:szCs w:val="24"/>
        </w:rPr>
        <w:t>2</w:t>
      </w:r>
      <w:r w:rsidRPr="00E172A5">
        <w:rPr>
          <w:rFonts w:ascii="Times New Roman" w:hAnsi="Times New Roman" w:cs="Times New Roman"/>
          <w:color w:val="888888"/>
          <w:sz w:val="24"/>
          <w:szCs w:val="24"/>
        </w:rPr>
        <w:t xml:space="preserve">. </w:t>
      </w:r>
      <w:proofErr w:type="spellStart"/>
      <w:r w:rsidRPr="00E172A5">
        <w:rPr>
          <w:rFonts w:ascii="Times New Roman" w:hAnsi="Times New Roman" w:cs="Times New Roman"/>
          <w:color w:val="888888"/>
          <w:sz w:val="24"/>
          <w:szCs w:val="24"/>
        </w:rPr>
        <w:t>gProfiler</w:t>
      </w:r>
      <w:proofErr w:type="spellEnd"/>
      <w:r w:rsidRPr="00E172A5">
        <w:rPr>
          <w:rFonts w:ascii="Times New Roman" w:hAnsi="Times New Roman" w:cs="Times New Roman"/>
          <w:color w:val="888888"/>
          <w:sz w:val="24"/>
          <w:szCs w:val="24"/>
        </w:rPr>
        <w:t xml:space="preserve"> results for bottom 10% (short-lived) genes </w:t>
      </w:r>
    </w:p>
    <w:p w14:paraId="2853507C" w14:textId="560EC3FC" w:rsidR="00B264E2" w:rsidRPr="00234CA0" w:rsidRDefault="00E172A5" w:rsidP="00234CA0">
      <w:pPr>
        <w:spacing w:before="160" w:after="80"/>
        <w:jc w:val="both"/>
        <w:rPr>
          <w:rFonts w:ascii="Times New Roman" w:eastAsia="Times New Roman" w:hAnsi="Times New Roman" w:cs="Times New Roman"/>
          <w:b/>
          <w:bCs/>
          <w:color w:val="1F3864"/>
          <w:sz w:val="24"/>
          <w:szCs w:val="24"/>
          <w:u w:val="single"/>
        </w:rPr>
      </w:pPr>
      <w:r w:rsidRPr="00234CA0">
        <w:rPr>
          <w:rFonts w:ascii="Times New Roman" w:eastAsia="Times New Roman" w:hAnsi="Times New Roman" w:cs="Times New Roman"/>
          <w:b/>
          <w:bCs/>
          <w:color w:val="1F3864"/>
          <w:sz w:val="24"/>
          <w:szCs w:val="24"/>
          <w:u w:val="single"/>
        </w:rPr>
        <w:t>Conclusion:</w:t>
      </w:r>
    </w:p>
    <w:p w14:paraId="159B3D70" w14:textId="77777777" w:rsidR="00E172A5" w:rsidRPr="00E172A5" w:rsidRDefault="00E172A5" w:rsidP="00E172A5">
      <w:pPr>
        <w:spacing w:before="240" w:after="100"/>
        <w:rPr>
          <w:rFonts w:ascii="Times New Roman" w:hAnsi="Times New Roman" w:cs="Times New Roman"/>
          <w:color w:val="000000" w:themeColor="text1"/>
          <w:sz w:val="24"/>
          <w:szCs w:val="24"/>
          <w:lang w:val="en-US"/>
        </w:rPr>
      </w:pPr>
      <w:r w:rsidRPr="00E172A5">
        <w:rPr>
          <w:rFonts w:ascii="Times New Roman" w:hAnsi="Times New Roman" w:cs="Times New Roman"/>
          <w:color w:val="000000" w:themeColor="text1"/>
          <w:sz w:val="24"/>
          <w:szCs w:val="24"/>
          <w:lang w:val="en-US"/>
        </w:rPr>
        <w:t xml:space="preserve">The functional enrichment analysis demonstrates that transcript stability in </w:t>
      </w:r>
      <w:r w:rsidRPr="00E172A5">
        <w:rPr>
          <w:rFonts w:ascii="Times New Roman" w:hAnsi="Times New Roman" w:cs="Times New Roman"/>
          <w:i/>
          <w:iCs/>
          <w:color w:val="000000" w:themeColor="text1"/>
          <w:sz w:val="24"/>
          <w:szCs w:val="24"/>
          <w:lang w:val="en-US"/>
        </w:rPr>
        <w:t>Saccharomyces cerevisiae</w:t>
      </w:r>
      <w:r w:rsidRPr="00E172A5">
        <w:rPr>
          <w:rFonts w:ascii="Times New Roman" w:hAnsi="Times New Roman" w:cs="Times New Roman"/>
          <w:color w:val="000000" w:themeColor="text1"/>
          <w:sz w:val="24"/>
          <w:szCs w:val="24"/>
          <w:lang w:val="en-US"/>
        </w:rPr>
        <w:t xml:space="preserve"> is strongly associated with gene function. Short-lived transcripts are enriched for metabolic and stress-response pathways, reflecting the need for rapid transcriptional adaptation. In contrast, long-lived transcripts are enriched for chromatin organization, ribosomal biogenesis, and structural cellular components, consistent with their essential and constitutive roles in cellular maintenance. These findings support the biological principle that mRNA stability is functionally regulated according to gene role.</w:t>
      </w:r>
    </w:p>
    <w:p w14:paraId="787F7BEA" w14:textId="77777777" w:rsidR="00E172A5" w:rsidRPr="00E172A5" w:rsidRDefault="00E172A5" w:rsidP="00E172A5">
      <w:pPr>
        <w:spacing w:before="240" w:after="100"/>
        <w:rPr>
          <w:rFonts w:ascii="Times New Roman" w:hAnsi="Times New Roman" w:cs="Times New Roman"/>
          <w:color w:val="888888"/>
          <w:sz w:val="24"/>
          <w:szCs w:val="24"/>
        </w:rPr>
      </w:pPr>
    </w:p>
    <w:p w14:paraId="55EC467E" w14:textId="77777777" w:rsidR="0097081E" w:rsidRPr="00E172A5" w:rsidRDefault="0097081E">
      <w:pPr>
        <w:spacing w:before="60" w:after="60"/>
        <w:jc w:val="both"/>
        <w:rPr>
          <w:rFonts w:ascii="Times New Roman" w:hAnsi="Times New Roman" w:cs="Times New Roman"/>
          <w:color w:val="888888"/>
          <w:sz w:val="24"/>
          <w:szCs w:val="24"/>
        </w:rPr>
      </w:pPr>
    </w:p>
    <w:p w14:paraId="64592D6F" w14:textId="77777777" w:rsidR="0097081E" w:rsidRPr="00E172A5" w:rsidRDefault="0097081E">
      <w:pPr>
        <w:spacing w:before="200" w:after="100"/>
        <w:rPr>
          <w:rFonts w:ascii="Times New Roman" w:eastAsia="Times New Roman" w:hAnsi="Times New Roman" w:cs="Times New Roman"/>
          <w:sz w:val="24"/>
          <w:szCs w:val="24"/>
        </w:rPr>
      </w:pPr>
    </w:p>
    <w:sectPr w:rsidR="0097081E" w:rsidRPr="00E172A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F49F0D2-77C9-459A-8054-AFE9E4482E2A}"/>
  </w:font>
  <w:font w:name="Cambria">
    <w:panose1 w:val="02040503050406030204"/>
    <w:charset w:val="00"/>
    <w:family w:val="roman"/>
    <w:pitch w:val="variable"/>
    <w:sig w:usb0="E00006FF" w:usb1="420024FF" w:usb2="02000000" w:usb3="00000000" w:csb0="0000019F" w:csb1="00000000"/>
    <w:embedRegular r:id="rId2" w:fontKey="{03810507-707A-4F99-9502-ECCB1A94369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F64F68"/>
    <w:multiLevelType w:val="multilevel"/>
    <w:tmpl w:val="309E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B2943"/>
    <w:multiLevelType w:val="multilevel"/>
    <w:tmpl w:val="4EA2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6D272D"/>
    <w:multiLevelType w:val="multilevel"/>
    <w:tmpl w:val="610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7148695">
    <w:abstractNumId w:val="0"/>
  </w:num>
  <w:num w:numId="2" w16cid:durableId="703821543">
    <w:abstractNumId w:val="1"/>
  </w:num>
  <w:num w:numId="3" w16cid:durableId="2476164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81E"/>
    <w:rsid w:val="00203F5A"/>
    <w:rsid w:val="00234CA0"/>
    <w:rsid w:val="00670AD3"/>
    <w:rsid w:val="00704D02"/>
    <w:rsid w:val="0097081E"/>
    <w:rsid w:val="00AD237B"/>
    <w:rsid w:val="00B264E2"/>
    <w:rsid w:val="00C057C6"/>
    <w:rsid w:val="00C86368"/>
    <w:rsid w:val="00D10D2B"/>
    <w:rsid w:val="00E1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799BF"/>
  <w15:docId w15:val="{215DC818-6A63-47AB-9704-C42ECE8C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semiHidden/>
    <w:unhideWhenUsed/>
    <w:rsid w:val="00234CA0"/>
    <w:rPr>
      <w:rFonts w:ascii="Times New Roman" w:hAnsi="Times New Roman" w:cs="Times New Roman"/>
      <w:sz w:val="24"/>
      <w:szCs w:val="24"/>
    </w:rPr>
  </w:style>
  <w:style w:type="paragraph" w:styleId="ListParagraph">
    <w:name w:val="List Paragraph"/>
    <w:basedOn w:val="Normal"/>
    <w:uiPriority w:val="34"/>
    <w:qFormat/>
    <w:rsid w:val="00704D0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TotalTime>
  <Pages>3</Pages>
  <Words>610</Words>
  <Characters>3878</Characters>
  <Application>Microsoft Office Word</Application>
  <DocSecurity>0</DocSecurity>
  <Lines>84</Lines>
  <Paragraphs>36</Paragraphs>
  <ScaleCrop>false</ScaleCrop>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deeksha</dc:creator>
  <cp:lastModifiedBy>Kayyari, Deeksha</cp:lastModifiedBy>
  <cp:revision>6</cp:revision>
  <dcterms:created xsi:type="dcterms:W3CDTF">2026-02-21T00:27:00Z</dcterms:created>
  <dcterms:modified xsi:type="dcterms:W3CDTF">2026-02-21T02:25:00Z</dcterms:modified>
</cp:coreProperties>
</file>