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65" w:rsidRPr="00F23D21" w:rsidRDefault="005C0665" w:rsidP="00F23D21">
      <w:pPr>
        <w:pStyle w:val="NoSpacing"/>
        <w:jc w:val="both"/>
        <w:rPr>
          <w:rFonts w:ascii="Times New Roman" w:hAnsi="Times New Roman" w:cs="Times New Roman"/>
        </w:rPr>
      </w:pPr>
      <w:bookmarkStart w:id="0" w:name="_GoBack"/>
      <w:r w:rsidRPr="00F23D21">
        <w:rPr>
          <w:rFonts w:ascii="Times New Roman" w:hAnsi="Times New Roman" w:cs="Times New Roman"/>
        </w:rPr>
        <w:t>Forward Solutions</w:t>
      </w:r>
    </w:p>
    <w:p w:rsidR="00D63A77" w:rsidRPr="00F23D21" w:rsidRDefault="0046040D" w:rsidP="00F23D21">
      <w:pPr>
        <w:pStyle w:val="NoSpacing"/>
        <w:jc w:val="both"/>
        <w:rPr>
          <w:rFonts w:ascii="Times New Roman" w:hAnsi="Times New Roman" w:cs="Times New Roman"/>
        </w:rPr>
      </w:pPr>
      <w:r w:rsidRPr="00F23D21">
        <w:rPr>
          <w:rFonts w:ascii="Times New Roman" w:hAnsi="Times New Roman" w:cs="Times New Roman"/>
        </w:rPr>
        <w:t>For the study, we assume that the bulk of detectable visual evoked potentials are generated</w:t>
      </w:r>
      <w:r w:rsidR="00FB6C9F" w:rsidRPr="00F23D21">
        <w:rPr>
          <w:rFonts w:ascii="Times New Roman" w:hAnsi="Times New Roman" w:cs="Times New Roman"/>
        </w:rPr>
        <w:t xml:space="preserve"> by groups of pyramidal neurons located at </w:t>
      </w:r>
      <w:r w:rsidR="00404D6D" w:rsidRPr="00F23D21">
        <w:rPr>
          <w:rFonts w:ascii="Times New Roman" w:hAnsi="Times New Roman" w:cs="Times New Roman"/>
        </w:rPr>
        <w:t xml:space="preserve">the midpoint </w:t>
      </w:r>
      <w:r w:rsidR="00FB6C9F" w:rsidRPr="00F23D21">
        <w:rPr>
          <w:rFonts w:ascii="Times New Roman" w:hAnsi="Times New Roman" w:cs="Times New Roman"/>
        </w:rPr>
        <w:t xml:space="preserve">between the outer surfaces of the gray and the white matter. The orientation of the neurons is taken to be aligned perpendicular to the cortical surfaces. </w:t>
      </w:r>
      <w:r w:rsidR="00404D6D" w:rsidRPr="00F23D21">
        <w:rPr>
          <w:rFonts w:ascii="Times New Roman" w:hAnsi="Times New Roman" w:cs="Times New Roman"/>
        </w:rPr>
        <w:t>The discrete forward solutions in our boundary element models are produced in several steps. First, based on the individual MRI scans, 3-layer segmentation is generated that enclose of scalp, gray, and white matter. The initial segmentation results in approximately 150,000 triangulated mesh points per hemisphere at uniform density.</w:t>
      </w:r>
      <w:r w:rsidR="00E803FD" w:rsidRPr="00F23D21">
        <w:rPr>
          <w:rFonts w:ascii="Times New Roman" w:hAnsi="Times New Roman" w:cs="Times New Roman"/>
        </w:rPr>
        <w:t xml:space="preserve"> </w:t>
      </w:r>
      <w:r w:rsidR="00404D6D" w:rsidRPr="00F23D21">
        <w:rPr>
          <w:rFonts w:ascii="Times New Roman" w:hAnsi="Times New Roman" w:cs="Times New Roman"/>
        </w:rPr>
        <w:t xml:space="preserve"> Typically, this number is sufficient for producing accurate and smooth cor</w:t>
      </w:r>
      <w:r w:rsidR="000E3BEC" w:rsidRPr="00F23D21">
        <w:rPr>
          <w:rFonts w:ascii="Times New Roman" w:hAnsi="Times New Roman" w:cs="Times New Roman"/>
        </w:rPr>
        <w:t xml:space="preserve">tical representation. In the initial seeding of forward solution, 10,242 points are sampled uniformly from the 150,000 total mesh points per hemisphere. </w:t>
      </w:r>
      <w:r w:rsidR="004718FE" w:rsidRPr="00F23D21">
        <w:rPr>
          <w:rFonts w:ascii="Times New Roman" w:hAnsi="Times New Roman" w:cs="Times New Roman"/>
        </w:rPr>
        <w:t xml:space="preserve">As </w:t>
      </w:r>
      <w:proofErr w:type="gramStart"/>
      <w:r w:rsidR="000E3BEC" w:rsidRPr="00F23D21">
        <w:rPr>
          <w:rFonts w:ascii="Times New Roman" w:hAnsi="Times New Roman" w:cs="Times New Roman"/>
        </w:rPr>
        <w:t>For</w:t>
      </w:r>
      <w:proofErr w:type="gramEnd"/>
      <w:r w:rsidR="000E3BEC" w:rsidRPr="00F23D21">
        <w:rPr>
          <w:rFonts w:ascii="Times New Roman" w:hAnsi="Times New Roman" w:cs="Times New Roman"/>
        </w:rPr>
        <w:t xml:space="preserve"> each of the subsampled populated, lead fields in the 3 Cartesian directions are calculated</w:t>
      </w:r>
      <w:r w:rsidR="005C0665" w:rsidRPr="00F23D21">
        <w:rPr>
          <w:rFonts w:ascii="Times New Roman" w:hAnsi="Times New Roman" w:cs="Times New Roman"/>
        </w:rPr>
        <w:t xml:space="preserve"> (Nunez</w:t>
      </w:r>
      <w:r w:rsidR="000E3BEC" w:rsidRPr="00F23D21">
        <w:rPr>
          <w:rFonts w:ascii="Times New Roman" w:hAnsi="Times New Roman" w:cs="Times New Roman"/>
        </w:rPr>
        <w:t xml:space="preserve">, 1990). We have used the conductivity values </w:t>
      </w:r>
      <w:r w:rsidR="005C0665" w:rsidRPr="00F23D21">
        <w:rPr>
          <w:rFonts w:ascii="Times New Roman" w:hAnsi="Times New Roman" w:cs="Times New Roman"/>
        </w:rPr>
        <w:t xml:space="preserve">ratio </w:t>
      </w:r>
      <w:r w:rsidR="000E3BEC" w:rsidRPr="00F23D21">
        <w:rPr>
          <w:rFonts w:ascii="Times New Roman" w:hAnsi="Times New Roman" w:cs="Times New Roman"/>
        </w:rPr>
        <w:t xml:space="preserve">of (XX, XX, </w:t>
      </w:r>
      <w:proofErr w:type="gramStart"/>
      <w:r w:rsidR="000E3BEC" w:rsidRPr="00F23D21">
        <w:rPr>
          <w:rFonts w:ascii="Times New Roman" w:hAnsi="Times New Roman" w:cs="Times New Roman"/>
        </w:rPr>
        <w:t>XX</w:t>
      </w:r>
      <w:proofErr w:type="gramEnd"/>
      <w:r w:rsidR="000E3BEC" w:rsidRPr="00F23D21">
        <w:rPr>
          <w:rFonts w:ascii="Times New Roman" w:hAnsi="Times New Roman" w:cs="Times New Roman"/>
        </w:rPr>
        <w:t>) for the scalp, gray, and white boundary layers (XXX, 1990).</w:t>
      </w:r>
      <w:r w:rsidR="004718FE" w:rsidRPr="00F23D21">
        <w:rPr>
          <w:rFonts w:ascii="Times New Roman" w:hAnsi="Times New Roman" w:cs="Times New Roman"/>
        </w:rPr>
        <w:t xml:space="preserve"> </w:t>
      </w:r>
      <w:r w:rsidR="00E803FD" w:rsidRPr="00F23D21">
        <w:rPr>
          <w:rFonts w:ascii="Times New Roman" w:hAnsi="Times New Roman" w:cs="Times New Roman"/>
        </w:rPr>
        <w:t xml:space="preserve">To give a measure of source densities, a 1 cm by 1 cm patch on the cortex contains approximately 170 mesh points </w:t>
      </w:r>
      <w:r w:rsidR="005C0665" w:rsidRPr="00F23D21">
        <w:rPr>
          <w:rFonts w:ascii="Times New Roman" w:hAnsi="Times New Roman" w:cs="Times New Roman"/>
        </w:rPr>
        <w:t>but</w:t>
      </w:r>
      <w:r w:rsidR="00E803FD" w:rsidRPr="00F23D21">
        <w:rPr>
          <w:rFonts w:ascii="Times New Roman" w:hAnsi="Times New Roman" w:cs="Times New Roman"/>
        </w:rPr>
        <w:t xml:space="preserve"> only 12 of these contain their own forward solutions. </w:t>
      </w:r>
      <w:r w:rsidR="004718FE" w:rsidRPr="00F23D21">
        <w:rPr>
          <w:rFonts w:ascii="Times New Roman" w:hAnsi="Times New Roman" w:cs="Times New Roman"/>
        </w:rPr>
        <w:t>The lead field values are then interpolated to all of the</w:t>
      </w:r>
      <w:r w:rsidR="005C0665" w:rsidRPr="00F23D21">
        <w:rPr>
          <w:rFonts w:ascii="Times New Roman" w:hAnsi="Times New Roman" w:cs="Times New Roman"/>
        </w:rPr>
        <w:t xml:space="preserve"> remaining unpopulated</w:t>
      </w:r>
      <w:r w:rsidR="004718FE" w:rsidRPr="00F23D21">
        <w:rPr>
          <w:rFonts w:ascii="Times New Roman" w:hAnsi="Times New Roman" w:cs="Times New Roman"/>
        </w:rPr>
        <w:t xml:space="preserve"> high density mesh points. </w:t>
      </w:r>
      <w:r w:rsidR="00E803FD" w:rsidRPr="00F23D21">
        <w:rPr>
          <w:rFonts w:ascii="Times New Roman" w:hAnsi="Times New Roman" w:cs="Times New Roman"/>
        </w:rPr>
        <w:t>The interpolation is done with a simple nearest-neighbor sampling, which we believe is adequate since change in the lead field is sufficiently gradual. The reason we do not simply calculate forward solutions on all 300,000 physical mesh points is due to the taxing computational cost of lead field generation procedures. We believe the subsampling followed by the interpolation gives an acceptable method of optimizing computational</w:t>
      </w:r>
      <w:r w:rsidR="005C0665" w:rsidRPr="00F23D21">
        <w:rPr>
          <w:rFonts w:ascii="Times New Roman" w:hAnsi="Times New Roman" w:cs="Times New Roman"/>
        </w:rPr>
        <w:t xml:space="preserve"> versus</w:t>
      </w:r>
      <w:r w:rsidR="00E803FD" w:rsidRPr="00F23D21">
        <w:rPr>
          <w:rFonts w:ascii="Times New Roman" w:hAnsi="Times New Roman" w:cs="Times New Roman"/>
        </w:rPr>
        <w:t xml:space="preserve"> modeling accuracy. </w:t>
      </w:r>
    </w:p>
    <w:p w:rsidR="005C0665" w:rsidRPr="00F23D21" w:rsidRDefault="005C0665" w:rsidP="00F23D21">
      <w:pPr>
        <w:pStyle w:val="NoSpacing"/>
        <w:jc w:val="both"/>
        <w:rPr>
          <w:rFonts w:ascii="Times New Roman" w:hAnsi="Times New Roman" w:cs="Times New Roman"/>
        </w:rPr>
      </w:pPr>
    </w:p>
    <w:p w:rsidR="00A17DB2" w:rsidRPr="00F23D21" w:rsidRDefault="00A76F1A" w:rsidP="00F23D21">
      <w:pPr>
        <w:pStyle w:val="NoSpacing"/>
        <w:jc w:val="both"/>
        <w:rPr>
          <w:rFonts w:ascii="Times New Roman" w:hAnsi="Times New Roman" w:cs="Times New Roman"/>
          <w:u w:val="single"/>
        </w:rPr>
      </w:pPr>
      <w:r w:rsidRPr="00F23D21">
        <w:rPr>
          <w:rFonts w:ascii="Times New Roman" w:hAnsi="Times New Roman" w:cs="Times New Roman"/>
          <w:u w:val="single"/>
        </w:rPr>
        <w:t>SIMULATION OF EXPERIMENTAL DATA</w:t>
      </w:r>
    </w:p>
    <w:p w:rsidR="00D92F11" w:rsidRPr="00F23D21" w:rsidRDefault="00D92F11" w:rsidP="00F23D21">
      <w:pPr>
        <w:pStyle w:val="NoSpacing"/>
        <w:jc w:val="both"/>
        <w:rPr>
          <w:rFonts w:ascii="Times New Roman" w:hAnsi="Times New Roman" w:cs="Times New Roman"/>
        </w:rPr>
      </w:pPr>
    </w:p>
    <w:tbl>
      <w:tblPr>
        <w:tblStyle w:val="TableGrid"/>
        <w:tblpPr w:leftFromText="180" w:rightFromText="180" w:vertAnchor="text" w:horzAnchor="margin" w:tblpXSpec="right" w:tblpY="43"/>
        <w:tblW w:w="0" w:type="auto"/>
        <w:tblLook w:val="04A0" w:firstRow="1" w:lastRow="0" w:firstColumn="1" w:lastColumn="0" w:noHBand="0" w:noVBand="1"/>
      </w:tblPr>
      <w:tblGrid>
        <w:gridCol w:w="2898"/>
        <w:gridCol w:w="1800"/>
      </w:tblGrid>
      <w:tr w:rsidR="00F23D21" w:rsidRPr="00F23D21" w:rsidTr="00F23D21">
        <w:tc>
          <w:tcPr>
            <w:tcW w:w="2898"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Source response (time course)</w:t>
            </w:r>
          </w:p>
        </w:tc>
        <w:tc>
          <w:tcPr>
            <w:tcW w:w="1800"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Ales</w:t>
            </w:r>
            <w:r w:rsidR="003C2092">
              <w:rPr>
                <w:rFonts w:ascii="Times New Roman" w:hAnsi="Times New Roman" w:cs="Times New Roman"/>
              </w:rPr>
              <w:t xml:space="preserve"> et al., 2009</w:t>
            </w:r>
          </w:p>
        </w:tc>
      </w:tr>
      <w:tr w:rsidR="00F23D21" w:rsidRPr="00F23D21" w:rsidTr="00F23D21">
        <w:tc>
          <w:tcPr>
            <w:tcW w:w="2898"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 xml:space="preserve">Source locations </w:t>
            </w:r>
          </w:p>
        </w:tc>
        <w:tc>
          <w:tcPr>
            <w:tcW w:w="1800"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Ales</w:t>
            </w:r>
            <w:r w:rsidR="003C2092">
              <w:rPr>
                <w:rFonts w:ascii="Times New Roman" w:hAnsi="Times New Roman" w:cs="Times New Roman"/>
              </w:rPr>
              <w:t xml:space="preserve"> et al., 2010</w:t>
            </w:r>
          </w:p>
        </w:tc>
      </w:tr>
      <w:tr w:rsidR="00F23D21" w:rsidRPr="00F23D21" w:rsidTr="00F23D21">
        <w:tc>
          <w:tcPr>
            <w:tcW w:w="2898"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Conductivities</w:t>
            </w:r>
          </w:p>
        </w:tc>
        <w:tc>
          <w:tcPr>
            <w:tcW w:w="1800" w:type="dxa"/>
          </w:tcPr>
          <w:p w:rsidR="00F23D21" w:rsidRPr="00F23D21" w:rsidRDefault="00F23D21" w:rsidP="00F23D21">
            <w:pPr>
              <w:pStyle w:val="NoSpacing"/>
              <w:jc w:val="both"/>
              <w:rPr>
                <w:rFonts w:ascii="Times New Roman" w:hAnsi="Times New Roman" w:cs="Times New Roman"/>
              </w:rPr>
            </w:pPr>
            <w:r w:rsidRPr="00F23D21">
              <w:rPr>
                <w:rFonts w:ascii="Times New Roman" w:hAnsi="Times New Roman" w:cs="Times New Roman"/>
              </w:rPr>
              <w:t>XXX</w:t>
            </w:r>
          </w:p>
        </w:tc>
      </w:tr>
    </w:tbl>
    <w:p w:rsidR="005D0DED" w:rsidRDefault="00E860BB" w:rsidP="00F23D21">
      <w:pPr>
        <w:pStyle w:val="NoSpacing"/>
        <w:jc w:val="both"/>
        <w:rPr>
          <w:rFonts w:ascii="Times New Roman" w:hAnsi="Times New Roman" w:cs="Times New Roman"/>
        </w:rPr>
      </w:pPr>
      <w:r>
        <w:rPr>
          <w:rFonts w:ascii="Times New Roman" w:hAnsi="Times New Roman" w:cs="Times New Roman"/>
        </w:rPr>
        <w:t>The major goal</w:t>
      </w:r>
      <w:r w:rsidR="005959E8">
        <w:rPr>
          <w:rFonts w:ascii="Times New Roman" w:hAnsi="Times New Roman" w:cs="Times New Roman"/>
        </w:rPr>
        <w:t xml:space="preserve"> of this simulation study is to test the </w:t>
      </w:r>
      <w:r w:rsidR="003C2092">
        <w:rPr>
          <w:rFonts w:ascii="Times New Roman" w:hAnsi="Times New Roman" w:cs="Times New Roman"/>
        </w:rPr>
        <w:t>validity</w:t>
      </w:r>
      <w:r w:rsidR="005959E8">
        <w:rPr>
          <w:rFonts w:ascii="Times New Roman" w:hAnsi="Times New Roman" w:cs="Times New Roman"/>
        </w:rPr>
        <w:t xml:space="preserve"> of </w:t>
      </w:r>
      <w:r w:rsidR="003C2092">
        <w:rPr>
          <w:rFonts w:ascii="Times New Roman" w:hAnsi="Times New Roman" w:cs="Times New Roman"/>
        </w:rPr>
        <w:t xml:space="preserve">using </w:t>
      </w:r>
      <w:r w:rsidR="005959E8">
        <w:rPr>
          <w:rFonts w:ascii="Times New Roman" w:hAnsi="Times New Roman" w:cs="Times New Roman"/>
        </w:rPr>
        <w:t>principal component anal</w:t>
      </w:r>
      <w:r w:rsidR="003C2092">
        <w:rPr>
          <w:rFonts w:ascii="Times New Roman" w:hAnsi="Times New Roman" w:cs="Times New Roman"/>
        </w:rPr>
        <w:t>ysis for</w:t>
      </w:r>
      <w:r w:rsidR="005959E8">
        <w:rPr>
          <w:rFonts w:ascii="Times New Roman" w:hAnsi="Times New Roman" w:cs="Times New Roman"/>
        </w:rPr>
        <w:t xml:space="preserve"> </w:t>
      </w:r>
      <w:r w:rsidR="005676E2">
        <w:rPr>
          <w:rFonts w:ascii="Times New Roman" w:hAnsi="Times New Roman" w:cs="Times New Roman"/>
        </w:rPr>
        <w:t xml:space="preserve">accurately </w:t>
      </w:r>
      <w:r w:rsidR="005959E8">
        <w:rPr>
          <w:rFonts w:ascii="Times New Roman" w:hAnsi="Times New Roman" w:cs="Times New Roman"/>
        </w:rPr>
        <w:t xml:space="preserve">predicting </w:t>
      </w:r>
      <w:r w:rsidR="005676E2">
        <w:rPr>
          <w:rFonts w:ascii="Times New Roman" w:hAnsi="Times New Roman" w:cs="Times New Roman"/>
        </w:rPr>
        <w:t xml:space="preserve">the </w:t>
      </w:r>
      <w:r w:rsidR="005959E8">
        <w:rPr>
          <w:rFonts w:ascii="Times New Roman" w:hAnsi="Times New Roman" w:cs="Times New Roman"/>
        </w:rPr>
        <w:t>V1 response.</w:t>
      </w:r>
      <w:r w:rsidR="009E7396">
        <w:rPr>
          <w:rFonts w:ascii="Times New Roman" w:hAnsi="Times New Roman" w:cs="Times New Roman"/>
        </w:rPr>
        <w:t xml:space="preserve"> I</w:t>
      </w:r>
      <w:r w:rsidR="003C2092">
        <w:rPr>
          <w:rFonts w:ascii="Times New Roman" w:hAnsi="Times New Roman" w:cs="Times New Roman"/>
        </w:rPr>
        <w:t>ncorpo</w:t>
      </w:r>
      <w:r w:rsidR="009E7396">
        <w:rPr>
          <w:rFonts w:ascii="Times New Roman" w:hAnsi="Times New Roman" w:cs="Times New Roman"/>
        </w:rPr>
        <w:t xml:space="preserve">ration of </w:t>
      </w:r>
      <w:r w:rsidR="003C2092">
        <w:rPr>
          <w:rFonts w:ascii="Times New Roman" w:hAnsi="Times New Roman" w:cs="Times New Roman"/>
        </w:rPr>
        <w:t>real experimental data and parameters from p</w:t>
      </w:r>
      <w:r w:rsidR="009E7396">
        <w:rPr>
          <w:rFonts w:ascii="Times New Roman" w:hAnsi="Times New Roman" w:cs="Times New Roman"/>
        </w:rPr>
        <w:t>rior</w:t>
      </w:r>
      <w:r w:rsidR="003C2092">
        <w:rPr>
          <w:rFonts w:ascii="Times New Roman" w:hAnsi="Times New Roman" w:cs="Times New Roman"/>
        </w:rPr>
        <w:t xml:space="preserve"> experiments</w:t>
      </w:r>
      <w:r w:rsidR="009E7396">
        <w:rPr>
          <w:rFonts w:ascii="Times New Roman" w:hAnsi="Times New Roman" w:cs="Times New Roman"/>
        </w:rPr>
        <w:t xml:space="preserve"> bolsters the realism of the simulation</w:t>
      </w:r>
      <w:r w:rsidR="003C2092">
        <w:rPr>
          <w:rFonts w:ascii="Times New Roman" w:hAnsi="Times New Roman" w:cs="Times New Roman"/>
        </w:rPr>
        <w:t xml:space="preserve">. In particular, </w:t>
      </w:r>
      <w:r w:rsidR="00ED6ECE">
        <w:rPr>
          <w:rFonts w:ascii="Times New Roman" w:hAnsi="Times New Roman" w:cs="Times New Roman"/>
        </w:rPr>
        <w:t xml:space="preserve">we suspect that the size and the geometry of the cortical </w:t>
      </w:r>
      <w:r w:rsidR="005646A4">
        <w:rPr>
          <w:rFonts w:ascii="Times New Roman" w:hAnsi="Times New Roman" w:cs="Times New Roman"/>
        </w:rPr>
        <w:t xml:space="preserve">activation is the key factor that </w:t>
      </w:r>
      <w:r w:rsidR="00ED6ECE">
        <w:rPr>
          <w:rFonts w:ascii="Times New Roman" w:hAnsi="Times New Roman" w:cs="Times New Roman"/>
        </w:rPr>
        <w:t>determine</w:t>
      </w:r>
      <w:r w:rsidR="005646A4">
        <w:rPr>
          <w:rFonts w:ascii="Times New Roman" w:hAnsi="Times New Roman" w:cs="Times New Roman"/>
        </w:rPr>
        <w:t>s</w:t>
      </w:r>
      <w:r w:rsidR="00ED6ECE">
        <w:rPr>
          <w:rFonts w:ascii="Times New Roman" w:hAnsi="Times New Roman" w:cs="Times New Roman"/>
        </w:rPr>
        <w:t xml:space="preserve"> the success or failure of PCA. </w:t>
      </w:r>
      <w:r w:rsidR="005646A4">
        <w:rPr>
          <w:rFonts w:ascii="Times New Roman" w:hAnsi="Times New Roman" w:cs="Times New Roman"/>
        </w:rPr>
        <w:t xml:space="preserve">We use </w:t>
      </w:r>
      <w:r w:rsidR="003C2092">
        <w:rPr>
          <w:rFonts w:ascii="Times New Roman" w:hAnsi="Times New Roman" w:cs="Times New Roman"/>
        </w:rPr>
        <w:t xml:space="preserve">retinotopic fMRI data to determine the </w:t>
      </w:r>
      <w:r w:rsidR="005646A4">
        <w:rPr>
          <w:rFonts w:ascii="Times New Roman" w:hAnsi="Times New Roman" w:cs="Times New Roman"/>
        </w:rPr>
        <w:t>expected</w:t>
      </w:r>
      <w:r w:rsidR="005D0DED">
        <w:rPr>
          <w:rFonts w:ascii="Times New Roman" w:hAnsi="Times New Roman" w:cs="Times New Roman"/>
        </w:rPr>
        <w:t xml:space="preserve"> </w:t>
      </w:r>
      <w:r w:rsidR="003C2092">
        <w:rPr>
          <w:rFonts w:ascii="Times New Roman" w:hAnsi="Times New Roman" w:cs="Times New Roman"/>
        </w:rPr>
        <w:t>location</w:t>
      </w:r>
      <w:r w:rsidR="00EE6EBF">
        <w:rPr>
          <w:rFonts w:ascii="Times New Roman" w:hAnsi="Times New Roman" w:cs="Times New Roman"/>
        </w:rPr>
        <w:t xml:space="preserve"> and orientation</w:t>
      </w:r>
      <w:r w:rsidR="003C2092">
        <w:rPr>
          <w:rFonts w:ascii="Times New Roman" w:hAnsi="Times New Roman" w:cs="Times New Roman"/>
        </w:rPr>
        <w:t xml:space="preserve"> </w:t>
      </w:r>
      <w:r w:rsidR="005D0DED">
        <w:rPr>
          <w:rFonts w:ascii="Times New Roman" w:hAnsi="Times New Roman" w:cs="Times New Roman"/>
        </w:rPr>
        <w:t xml:space="preserve">of visual sources </w:t>
      </w:r>
      <w:r w:rsidR="005646A4">
        <w:rPr>
          <w:rFonts w:ascii="Times New Roman" w:hAnsi="Times New Roman" w:cs="Times New Roman"/>
        </w:rPr>
        <w:t>that is expected</w:t>
      </w:r>
      <w:r w:rsidR="003C2092">
        <w:rPr>
          <w:rFonts w:ascii="Times New Roman" w:hAnsi="Times New Roman" w:cs="Times New Roman"/>
        </w:rPr>
        <w:t xml:space="preserve"> to </w:t>
      </w:r>
      <w:r w:rsidR="00ED6ECE">
        <w:rPr>
          <w:rFonts w:ascii="Times New Roman" w:hAnsi="Times New Roman" w:cs="Times New Roman"/>
        </w:rPr>
        <w:t xml:space="preserve">the simulated visual stimulus </w:t>
      </w:r>
      <w:r w:rsidR="0042777F">
        <w:rPr>
          <w:rFonts w:ascii="Times New Roman" w:hAnsi="Times New Roman" w:cs="Times New Roman"/>
        </w:rPr>
        <w:t>that correctly</w:t>
      </w:r>
      <w:r w:rsidR="003C2092">
        <w:rPr>
          <w:rFonts w:ascii="Times New Roman" w:hAnsi="Times New Roman" w:cs="Times New Roman"/>
        </w:rPr>
        <w:t>.</w:t>
      </w:r>
      <w:r w:rsidR="005D0DED">
        <w:rPr>
          <w:rFonts w:ascii="Times New Roman" w:hAnsi="Times New Roman" w:cs="Times New Roman"/>
        </w:rPr>
        <w:t xml:space="preserve"> The data </w:t>
      </w:r>
      <w:r w:rsidR="00CB122B">
        <w:rPr>
          <w:rFonts w:ascii="Times New Roman" w:hAnsi="Times New Roman" w:cs="Times New Roman"/>
        </w:rPr>
        <w:t>that</w:t>
      </w:r>
    </w:p>
    <w:p w:rsidR="005646A4" w:rsidRDefault="005646A4" w:rsidP="00F23D21">
      <w:pPr>
        <w:pStyle w:val="NoSpacing"/>
        <w:jc w:val="both"/>
        <w:rPr>
          <w:rFonts w:ascii="Times New Roman" w:hAnsi="Times New Roman" w:cs="Times New Roman"/>
        </w:rPr>
      </w:pPr>
    </w:p>
    <w:p w:rsidR="00686F94" w:rsidRPr="00F23D21" w:rsidRDefault="00D92F11" w:rsidP="00F23D21">
      <w:pPr>
        <w:pStyle w:val="NoSpacing"/>
        <w:jc w:val="both"/>
        <w:rPr>
          <w:rFonts w:ascii="Times New Roman" w:hAnsi="Times New Roman" w:cs="Times New Roman"/>
        </w:rPr>
      </w:pPr>
      <w:r w:rsidRPr="00F23D21">
        <w:rPr>
          <w:rFonts w:ascii="Times New Roman" w:hAnsi="Times New Roman" w:cs="Times New Roman"/>
        </w:rPr>
        <w:t>W</w:t>
      </w:r>
      <w:r w:rsidR="005646A4">
        <w:rPr>
          <w:rFonts w:ascii="Times New Roman" w:hAnsi="Times New Roman" w:cs="Times New Roman"/>
        </w:rPr>
        <w:t>e simulate the EEG data</w:t>
      </w:r>
      <w:r w:rsidR="00686F94" w:rsidRPr="00F23D21">
        <w:rPr>
          <w:rFonts w:ascii="Times New Roman" w:hAnsi="Times New Roman" w:cs="Times New Roman"/>
        </w:rPr>
        <w:t xml:space="preserve"> </w:t>
      </w:r>
      <w:r w:rsidR="009F27C3">
        <w:rPr>
          <w:rFonts w:ascii="Times New Roman" w:hAnsi="Times New Roman" w:cs="Times New Roman"/>
        </w:rPr>
        <w:t xml:space="preserve">in response to a </w:t>
      </w:r>
      <w:r w:rsidRPr="00F23D21">
        <w:rPr>
          <w:rFonts w:ascii="Times New Roman" w:hAnsi="Times New Roman" w:cs="Times New Roman"/>
        </w:rPr>
        <w:t xml:space="preserve">check reversing </w:t>
      </w:r>
      <w:r w:rsidR="00686F94" w:rsidRPr="00F23D21">
        <w:rPr>
          <w:rFonts w:ascii="Times New Roman" w:hAnsi="Times New Roman" w:cs="Times New Roman"/>
        </w:rPr>
        <w:t>96-patch multifocal stimulus composed of 24 spokes and 4 rings</w:t>
      </w:r>
      <w:r w:rsidRPr="00F23D21">
        <w:rPr>
          <w:rFonts w:ascii="Times New Roman" w:hAnsi="Times New Roman" w:cs="Times New Roman"/>
        </w:rPr>
        <w:t>.</w:t>
      </w:r>
      <w:r w:rsidR="00F23D21">
        <w:rPr>
          <w:rFonts w:ascii="Times New Roman" w:hAnsi="Times New Roman" w:cs="Times New Roman"/>
        </w:rPr>
        <w:t xml:space="preserve"> </w:t>
      </w:r>
      <w:r w:rsidR="005959E8">
        <w:rPr>
          <w:rFonts w:ascii="Times New Roman" w:hAnsi="Times New Roman" w:cs="Times New Roman"/>
        </w:rPr>
        <w:t>Save for their respective spatial locations, e</w:t>
      </w:r>
      <w:r w:rsidR="00F23D21">
        <w:rPr>
          <w:rFonts w:ascii="Times New Roman" w:hAnsi="Times New Roman" w:cs="Times New Roman"/>
        </w:rPr>
        <w:t xml:space="preserve">very </w:t>
      </w:r>
      <w:proofErr w:type="spellStart"/>
      <w:r w:rsidR="00080EBD">
        <w:rPr>
          <w:rFonts w:ascii="Times New Roman" w:hAnsi="Times New Roman" w:cs="Times New Roman"/>
        </w:rPr>
        <w:t>D</w:t>
      </w:r>
      <w:r w:rsidR="00F23D21">
        <w:rPr>
          <w:rFonts w:ascii="Times New Roman" w:hAnsi="Times New Roman" w:cs="Times New Roman"/>
        </w:rPr>
        <w:t>patch</w:t>
      </w:r>
      <w:proofErr w:type="spellEnd"/>
      <w:r w:rsidR="00F23D21">
        <w:rPr>
          <w:rFonts w:ascii="Times New Roman" w:hAnsi="Times New Roman" w:cs="Times New Roman"/>
        </w:rPr>
        <w:t xml:space="preserve"> is assumed to be identical </w:t>
      </w:r>
      <w:r w:rsidR="005959E8">
        <w:rPr>
          <w:rFonts w:ascii="Times New Roman" w:hAnsi="Times New Roman" w:cs="Times New Roman"/>
        </w:rPr>
        <w:t>and</w:t>
      </w:r>
      <w:r w:rsidR="00F23D21">
        <w:rPr>
          <w:rFonts w:ascii="Times New Roman" w:hAnsi="Times New Roman" w:cs="Times New Roman"/>
        </w:rPr>
        <w:t xml:space="preserve"> are expected to produce response time courses that are </w:t>
      </w:r>
      <w:r w:rsidR="005959E8">
        <w:rPr>
          <w:rFonts w:ascii="Times New Roman" w:hAnsi="Times New Roman" w:cs="Times New Roman"/>
        </w:rPr>
        <w:t xml:space="preserve">identical.  </w:t>
      </w:r>
      <w:r w:rsidRPr="00F23D21">
        <w:rPr>
          <w:rFonts w:ascii="Times New Roman" w:hAnsi="Times New Roman" w:cs="Times New Roman"/>
        </w:rPr>
        <w:t>We have divided the 20 subjects into 2 groups consisting of 10 subjects each. The first group was presented with a stimulus with inner angle of 1.5 degre</w:t>
      </w:r>
      <w:r w:rsidR="00E262FF">
        <w:rPr>
          <w:rFonts w:ascii="Times New Roman" w:hAnsi="Times New Roman" w:cs="Times New Roman"/>
        </w:rPr>
        <w:t>e</w:t>
      </w:r>
      <w:r w:rsidRPr="00F23D21">
        <w:rPr>
          <w:rFonts w:ascii="Times New Roman" w:hAnsi="Times New Roman" w:cs="Times New Roman"/>
        </w:rPr>
        <w:t xml:space="preserve">s and outer angle of 4 degrees. The latter was presented with 1.5 and 7 degrees inner and outer radius.  </w:t>
      </w:r>
    </w:p>
    <w:p w:rsidR="00113911" w:rsidRPr="00F23D21" w:rsidRDefault="00113911" w:rsidP="00F23D21">
      <w:pPr>
        <w:pStyle w:val="NoSpacing"/>
        <w:jc w:val="both"/>
        <w:rPr>
          <w:rFonts w:ascii="Times New Roman" w:hAnsi="Times New Roman" w:cs="Times New Roman"/>
        </w:rPr>
      </w:pPr>
      <w:r w:rsidRPr="00F23D21">
        <w:rPr>
          <w:rFonts w:ascii="Times New Roman" w:hAnsi="Times New Roman" w:cs="Times New Roman"/>
        </w:rPr>
        <w:t xml:space="preserve">For </w:t>
      </w:r>
      <w:r w:rsidR="00EB59BD" w:rsidRPr="00F23D21">
        <w:rPr>
          <w:rFonts w:ascii="Times New Roman" w:hAnsi="Times New Roman" w:cs="Times New Roman"/>
        </w:rPr>
        <w:t xml:space="preserve">the </w:t>
      </w:r>
      <w:r w:rsidRPr="00F23D21">
        <w:rPr>
          <w:rFonts w:ascii="Times New Roman" w:hAnsi="Times New Roman" w:cs="Times New Roman"/>
        </w:rPr>
        <w:t xml:space="preserve">simulation of the data, we need (1) an assumption about the location of neural activation in response to the visual stimulus and (2) each subject’s forward solution. The </w:t>
      </w:r>
      <w:r w:rsidR="00EB59BD" w:rsidRPr="00F23D21">
        <w:rPr>
          <w:rFonts w:ascii="Times New Roman" w:hAnsi="Times New Roman" w:cs="Times New Roman"/>
        </w:rPr>
        <w:t xml:space="preserve">location is </w:t>
      </w:r>
      <w:bookmarkEnd w:id="0"/>
    </w:p>
    <w:sectPr w:rsidR="00113911" w:rsidRPr="00F23D2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80EBD"/>
    <w:rsid w:val="000E3BEC"/>
    <w:rsid w:val="00113911"/>
    <w:rsid w:val="002101F8"/>
    <w:rsid w:val="002338DF"/>
    <w:rsid w:val="002769CE"/>
    <w:rsid w:val="003C2092"/>
    <w:rsid w:val="00404D6D"/>
    <w:rsid w:val="0042777F"/>
    <w:rsid w:val="0046040D"/>
    <w:rsid w:val="004718FE"/>
    <w:rsid w:val="00477644"/>
    <w:rsid w:val="00506706"/>
    <w:rsid w:val="005646A4"/>
    <w:rsid w:val="005676E2"/>
    <w:rsid w:val="005959E8"/>
    <w:rsid w:val="005C0665"/>
    <w:rsid w:val="005D0DED"/>
    <w:rsid w:val="00635E58"/>
    <w:rsid w:val="00686F94"/>
    <w:rsid w:val="00726770"/>
    <w:rsid w:val="009E7396"/>
    <w:rsid w:val="009F27C3"/>
    <w:rsid w:val="00A17DB2"/>
    <w:rsid w:val="00A76F1A"/>
    <w:rsid w:val="00B8390E"/>
    <w:rsid w:val="00CB122B"/>
    <w:rsid w:val="00D2333C"/>
    <w:rsid w:val="00D63A77"/>
    <w:rsid w:val="00D7581D"/>
    <w:rsid w:val="00D92F11"/>
    <w:rsid w:val="00E262FF"/>
    <w:rsid w:val="00E803FD"/>
    <w:rsid w:val="00E860BB"/>
    <w:rsid w:val="00EB59BD"/>
    <w:rsid w:val="00ED6ECE"/>
    <w:rsid w:val="00EE6EBF"/>
    <w:rsid w:val="00F23D21"/>
    <w:rsid w:val="00FB6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28</cp:revision>
  <dcterms:created xsi:type="dcterms:W3CDTF">2012-01-30T14:12:00Z</dcterms:created>
  <dcterms:modified xsi:type="dcterms:W3CDTF">2012-01-31T00:27:00Z</dcterms:modified>
</cp:coreProperties>
</file>