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Style w:val="def_table"/>
        <w:tblW w:w="10194" w:type="dxa"/>
        <w:tblBorders>
          <w:top/>
          <w:left/>
          <w:bottom/>
          <w:right/>
        </w:tblBorders>
      </w:tblPr>
      <w:tr>
        <w:trPr>
          <w:trHeight w:val="2085"/>
        </w:trPr>
        <w:tc>
          <w:tcPr>
            <w:tcW w:w="10194" w:type="dxa"/>
            <w:tcBorders>
              <w:top w:val="single" w:color="acacac" w:sz="48"/>
              <w:left w:val="none" w:color="000000" w:sz="8"/>
              <w:bottom w:val="single" w:color="adadad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48"/>
                <w:lang/>
              </w:rPr>
              <w:t xml:space="preserve">문서의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48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sz w:val="48"/>
                <w:lang/>
              </w:rPr>
              <w:t xml:space="preserve">제목</w:t>
            </w:r>
          </w:p>
          <w:p>
            <w:pPr>
              <w:pStyle w:val="def_paragraph"/>
              <w:spacing w:after="0" w:line="240" w:lineRule="auto"/>
              <w:jc w:val="both"/>
            </w:pPr>
          </w:p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</w:r>
          </w:p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  <w:t xml:space="preserve">0000.00.00/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  <w:t xml:space="preserve">부서명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  <w:t xml:space="preserve">.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  <w:t xml:space="preserve">성명</w:t>
            </w:r>
          </w:p>
          <w:p>
            <w:pPr>
              <w:pStyle w:val="def_paragraph"/>
              <w:spacing w:after="0" w:line="240" w:lineRule="auto"/>
              <w:jc w:val="both"/>
              <w:rPr>
                <w:rStyle w:val="def_textrun"/>
                <w:rFonts w:ascii="나눔고딕" w:hAnsi="나눔고딕" w:eastAsia="나눔고딕"/>
                <w:b w:val="1"/>
                <w:bCs w:val="1"/>
                <w:color w:val="acacac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acacac">
                      <w14:alpha w14:val="0"/>
                    </w14:srgbClr>
                  </w14:solidFill>
                </w14:textFill>
              </w:rPr>
            </w:pPr>
          </w:p>
        </w:tc>
      </w:tr>
    </w:tbl>
    <w:p>
      <w:pPr>
        <w:pStyle w:val="def_paragraph"/>
        <w:spacing w:after="0" w:line="240" w:lineRule="auto"/>
        <w:jc w:val="both"/>
      </w:pPr>
    </w:p>
    <w:p>
      <w:pPr>
        <w:pStyle w:val="def_paragraph"/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을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numPr>
          <w:ilvl w:val="0"/>
          <w:numId w:val="5"/>
        </w:numPr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'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점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'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점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numPr>
          <w:ilvl w:val="0"/>
          <w:numId w:val="5"/>
        </w:numPr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'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점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'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점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numPr>
          <w:ilvl w:val="0"/>
          <w:numId w:val="5"/>
        </w:numPr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'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점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'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점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after="0" w:line="240" w:lineRule="auto"/>
        <w:jc w:val="both"/>
      </w:pPr>
    </w:p>
    <w:p>
      <w:pPr>
        <w:pStyle w:val="def_paragraph"/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을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4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2.1.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2)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2.1.1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일의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'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3'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를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3)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A.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내에서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강조해야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경우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10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내용은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B.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내에서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강조해야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경우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  <w:bookmarkStart w:name="_GoBack" w:id="1"/>
      <w:bookmarkEnd w:id="1"/>
    </w:p>
    <w:p>
      <w:pPr>
        <w:pStyle w:val="def_paragraph"/>
        <w:spacing w:before="0" w:after="0" w:line="240" w:lineRule="auto"/>
        <w:ind w:left="10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내용은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after="0" w:line="240" w:lineRule="auto"/>
        <w:jc w:val="both"/>
      </w:pPr>
    </w:p>
    <w:p>
      <w:pPr>
        <w:pStyle w:val="def_paragraph"/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을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4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3.1.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2)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3.1.1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'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3'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를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3)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A.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내에서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강조해야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경우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10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내용은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B.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내에서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강조해야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경우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10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내용은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after="0" w:line="240" w:lineRule="auto"/>
        <w:jc w:val="both"/>
      </w:pPr>
    </w:p>
    <w:p>
      <w:pPr>
        <w:pStyle w:val="def_paragraph"/>
        <w:spacing w:after="0" w:line="240" w:lineRule="auto"/>
        <w:jc w:val="both"/>
      </w:pPr>
      <w:r>
        <w:rPr/>
        <w:br w:type="page" w:clear="none"/>
      </w:r>
    </w:p>
    <w:p>
      <w:pPr>
        <w:pStyle w:val="def_paragraph"/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4.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을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tbl>
      <w:tblPr>
        <w:tblStyle w:val="def_table"/>
        <w:tblW w:w="8579" w:type="dxa"/>
        <w:tblInd w:w="400" w:type="dxa"/>
        <w:tblBorders>
          <w:top/>
          <w:left/>
          <w:bottom/>
          <w:right/>
        </w:tblBorders>
      </w:tblPr>
      <w:tr>
        <w:trPr>
          <w:trHeight w:val="345"/>
        </w:trPr>
        <w:tc>
          <w:tcPr>
            <w:tcW w:w="1385" w:type="dxa"/>
            <w:tcBorders>
              <w:top w:val="single" w:color="000000" w:sz="12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표</w:t>
            </w:r>
          </w:p>
        </w:tc>
        <w:tc>
          <w:tcPr>
            <w:tcW w:w="3597" w:type="dxa"/>
            <w:tcBorders>
              <w:top w:val="single" w:color="000000" w:sz="12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내용구분</w:t>
            </w:r>
          </w:p>
        </w:tc>
        <w:tc>
          <w:tcPr>
            <w:tcW w:w="3597" w:type="dxa"/>
            <w:tcBorders>
              <w:top w:val="single" w:color="000000" w:sz="12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내용구분</w:t>
            </w:r>
          </w:p>
        </w:tc>
      </w:tr>
      <w:tr>
        <w:trPr>
          <w:trHeight w:val="329"/>
        </w:trPr>
        <w:tc>
          <w:tcPr>
            <w:tcW w:w="1385" w:type="dxa"/>
            <w:tcBorders>
              <w:top w:val="single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구분</w:t>
            </w:r>
          </w:p>
        </w:tc>
        <w:tc>
          <w:tcPr>
            <w:tcW w:w="3597" w:type="dxa"/>
            <w:tcBorders>
              <w:top w:val="single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  <w:tc>
          <w:tcPr>
            <w:tcW w:w="3597" w:type="dxa"/>
            <w:tcBorders>
              <w:top w:val="single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</w:tr>
      <w:tr>
        <w:trPr>
          <w:trHeight w:val="345"/>
        </w:trPr>
        <w:tc>
          <w:tcPr>
            <w:tcW w:w="1385" w:type="dxa"/>
            <w:tcBorders>
              <w:top w:val="dotted" w:color="000000" w:sz="8"/>
              <w:left w:val="none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구분</w:t>
            </w:r>
          </w:p>
        </w:tc>
        <w:tc>
          <w:tcPr>
            <w:tcW w:w="3597" w:type="dxa"/>
            <w:tcBorders>
              <w:top w:val="dotted" w:color="000000" w:sz="8"/>
              <w:left w:val="dotted" w:color="000000" w:sz="8"/>
              <w:bottom w:val="dotted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  <w:tc>
          <w:tcPr>
            <w:tcW w:w="3597" w:type="dxa"/>
            <w:tcBorders>
              <w:top w:val="dotted" w:color="000000" w:sz="8"/>
              <w:left w:val="dotted" w:color="000000" w:sz="8"/>
              <w:bottom w:val="dotted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</w:tr>
      <w:tr>
        <w:trPr>
          <w:trHeight w:val="329"/>
        </w:trPr>
        <w:tc>
          <w:tcPr>
            <w:tcW w:w="1385" w:type="dxa"/>
            <w:tcBorders>
              <w:top w:val="dotted" w:color="000000" w:sz="8"/>
              <w:left w:val="none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구분</w:t>
            </w:r>
          </w:p>
        </w:tc>
        <w:tc>
          <w:tcPr>
            <w:tcW w:w="3597" w:type="dxa"/>
            <w:tcBorders>
              <w:top w:val="dotted" w:color="000000" w:sz="8"/>
              <w:left w:val="dotted" w:color="000000" w:sz="8"/>
              <w:bottom w:val="single" w:color="000000" w:sz="8"/>
              <w:right w:val="dotted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  <w:tc>
          <w:tcPr>
            <w:tcW w:w="3597" w:type="dxa"/>
            <w:tcBorders>
              <w:top w:val="dotted" w:color="000000" w:sz="8"/>
              <w:left w:val="dotted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내용</w:t>
            </w:r>
          </w:p>
        </w:tc>
      </w:tr>
    </w:tbl>
    <w:p>
      <w:pPr>
        <w:pStyle w:val="def_paragraph"/>
        <w:spacing w:after="0" w:line="240" w:lineRule="auto"/>
        <w:jc w:val="both"/>
      </w:pPr>
    </w:p>
    <w:p>
      <w:pPr>
        <w:pStyle w:val="def_paragraph"/>
        <w:spacing w:after="0" w:line="240" w:lineRule="auto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5.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을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4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5.1.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2)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5.1.1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이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단계의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제목은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'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3'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를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  <w:r>
        <w:rPr>
          <w:rStyle w:val="def_textrun"/>
          <w:rFonts w:ascii="나눔고딕" w:hAnsi="나눔고딕" w:eastAsia="나눔고딕"/>
          <w:color w:val="000000"/>
          <w:sz w:val="18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3)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A.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내에서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강조해야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경우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10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내용은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before="0" w:after="0" w:line="240" w:lineRule="auto"/>
        <w:ind w:left="800" w:right="0" w:firstLine="0"/>
        <w:jc w:val="both"/>
      </w:pPr>
    </w:p>
    <w:p>
      <w:pPr>
        <w:pStyle w:val="def_paragraph"/>
        <w:spacing w:before="0" w:after="0" w:line="240" w:lineRule="auto"/>
        <w:ind w:left="800" w:right="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B.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내에서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강조해야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경우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(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1)</w:t>
      </w:r>
    </w:p>
    <w:p>
      <w:pPr>
        <w:pStyle w:val="def_paragraph"/>
        <w:spacing w:before="0" w:after="0" w:line="240" w:lineRule="auto"/>
        <w:ind w:left="1000" w:right="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내용은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스타일의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본문을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본문</w:t>
      </w:r>
      <w:r>
        <w:rPr>
          <w:rStyle w:val="def_textrun"/>
          <w:rFonts w:ascii="나눔고딕" w:hAnsi="나눔고딕" w:eastAsia="나눔고딕"/>
          <w:color w:val="000000"/>
          <w:sz w:val="16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sectPr>
      <w:pgSz w:w="11906" w:h="16838" w:orient="portrait"/>
      <w:pgMar w:top="1525" w:right="851" w:bottom="1701" w:left="851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bullet"/>
      <w:lvlText w:val=""/>
      <w:lvlJc w:val="left"/>
      <w:pPr>
        <w:ind w:left="10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6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22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8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4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40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6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52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800" w:hanging="600"/>
      </w:pPr>
      <w:rPr>
        <w:rFonts w:hint="default" w:ascii="Wingdings" w:hAnsi="Wingdings" w:eastAsia="Wingdings"/>
      </w:rPr>
    </w:lvl>
  </w:abstractNum>
  <w:abstractNum w:abstractNumId="2">
    <w:multiLevelType w:val="multilevel"/>
    <w:lvl w:ilvl="0">
      <w:start w:val="1"/>
      <w:numFmt w:val="bullet"/>
      <w:lvlText w:val=""/>
      <w:lvlJc w:val="left"/>
      <w:pPr>
        <w:ind w:left="14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20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26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32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8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44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50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56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6200" w:hanging="600"/>
      </w:pPr>
      <w:rPr>
        <w:rFonts w:hint="default" w:ascii="Wingdings" w:hAnsi="Wingdings" w:eastAsia="Wingdings"/>
      </w:rPr>
    </w:lvl>
  </w:abstractNum>
  <w:abstractNum w:abstractNumId="3">
    <w:multiLevelType w:val="multilevel"/>
    <w:lvl w:ilvl="0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60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6600" w:hanging="600"/>
      </w:pPr>
      <w:rPr>
        <w:rFonts w:hint="default" w:ascii="Wingdings" w:hAnsi="Wingdings" w:eastAsia="Wingdings"/>
      </w:rPr>
    </w:lvl>
  </w:abstractNum>
  <w:abstractNum w:abstractNumId="4">
    <w:multiLevelType w:val="multilevel"/>
    <w:lvl w:ilvl="0">
      <w:start w:val="1"/>
      <w:numFmt w:val="bullet"/>
      <w:lvlText w:val="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hint="default" w:ascii="Wingdings" w:hAnsi="Wingdings" w:eastAsia="Wingdings"/>
      </w:rPr>
    </w:lvl>
  </w:abstractNum>
  <w:abstractNum w:abstractNumId="5">
    <w:multiLevelType w:val="multilevel"/>
    <w:lvl w:ilvl="0">
      <w:start w:val="1"/>
      <w:numFmt w:val="bullet"/>
      <w:lvlText w:val="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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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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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"/>
      <w:lvlJc w:val="left"/>
      <w:pPr>
        <w:ind w:left="5400" w:hanging="600"/>
      </w:pPr>
      <w:rPr>
        <w:rFonts w:hint="default" w:ascii="Wingdings" w:hAnsi="Wingdings" w:eastAsia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98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2017-01-19T16:50:21Z</dcterms:created>
  <dc:creator>삼삼</dc:creator>
  <cp:lastModifiedBy>또안녕(mianae)</cp:lastModifiedBy>
  <dcterms:modified xsi:type="dcterms:W3CDTF">2017-02-02T15:13:14Z</dcterms:modified>
</cp:coreProperties>
</file>