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master checklist of everything we have officially locked in and documented so far: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High-Level Design (HLD) &amp; Infrastructure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Full-Stack 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Mapped out the exact boundaries between the Client Interfaces (Web UI &amp; VS Code), the Backend API Gateway, and the heavy Worker Node.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"Zip &amp; Ship" Mechanism: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Solved the problem of scanning local VS Code workspaces by designing a .zip upload flow that bypasses the need for GitHub.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$0 Deployment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Assigned every single component to a free hosting tier (Vercel for Frontend, Render/Railway for API, Supabase for DB/Storage, Upstash for Redis) and secured the heavy lifting via a free Oracle Cloud ARM Instance (or local machine) to ensure the system can run 24/7 without hitting memory limits.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 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Attached specific languages and frameworks to their respective nodes (React, Node/FastAPI, Python, LangGraph, Docker).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Low-Level Design (LLD): Data &amp; APIs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Schema (ERD):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Defined the relational PostgreSQL tables (Projects, Scans, Verified_Vulnerabilities) needed for Supabase.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Sequence Diagrams: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Mapped the chronological HTTP requests and Redis queue events for both the VS Code Extension (POST /api/scans/upload) and the Web Dashboard (POST /api/scans/github), clearly showing how the frontend talks to the backend asynchronously.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Low-Level Design (LLD): The AI Brain &amp; Orchestration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LangGraph State (AurixState):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Wrote the exact Python TypedDict schema that controls how data moves between the nodes without overloading the LLM context windows.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System Prompts: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Drafted the strict, deterministic instructions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(Triage),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(Exploit generation),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Blue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(Patch generation).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State Machine Flowchart: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Created the visual diagram showing exactly how the LangGraph orchestrator loops through the vulnerability queue, passes the Consensus Gate, and triggers the Docker Sandbox for verification.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all of these artifacts, there should be zero confusion about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being built,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lives,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data flows. You have everything you need to divide the tasks with your teammate and start building.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