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mavyh9mbcbe" w:id="0"/>
      <w:bookmarkEnd w:id="0"/>
      <w:r w:rsidDel="00000000" w:rsidR="00000000" w:rsidRPr="00000000">
        <w:rPr>
          <w:rtl w:val="0"/>
        </w:rPr>
        <w:t xml:space="preserve">chunkq-google-doc H1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synthetic paragraph supports ingestion testing. It contains generic filler text for deterministic checks.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2cvlp4i3etq" w:id="1"/>
      <w:bookmarkEnd w:id="1"/>
      <w:r w:rsidDel="00000000" w:rsidR="00000000" w:rsidRPr="00000000">
        <w:rPr>
          <w:rtl w:val="0"/>
        </w:rPr>
        <w:t xml:space="preserve">chunkq-google-doc H2a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first section contains neutral sample content. The content stays stable across test runs.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chunkq bullet alpha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chunkq bullet beta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chunkq bullet gamma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2js8t66oxij" w:id="2"/>
      <w:bookmarkEnd w:id="2"/>
      <w:r w:rsidDel="00000000" w:rsidR="00000000" w:rsidRPr="00000000">
        <w:rPr>
          <w:rtl w:val="0"/>
        </w:rPr>
        <w:t xml:space="preserve">chunkq-google-doc H2b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second section provides another generic paragraph. It helps verify heading and table extraction.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Table data follows.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chunkq name alpha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chunkq value 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chunkq name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chunkq value two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chunkq name gamma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chunkq value three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End of synthetic fixture.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