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97437" w14:textId="162B101B" w:rsidR="004D6B86" w:rsidRDefault="008D2660">
      <w:pPr>
        <w:pStyle w:val="Title"/>
      </w:pPr>
      <w:r>
        <w:t>Predicting Exoplanets by Model Fitting Kepler Object</w:t>
      </w:r>
      <w:r w:rsidR="004D4148">
        <w:t>s</w:t>
      </w:r>
      <w:r>
        <w:t xml:space="preserve"> of Interest Data</w:t>
      </w:r>
    </w:p>
    <w:p w14:paraId="174C1F80" w14:textId="49BFD3CF" w:rsidR="004D6B86" w:rsidRDefault="008D2660">
      <w:pPr>
        <w:pStyle w:val="Title2"/>
      </w:pPr>
      <w:r>
        <w:t>David G. Kinney</w:t>
      </w:r>
    </w:p>
    <w:p w14:paraId="5E6129D8" w14:textId="332F0660" w:rsidR="004D6B86" w:rsidRDefault="008D2660">
      <w:pPr>
        <w:pStyle w:val="Title2"/>
      </w:pPr>
      <w:r>
        <w:t>Bellevue University</w:t>
      </w:r>
    </w:p>
    <w:p w14:paraId="2E1459DB" w14:textId="532A0C05" w:rsidR="008D2660" w:rsidRDefault="008D2660">
      <w:pPr>
        <w:pStyle w:val="Title2"/>
      </w:pPr>
      <w:r>
        <w:t>DSC 680 – Professor Catherine Williams</w:t>
      </w:r>
    </w:p>
    <w:p w14:paraId="1B64A1AA" w14:textId="77777777" w:rsidR="004D6B86" w:rsidRPr="009D2A20" w:rsidRDefault="00345333">
      <w:pPr>
        <w:pStyle w:val="SectionTitle"/>
        <w:rPr>
          <w:b/>
          <w:bCs/>
        </w:rPr>
      </w:pPr>
      <w:r w:rsidRPr="009D2A20">
        <w:rPr>
          <w:b/>
          <w:bCs/>
        </w:rPr>
        <w:lastRenderedPageBreak/>
        <w:t>Abstract</w:t>
      </w:r>
    </w:p>
    <w:p w14:paraId="620C9272" w14:textId="173BFB58" w:rsidR="00A14DAC" w:rsidRDefault="00A14DAC" w:rsidP="00A14DAC">
      <w:r>
        <w:t xml:space="preserve">Exoplanets are planets that orbit around a star, as in our solar system. These bodies are very hard to see directly with telescopes since they are hidden by the bright glare of the stars they orbit. The Kepler Objects of Interest (KOI) dataset contains various measurements of transit, in addition to many others that aid in identifying exoplanets. </w:t>
      </w:r>
      <w:r w:rsidRPr="003502EE">
        <w:t xml:space="preserve">In 2009, NASA launched </w:t>
      </w:r>
      <w:r>
        <w:t xml:space="preserve">the </w:t>
      </w:r>
      <w:r w:rsidRPr="001D5D0D">
        <w:rPr>
          <w:b/>
          <w:bCs/>
        </w:rPr>
        <w:t>Kepler</w:t>
      </w:r>
      <w:r w:rsidRPr="003502EE">
        <w:t xml:space="preserve"> spacecraft to </w:t>
      </w:r>
      <w:r>
        <w:t>search for</w:t>
      </w:r>
      <w:r w:rsidRPr="003502EE">
        <w:t xml:space="preserve"> exoplanets. Kepler looked for planets in a wide range of sizes and orbits</w:t>
      </w:r>
      <w:r>
        <w:t xml:space="preserve"> that</w:t>
      </w:r>
      <w:r w:rsidRPr="003502EE">
        <w:t xml:space="preserve"> circled around stars </w:t>
      </w:r>
      <w:r>
        <w:t>of</w:t>
      </w:r>
      <w:r w:rsidRPr="003502EE">
        <w:t xml:space="preserve"> varied size and temperature.</w:t>
      </w:r>
      <w:r>
        <w:t xml:space="preserve"> [2] The Kepler spacecraft detected exoplanets using the </w:t>
      </w:r>
      <w:r>
        <w:rPr>
          <w:b/>
          <w:bCs/>
        </w:rPr>
        <w:t xml:space="preserve">transit </w:t>
      </w:r>
      <w:r>
        <w:t>method. As a planet passes (transits) in front of a star, it blocks out a bit of the star</w:t>
      </w:r>
      <w:r w:rsidR="008B185E">
        <w:t>’s</w:t>
      </w:r>
      <w:r>
        <w:t xml:space="preserve"> light. By observing the stars’ change in brightness astronomers can figure out the size of the orbiting planet as well as how far away it is from the star. Further, this data then aids in calculating the planet’s temperature, and the chances that it may contain liquid water—the stuff of life…</w:t>
      </w:r>
    </w:p>
    <w:p w14:paraId="7E9AC3C8" w14:textId="29526225" w:rsidR="004D6B86" w:rsidRPr="004D4F8C" w:rsidRDefault="004D6B86">
      <w:pPr>
        <w:pStyle w:val="NoSpacing"/>
      </w:pPr>
    </w:p>
    <w:p w14:paraId="6788921C" w14:textId="3ADF3913" w:rsidR="009D2A20" w:rsidRDefault="00345333" w:rsidP="009D2A20">
      <w:r>
        <w:rPr>
          <w:rStyle w:val="Emphasis"/>
        </w:rPr>
        <w:t>Keywords</w:t>
      </w:r>
      <w:r w:rsidR="004D4F8C">
        <w:t xml:space="preserve">: </w:t>
      </w:r>
      <w:r w:rsidR="00766A72">
        <w:t>exoplanet, NASA</w:t>
      </w:r>
      <w:r w:rsidR="008B185E">
        <w:t xml:space="preserve">, </w:t>
      </w:r>
      <w:proofErr w:type="spellStart"/>
      <w:r w:rsidR="007104CD">
        <w:t>RandomForestC</w:t>
      </w:r>
      <w:r w:rsidR="008B185E">
        <w:t>lassifier</w:t>
      </w:r>
      <w:proofErr w:type="spellEnd"/>
      <w:r w:rsidR="008B185E">
        <w:t xml:space="preserve">, </w:t>
      </w:r>
      <w:proofErr w:type="spellStart"/>
      <w:r w:rsidR="007104CD">
        <w:t>RandomizedSearchCV</w:t>
      </w:r>
      <w:proofErr w:type="spellEnd"/>
      <w:r w:rsidR="007104CD">
        <w:t xml:space="preserve">, </w:t>
      </w:r>
      <w:r w:rsidR="008B185E">
        <w:t>PCA</w:t>
      </w:r>
    </w:p>
    <w:p w14:paraId="0680C671" w14:textId="44E67DEF" w:rsidR="009D2A20" w:rsidRDefault="009D2A20" w:rsidP="009D2A20"/>
    <w:p w14:paraId="7F1CB88C" w14:textId="00914663" w:rsidR="004D6B86" w:rsidRDefault="0093586F" w:rsidP="009D2A20">
      <w:pPr>
        <w:pStyle w:val="Heading1"/>
        <w:ind w:firstLine="720"/>
        <w:jc w:val="left"/>
      </w:pPr>
      <w:r>
        <w:t>Introduction &amp; Hypothesis</w:t>
      </w:r>
    </w:p>
    <w:p w14:paraId="77383B76" w14:textId="78CF849B" w:rsidR="00A14DAC" w:rsidRDefault="00A14DAC" w:rsidP="00A14DAC">
      <w:r>
        <w:t>T</w:t>
      </w:r>
      <w:r w:rsidRPr="00BF15C5">
        <w:t>he NASA Exoplanet Archive is an online astronomical exoplanet and stellar catalog and data service that collates and cross-correlates astronomical data and information on exoplanets and their host stars. These data include stellar parameters (such as positions, magnitudes, and temperatures), exoplanet parameters (such as masses and orbital parameters) and discovery/characterization data (such as published radial velocity curves, photometric light curves, images, and spectra).</w:t>
      </w:r>
      <w:r>
        <w:t xml:space="preserve"> [1]</w:t>
      </w:r>
      <w:r w:rsidR="00C65FBC">
        <w:t xml:space="preserve"> As this data is used by astronomers to arrive at </w:t>
      </w:r>
      <w:r w:rsidR="008B185E">
        <w:t>whether</w:t>
      </w:r>
      <w:r w:rsidR="00C65FBC">
        <w:t xml:space="preserve"> an </w:t>
      </w:r>
      <w:r w:rsidR="00C65FBC">
        <w:lastRenderedPageBreak/>
        <w:t>object is an exoplanet, it follows that it is likely a Machine Learning model can be developed to make predictions based on the same data.</w:t>
      </w:r>
    </w:p>
    <w:p w14:paraId="6045F797" w14:textId="77777777" w:rsidR="00A14DAC" w:rsidRPr="00A14DAC" w:rsidRDefault="00A14DAC" w:rsidP="00A14DAC"/>
    <w:p w14:paraId="341FE36B" w14:textId="77777777" w:rsidR="0093586F" w:rsidRDefault="0093586F"/>
    <w:p w14:paraId="4A3C0813" w14:textId="62F0B30C" w:rsidR="004D6B86" w:rsidRPr="00C5686B" w:rsidRDefault="009D2A20" w:rsidP="009D2A20">
      <w:pPr>
        <w:pStyle w:val="Heading2"/>
        <w:ind w:firstLine="720"/>
      </w:pPr>
      <w:r>
        <w:t>Data</w:t>
      </w:r>
    </w:p>
    <w:p w14:paraId="557B3F43" w14:textId="0348CF6E" w:rsidR="00A93657" w:rsidRDefault="0093586F" w:rsidP="0093586F">
      <w:r>
        <w:t xml:space="preserve">The dataset I am leveraging is the </w:t>
      </w:r>
      <w:r w:rsidRPr="00CF268D">
        <w:rPr>
          <w:b/>
          <w:bCs/>
        </w:rPr>
        <w:t>Kepler Object of Interest</w:t>
      </w:r>
      <w:r w:rsidRPr="00A93657">
        <w:rPr>
          <w:b/>
          <w:bCs/>
        </w:rPr>
        <w:t xml:space="preserve"> (KOI) </w:t>
      </w:r>
      <w:r w:rsidR="00A93657" w:rsidRPr="00A93657">
        <w:rPr>
          <w:b/>
          <w:bCs/>
        </w:rPr>
        <w:t xml:space="preserve">Cumulative </w:t>
      </w:r>
      <w:r>
        <w:t>table</w:t>
      </w:r>
      <w:r w:rsidR="00A93657">
        <w:t xml:space="preserve">. </w:t>
      </w:r>
      <w:r w:rsidR="00A93657" w:rsidRPr="00A93657">
        <w:t xml:space="preserve">The cumulative KOI table gathers information from the individual KOI activity tables that describe the current results of different searches of the Kepler light curves. The intent of the cumulative table is to provide the most accurate dispositions and stellar and planetary information for all KOIs in one place. </w:t>
      </w:r>
    </w:p>
    <w:p w14:paraId="043E8565" w14:textId="0DC83A8F" w:rsidR="0093586F" w:rsidRDefault="0093586F" w:rsidP="0093586F">
      <w:r>
        <w:t xml:space="preserve">The </w:t>
      </w:r>
      <w:r w:rsidRPr="005D35B1">
        <w:rPr>
          <w:b/>
          <w:bCs/>
        </w:rPr>
        <w:t>Data Columns</w:t>
      </w:r>
      <w:r>
        <w:t xml:space="preserve"> documentation can be reviewed here: </w:t>
      </w:r>
      <w:hyperlink r:id="rId9" w:history="1">
        <w:r>
          <w:rPr>
            <w:rStyle w:val="Hyperlink"/>
          </w:rPr>
          <w:t>Data columns in Kepler Objects of Interest Table (caltech.edu)</w:t>
        </w:r>
      </w:hyperlink>
      <w:r>
        <w:t xml:space="preserve">. The dataset can be found here: </w:t>
      </w:r>
      <w:hyperlink r:id="rId10" w:history="1">
        <w:r>
          <w:rPr>
            <w:rStyle w:val="Hyperlink"/>
          </w:rPr>
          <w:t>Kepler Objects of Interest (caltech.edu)</w:t>
        </w:r>
      </w:hyperlink>
      <w:r>
        <w:t>. The dataset consists of 9,565 rows with 2,358 confirmed exoplanets, 2,366 candidates and 4,840 false positives.</w:t>
      </w:r>
    </w:p>
    <w:p w14:paraId="2D38A801" w14:textId="5C1B9AF2" w:rsidR="00A93657" w:rsidRDefault="00A93657" w:rsidP="0093586F">
      <w:r>
        <w:t>The dataset is divided into nine categories, the first three being identification, archive information, and disposition. The remaining six categories are directly related to observational data used to categorize objects as either a confirmed exoplanet, a candidate, or a false positive.</w:t>
      </w:r>
    </w:p>
    <w:p w14:paraId="4D82E5A7" w14:textId="77777777" w:rsidR="00A93657" w:rsidRDefault="00A93657" w:rsidP="00A93657">
      <w:pPr>
        <w:pStyle w:val="ListParagraph"/>
        <w:numPr>
          <w:ilvl w:val="0"/>
          <w:numId w:val="13"/>
        </w:numPr>
      </w:pPr>
      <w:r>
        <w:t>Transit Properties</w:t>
      </w:r>
    </w:p>
    <w:p w14:paraId="31B12909" w14:textId="77777777" w:rsidR="00A93657" w:rsidRDefault="00A93657" w:rsidP="00A93657">
      <w:pPr>
        <w:pStyle w:val="ListParagraph"/>
        <w:numPr>
          <w:ilvl w:val="0"/>
          <w:numId w:val="13"/>
        </w:numPr>
      </w:pPr>
      <w:r>
        <w:t>Threshold-Crossing Event (TCE) Information</w:t>
      </w:r>
    </w:p>
    <w:p w14:paraId="7480114A" w14:textId="77777777" w:rsidR="00A93657" w:rsidRDefault="00A93657" w:rsidP="00A93657">
      <w:pPr>
        <w:pStyle w:val="ListParagraph"/>
        <w:numPr>
          <w:ilvl w:val="0"/>
          <w:numId w:val="13"/>
        </w:numPr>
      </w:pPr>
      <w:r>
        <w:t>Stellar Parameters</w:t>
      </w:r>
    </w:p>
    <w:p w14:paraId="7024279C" w14:textId="77777777" w:rsidR="00A93657" w:rsidRDefault="00A93657" w:rsidP="00A93657">
      <w:pPr>
        <w:pStyle w:val="ListParagraph"/>
        <w:numPr>
          <w:ilvl w:val="0"/>
          <w:numId w:val="13"/>
        </w:numPr>
      </w:pPr>
      <w:r>
        <w:t>KIC Parameters</w:t>
      </w:r>
    </w:p>
    <w:p w14:paraId="3DC30F77" w14:textId="361082E2" w:rsidR="00A93657" w:rsidRDefault="00A93657" w:rsidP="00A93657">
      <w:pPr>
        <w:pStyle w:val="ListParagraph"/>
        <w:numPr>
          <w:ilvl w:val="0"/>
          <w:numId w:val="13"/>
        </w:numPr>
      </w:pPr>
      <w:r>
        <w:t>Pixel-Based KOI Vetting Statistics</w:t>
      </w:r>
    </w:p>
    <w:p w14:paraId="264AF692" w14:textId="14C4BA73" w:rsidR="00357AED" w:rsidRDefault="00357AED" w:rsidP="0093586F">
      <w:r>
        <w:rPr>
          <w:noProof/>
        </w:rPr>
        <w:lastRenderedPageBreak/>
        <w:drawing>
          <wp:inline distT="0" distB="0" distL="0" distR="0" wp14:anchorId="4C99681A" wp14:editId="1714D1E3">
            <wp:extent cx="5943600" cy="2717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7800"/>
                    </a:xfrm>
                    <a:prstGeom prst="rect">
                      <a:avLst/>
                    </a:prstGeom>
                  </pic:spPr>
                </pic:pic>
              </a:graphicData>
            </a:graphic>
          </wp:inline>
        </w:drawing>
      </w:r>
    </w:p>
    <w:p w14:paraId="5A317E1B" w14:textId="6D946B30" w:rsidR="00357AED" w:rsidRPr="00357AED" w:rsidRDefault="00357AED" w:rsidP="0093586F">
      <w:pPr>
        <w:rPr>
          <w:rFonts w:ascii="Helvetica" w:hAnsi="Helvetica"/>
          <w:color w:val="5A6470"/>
          <w:sz w:val="22"/>
          <w:szCs w:val="22"/>
        </w:rPr>
      </w:pPr>
      <w:r w:rsidRPr="00357AED">
        <w:rPr>
          <w:rFonts w:ascii="Helvetica" w:hAnsi="Helvetica"/>
          <w:color w:val="5A6470"/>
          <w:sz w:val="22"/>
          <w:szCs w:val="22"/>
        </w:rPr>
        <w:t>Source: NASA Exoplanet Archive</w:t>
      </w:r>
    </w:p>
    <w:p w14:paraId="647A9541" w14:textId="7EE9EEC1" w:rsidR="003F7CBD" w:rsidRPr="003F7CBD" w:rsidRDefault="009D2A20" w:rsidP="00C47F79">
      <w:pPr>
        <w:pStyle w:val="Heading4"/>
        <w:jc w:val="center"/>
      </w:pPr>
      <w:r w:rsidRPr="009D2A20">
        <w:rPr>
          <w:i w:val="0"/>
          <w:iCs w:val="0"/>
        </w:rPr>
        <w:t>Method</w:t>
      </w:r>
    </w:p>
    <w:p w14:paraId="5F56C927" w14:textId="31805EF3" w:rsidR="00A93657" w:rsidRDefault="00C47F79" w:rsidP="00A14DAC">
      <w:pPr>
        <w:pStyle w:val="Heading3"/>
        <w:rPr>
          <w:rStyle w:val="Heading3Char"/>
          <w:u w:val="single"/>
        </w:rPr>
      </w:pPr>
      <w:r w:rsidRPr="00C47F79">
        <w:rPr>
          <w:rStyle w:val="Heading3Char"/>
          <w:u w:val="single"/>
        </w:rPr>
        <w:t>Data Preparation</w:t>
      </w:r>
    </w:p>
    <w:p w14:paraId="24C7573D" w14:textId="43860CD7" w:rsidR="00C47F79" w:rsidRDefault="00C47F79" w:rsidP="00C47F79">
      <w:r>
        <w:t xml:space="preserve">All variables that were completely empty or contained all zeros were dropped. There were also </w:t>
      </w:r>
      <w:r w:rsidR="008B185E">
        <w:t>several</w:t>
      </w:r>
      <w:r>
        <w:t xml:space="preserve"> </w:t>
      </w:r>
      <w:r w:rsidR="008B185E">
        <w:t xml:space="preserve">error factor </w:t>
      </w:r>
      <w:r>
        <w:t xml:space="preserve">variables for some of the measurements. The values in these columns were extremely small and not likely to influence the model’s performance; they were dropped as well. Lastly, I made the decision to drop the </w:t>
      </w:r>
      <w:r w:rsidR="007104CD">
        <w:t>20</w:t>
      </w:r>
      <w:r>
        <w:t xml:space="preserve"> categorical variables. 12 of them were simply descriptive (informational). For the remaining 8, there was very little variation in the values (in at least one case, the value was a veritable constant). I concluded they were not likely to have a large </w:t>
      </w:r>
      <w:r w:rsidR="008B185E">
        <w:t>impact</w:t>
      </w:r>
      <w:r>
        <w:t xml:space="preserve"> on the behavior of the model, and as they would all require encoding, it would only add to the magnitude of the dataset.</w:t>
      </w:r>
    </w:p>
    <w:p w14:paraId="6B5AE9D4" w14:textId="4486AF63" w:rsidR="00C47F79" w:rsidRDefault="00C47F79" w:rsidP="00C47F79">
      <w:r>
        <w:t xml:space="preserve">The </w:t>
      </w:r>
      <w:proofErr w:type="spellStart"/>
      <w:r>
        <w:rPr>
          <w:b/>
          <w:bCs/>
        </w:rPr>
        <w:t>koi_disposition</w:t>
      </w:r>
      <w:proofErr w:type="spellEnd"/>
      <w:r>
        <w:t xml:space="preserve"> variable was separated from the resulting dataset </w:t>
      </w:r>
      <w:r w:rsidR="007104CD">
        <w:t>and saved as</w:t>
      </w:r>
      <w:r>
        <w:t xml:space="preserve"> the target predictor labels</w:t>
      </w:r>
      <w:r w:rsidR="008B185E">
        <w:t xml:space="preserve"> (Confirmed, Candidate, and False Positive)</w:t>
      </w:r>
      <w:r>
        <w:t xml:space="preserve">. </w:t>
      </w:r>
      <w:r w:rsidR="00CC456C">
        <w:t xml:space="preserve">For the remaining features dataset, I employed a </w:t>
      </w:r>
      <w:proofErr w:type="spellStart"/>
      <w:r w:rsidR="00CC456C">
        <w:rPr>
          <w:b/>
          <w:bCs/>
        </w:rPr>
        <w:t>SimpleImputer</w:t>
      </w:r>
      <w:proofErr w:type="spellEnd"/>
      <w:r w:rsidR="00CC456C">
        <w:rPr>
          <w:b/>
          <w:bCs/>
        </w:rPr>
        <w:t xml:space="preserve"> </w:t>
      </w:r>
      <w:r w:rsidR="00CC456C">
        <w:t xml:space="preserve">to replace missing values with the median of that feature. </w:t>
      </w:r>
      <w:r w:rsidR="00CC456C">
        <w:lastRenderedPageBreak/>
        <w:t xml:space="preserve">Lastly, </w:t>
      </w:r>
      <w:r w:rsidR="00CC456C" w:rsidRPr="008B185E">
        <w:rPr>
          <w:i/>
          <w:iCs/>
        </w:rPr>
        <w:t>dimensionality reduction</w:t>
      </w:r>
      <w:r w:rsidR="00CC456C">
        <w:t xml:space="preserve"> was performed by </w:t>
      </w:r>
      <w:r w:rsidR="007104CD">
        <w:t>applying</w:t>
      </w:r>
      <w:r w:rsidR="00CC456C">
        <w:t xml:space="preserve"> </w:t>
      </w:r>
      <w:r w:rsidR="00CC456C">
        <w:rPr>
          <w:b/>
          <w:bCs/>
        </w:rPr>
        <w:t>Principal Component Analysis</w:t>
      </w:r>
      <w:r w:rsidR="00CC456C">
        <w:t xml:space="preserve">, reducing the feature set from </w:t>
      </w:r>
      <w:r w:rsidR="007078D0">
        <w:t>53</w:t>
      </w:r>
      <w:r w:rsidR="00CC456C">
        <w:t xml:space="preserve"> variables to </w:t>
      </w:r>
      <w:r w:rsidR="007078D0">
        <w:t>29.</w:t>
      </w:r>
    </w:p>
    <w:p w14:paraId="67107F00" w14:textId="0B8CF2D7" w:rsidR="00CC456C" w:rsidRDefault="00CC456C" w:rsidP="00C47F79">
      <w:r>
        <w:rPr>
          <w:u w:val="single"/>
        </w:rPr>
        <w:t>Modeling</w:t>
      </w:r>
    </w:p>
    <w:p w14:paraId="0C7B2AF1" w14:textId="7459620D" w:rsidR="007078D0" w:rsidRDefault="00CC456C" w:rsidP="00C47F79">
      <w:r>
        <w:t xml:space="preserve">A baseline model was established by training a </w:t>
      </w:r>
      <w:r>
        <w:rPr>
          <w:b/>
          <w:bCs/>
        </w:rPr>
        <w:t>Random Forest Classifier</w:t>
      </w:r>
      <w:r>
        <w:t xml:space="preserve">, randomly assigning 1,000 estimators. The function containing the model also applied a </w:t>
      </w:r>
      <w:proofErr w:type="spellStart"/>
      <w:r>
        <w:rPr>
          <w:b/>
          <w:bCs/>
        </w:rPr>
        <w:t>Standar</w:t>
      </w:r>
      <w:r w:rsidR="008B185E">
        <w:rPr>
          <w:b/>
          <w:bCs/>
        </w:rPr>
        <w:t>d</w:t>
      </w:r>
      <w:r>
        <w:rPr>
          <w:b/>
          <w:bCs/>
        </w:rPr>
        <w:t>Scaler</w:t>
      </w:r>
      <w:proofErr w:type="spellEnd"/>
      <w:r>
        <w:rPr>
          <w:b/>
          <w:bCs/>
        </w:rPr>
        <w:t xml:space="preserve"> </w:t>
      </w:r>
      <w:r>
        <w:t xml:space="preserve">to normalize the data prior to </w:t>
      </w:r>
      <w:r w:rsidR="007104CD">
        <w:t xml:space="preserve">model </w:t>
      </w:r>
      <w:r>
        <w:t xml:space="preserve">fitting. This resulted in an accuracy score of </w:t>
      </w:r>
      <w:r w:rsidR="007078D0">
        <w:t>86%.</w:t>
      </w:r>
      <w:r>
        <w:t xml:space="preserve"> </w:t>
      </w:r>
    </w:p>
    <w:tbl>
      <w:tblPr>
        <w:tblW w:w="5450" w:type="dxa"/>
        <w:tblLook w:val="04A0" w:firstRow="1" w:lastRow="0" w:firstColumn="1" w:lastColumn="0" w:noHBand="0" w:noVBand="1"/>
      </w:tblPr>
      <w:tblGrid>
        <w:gridCol w:w="1710"/>
        <w:gridCol w:w="1030"/>
        <w:gridCol w:w="960"/>
        <w:gridCol w:w="960"/>
        <w:gridCol w:w="960"/>
      </w:tblGrid>
      <w:tr w:rsidR="007078D0" w:rsidRPr="007078D0" w14:paraId="52563ED1" w14:textId="77777777" w:rsidTr="008B185E">
        <w:trPr>
          <w:trHeight w:val="300"/>
        </w:trPr>
        <w:tc>
          <w:tcPr>
            <w:tcW w:w="1710" w:type="dxa"/>
            <w:tcBorders>
              <w:top w:val="nil"/>
              <w:left w:val="nil"/>
              <w:bottom w:val="nil"/>
              <w:right w:val="nil"/>
            </w:tcBorders>
            <w:shd w:val="clear" w:color="auto" w:fill="auto"/>
            <w:noWrap/>
            <w:vAlign w:val="bottom"/>
            <w:hideMark/>
          </w:tcPr>
          <w:p w14:paraId="6140BCF1" w14:textId="77777777" w:rsidR="007078D0" w:rsidRPr="007078D0" w:rsidRDefault="007078D0" w:rsidP="007078D0">
            <w:pPr>
              <w:spacing w:line="240" w:lineRule="auto"/>
              <w:ind w:firstLine="0"/>
              <w:rPr>
                <w:rFonts w:ascii="Times New Roman" w:eastAsia="Times New Roman" w:hAnsi="Times New Roman" w:cs="Times New Roman"/>
                <w:color w:val="auto"/>
                <w:lang w:eastAsia="en-US"/>
              </w:rPr>
            </w:pPr>
          </w:p>
        </w:tc>
        <w:tc>
          <w:tcPr>
            <w:tcW w:w="860" w:type="dxa"/>
            <w:tcBorders>
              <w:top w:val="nil"/>
              <w:left w:val="nil"/>
              <w:bottom w:val="nil"/>
              <w:right w:val="nil"/>
            </w:tcBorders>
            <w:shd w:val="clear" w:color="auto" w:fill="auto"/>
            <w:noWrap/>
            <w:vAlign w:val="bottom"/>
            <w:hideMark/>
          </w:tcPr>
          <w:p w14:paraId="0B9D51B4"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precision</w:t>
            </w:r>
          </w:p>
        </w:tc>
        <w:tc>
          <w:tcPr>
            <w:tcW w:w="960" w:type="dxa"/>
            <w:tcBorders>
              <w:top w:val="nil"/>
              <w:left w:val="nil"/>
              <w:bottom w:val="nil"/>
              <w:right w:val="nil"/>
            </w:tcBorders>
            <w:shd w:val="clear" w:color="auto" w:fill="auto"/>
            <w:noWrap/>
            <w:vAlign w:val="bottom"/>
            <w:hideMark/>
          </w:tcPr>
          <w:p w14:paraId="2D542C4D"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recall</w:t>
            </w:r>
          </w:p>
        </w:tc>
        <w:tc>
          <w:tcPr>
            <w:tcW w:w="960" w:type="dxa"/>
            <w:tcBorders>
              <w:top w:val="nil"/>
              <w:left w:val="nil"/>
              <w:bottom w:val="nil"/>
              <w:right w:val="nil"/>
            </w:tcBorders>
            <w:shd w:val="clear" w:color="auto" w:fill="auto"/>
            <w:noWrap/>
            <w:vAlign w:val="bottom"/>
            <w:hideMark/>
          </w:tcPr>
          <w:p w14:paraId="11344B82"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f1-score</w:t>
            </w:r>
          </w:p>
        </w:tc>
        <w:tc>
          <w:tcPr>
            <w:tcW w:w="960" w:type="dxa"/>
            <w:tcBorders>
              <w:top w:val="nil"/>
              <w:left w:val="nil"/>
              <w:bottom w:val="nil"/>
              <w:right w:val="nil"/>
            </w:tcBorders>
            <w:shd w:val="clear" w:color="auto" w:fill="auto"/>
            <w:noWrap/>
            <w:vAlign w:val="bottom"/>
            <w:hideMark/>
          </w:tcPr>
          <w:p w14:paraId="1E418349"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support</w:t>
            </w:r>
          </w:p>
        </w:tc>
      </w:tr>
      <w:tr w:rsidR="007078D0" w:rsidRPr="007078D0" w14:paraId="25CB4307" w14:textId="77777777" w:rsidTr="008B185E">
        <w:trPr>
          <w:trHeight w:val="300"/>
        </w:trPr>
        <w:tc>
          <w:tcPr>
            <w:tcW w:w="1710" w:type="dxa"/>
            <w:tcBorders>
              <w:top w:val="nil"/>
              <w:left w:val="nil"/>
              <w:bottom w:val="nil"/>
              <w:right w:val="nil"/>
            </w:tcBorders>
            <w:shd w:val="clear" w:color="auto" w:fill="auto"/>
            <w:noWrap/>
            <w:vAlign w:val="bottom"/>
            <w:hideMark/>
          </w:tcPr>
          <w:p w14:paraId="51B4B3B6"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p>
        </w:tc>
        <w:tc>
          <w:tcPr>
            <w:tcW w:w="860" w:type="dxa"/>
            <w:tcBorders>
              <w:top w:val="nil"/>
              <w:left w:val="nil"/>
              <w:bottom w:val="nil"/>
              <w:right w:val="nil"/>
            </w:tcBorders>
            <w:shd w:val="clear" w:color="auto" w:fill="auto"/>
            <w:noWrap/>
            <w:vAlign w:val="bottom"/>
            <w:hideMark/>
          </w:tcPr>
          <w:p w14:paraId="1C5F3A84"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0C5494ED"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23E1F9B4"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2F352B4F"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r>
      <w:tr w:rsidR="007078D0" w:rsidRPr="007078D0" w14:paraId="4BE78F5C" w14:textId="77777777" w:rsidTr="008B185E">
        <w:trPr>
          <w:trHeight w:val="300"/>
        </w:trPr>
        <w:tc>
          <w:tcPr>
            <w:tcW w:w="1710" w:type="dxa"/>
            <w:tcBorders>
              <w:top w:val="nil"/>
              <w:left w:val="nil"/>
              <w:bottom w:val="nil"/>
              <w:right w:val="nil"/>
            </w:tcBorders>
            <w:shd w:val="clear" w:color="auto" w:fill="auto"/>
            <w:noWrap/>
            <w:vAlign w:val="bottom"/>
            <w:hideMark/>
          </w:tcPr>
          <w:p w14:paraId="01D72868"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CANDIDATE</w:t>
            </w:r>
          </w:p>
        </w:tc>
        <w:tc>
          <w:tcPr>
            <w:tcW w:w="860" w:type="dxa"/>
            <w:tcBorders>
              <w:top w:val="nil"/>
              <w:left w:val="nil"/>
              <w:bottom w:val="nil"/>
              <w:right w:val="nil"/>
            </w:tcBorders>
            <w:shd w:val="clear" w:color="auto" w:fill="auto"/>
            <w:noWrap/>
            <w:vAlign w:val="bottom"/>
            <w:hideMark/>
          </w:tcPr>
          <w:p w14:paraId="3635CE7C"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0.79</w:t>
            </w:r>
          </w:p>
        </w:tc>
        <w:tc>
          <w:tcPr>
            <w:tcW w:w="960" w:type="dxa"/>
            <w:tcBorders>
              <w:top w:val="nil"/>
              <w:left w:val="nil"/>
              <w:bottom w:val="nil"/>
              <w:right w:val="nil"/>
            </w:tcBorders>
            <w:shd w:val="clear" w:color="auto" w:fill="auto"/>
            <w:noWrap/>
            <w:vAlign w:val="bottom"/>
            <w:hideMark/>
          </w:tcPr>
          <w:p w14:paraId="493F4770"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0.66</w:t>
            </w:r>
          </w:p>
        </w:tc>
        <w:tc>
          <w:tcPr>
            <w:tcW w:w="960" w:type="dxa"/>
            <w:tcBorders>
              <w:top w:val="nil"/>
              <w:left w:val="nil"/>
              <w:bottom w:val="nil"/>
              <w:right w:val="nil"/>
            </w:tcBorders>
            <w:shd w:val="clear" w:color="auto" w:fill="auto"/>
            <w:noWrap/>
            <w:vAlign w:val="bottom"/>
            <w:hideMark/>
          </w:tcPr>
          <w:p w14:paraId="1BA45CBF"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0.72</w:t>
            </w:r>
          </w:p>
        </w:tc>
        <w:tc>
          <w:tcPr>
            <w:tcW w:w="960" w:type="dxa"/>
            <w:tcBorders>
              <w:top w:val="nil"/>
              <w:left w:val="nil"/>
              <w:bottom w:val="nil"/>
              <w:right w:val="nil"/>
            </w:tcBorders>
            <w:shd w:val="clear" w:color="auto" w:fill="auto"/>
            <w:noWrap/>
            <w:vAlign w:val="bottom"/>
            <w:hideMark/>
          </w:tcPr>
          <w:p w14:paraId="0B86C2B0"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601</w:t>
            </w:r>
          </w:p>
        </w:tc>
      </w:tr>
      <w:tr w:rsidR="007078D0" w:rsidRPr="007078D0" w14:paraId="28837B9D" w14:textId="77777777" w:rsidTr="008B185E">
        <w:trPr>
          <w:trHeight w:val="300"/>
        </w:trPr>
        <w:tc>
          <w:tcPr>
            <w:tcW w:w="1710" w:type="dxa"/>
            <w:tcBorders>
              <w:top w:val="nil"/>
              <w:left w:val="nil"/>
              <w:bottom w:val="nil"/>
              <w:right w:val="nil"/>
            </w:tcBorders>
            <w:shd w:val="clear" w:color="auto" w:fill="auto"/>
            <w:noWrap/>
            <w:vAlign w:val="bottom"/>
            <w:hideMark/>
          </w:tcPr>
          <w:p w14:paraId="0D73A9D2"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CONFIRMED</w:t>
            </w:r>
          </w:p>
        </w:tc>
        <w:tc>
          <w:tcPr>
            <w:tcW w:w="860" w:type="dxa"/>
            <w:tcBorders>
              <w:top w:val="nil"/>
              <w:left w:val="nil"/>
              <w:bottom w:val="nil"/>
              <w:right w:val="nil"/>
            </w:tcBorders>
            <w:shd w:val="clear" w:color="auto" w:fill="auto"/>
            <w:noWrap/>
            <w:vAlign w:val="bottom"/>
            <w:hideMark/>
          </w:tcPr>
          <w:p w14:paraId="29469842"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144BF3F2"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0.87</w:t>
            </w:r>
          </w:p>
        </w:tc>
        <w:tc>
          <w:tcPr>
            <w:tcW w:w="960" w:type="dxa"/>
            <w:tcBorders>
              <w:top w:val="nil"/>
              <w:left w:val="nil"/>
              <w:bottom w:val="nil"/>
              <w:right w:val="nil"/>
            </w:tcBorders>
            <w:shd w:val="clear" w:color="auto" w:fill="auto"/>
            <w:noWrap/>
            <w:vAlign w:val="bottom"/>
            <w:hideMark/>
          </w:tcPr>
          <w:p w14:paraId="40DA47D5"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0.87</w:t>
            </w:r>
          </w:p>
        </w:tc>
        <w:tc>
          <w:tcPr>
            <w:tcW w:w="960" w:type="dxa"/>
            <w:tcBorders>
              <w:top w:val="nil"/>
              <w:left w:val="nil"/>
              <w:bottom w:val="nil"/>
              <w:right w:val="nil"/>
            </w:tcBorders>
            <w:shd w:val="clear" w:color="auto" w:fill="auto"/>
            <w:noWrap/>
            <w:vAlign w:val="bottom"/>
            <w:hideMark/>
          </w:tcPr>
          <w:p w14:paraId="110283B5"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600</w:t>
            </w:r>
          </w:p>
        </w:tc>
      </w:tr>
      <w:tr w:rsidR="007078D0" w:rsidRPr="007078D0" w14:paraId="29DFF424" w14:textId="77777777" w:rsidTr="008B185E">
        <w:trPr>
          <w:trHeight w:val="300"/>
        </w:trPr>
        <w:tc>
          <w:tcPr>
            <w:tcW w:w="1710" w:type="dxa"/>
            <w:tcBorders>
              <w:top w:val="nil"/>
              <w:left w:val="nil"/>
              <w:bottom w:val="nil"/>
              <w:right w:val="nil"/>
            </w:tcBorders>
            <w:shd w:val="clear" w:color="auto" w:fill="auto"/>
            <w:noWrap/>
            <w:vAlign w:val="bottom"/>
            <w:hideMark/>
          </w:tcPr>
          <w:p w14:paraId="572A0D1A"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FALSE POSITIVE</w:t>
            </w:r>
          </w:p>
        </w:tc>
        <w:tc>
          <w:tcPr>
            <w:tcW w:w="860" w:type="dxa"/>
            <w:tcBorders>
              <w:top w:val="nil"/>
              <w:left w:val="nil"/>
              <w:bottom w:val="nil"/>
              <w:right w:val="nil"/>
            </w:tcBorders>
            <w:shd w:val="clear" w:color="auto" w:fill="auto"/>
            <w:noWrap/>
            <w:vAlign w:val="bottom"/>
            <w:hideMark/>
          </w:tcPr>
          <w:p w14:paraId="03457AD6"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0.9</w:t>
            </w:r>
          </w:p>
        </w:tc>
        <w:tc>
          <w:tcPr>
            <w:tcW w:w="960" w:type="dxa"/>
            <w:tcBorders>
              <w:top w:val="nil"/>
              <w:left w:val="nil"/>
              <w:bottom w:val="nil"/>
              <w:right w:val="nil"/>
            </w:tcBorders>
            <w:shd w:val="clear" w:color="auto" w:fill="auto"/>
            <w:noWrap/>
            <w:vAlign w:val="bottom"/>
            <w:hideMark/>
          </w:tcPr>
          <w:p w14:paraId="1B8615CC"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0.96</w:t>
            </w:r>
          </w:p>
        </w:tc>
        <w:tc>
          <w:tcPr>
            <w:tcW w:w="960" w:type="dxa"/>
            <w:tcBorders>
              <w:top w:val="nil"/>
              <w:left w:val="nil"/>
              <w:bottom w:val="nil"/>
              <w:right w:val="nil"/>
            </w:tcBorders>
            <w:shd w:val="clear" w:color="auto" w:fill="auto"/>
            <w:noWrap/>
            <w:vAlign w:val="bottom"/>
            <w:hideMark/>
          </w:tcPr>
          <w:p w14:paraId="01FEF37B"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0.93</w:t>
            </w:r>
          </w:p>
        </w:tc>
        <w:tc>
          <w:tcPr>
            <w:tcW w:w="960" w:type="dxa"/>
            <w:tcBorders>
              <w:top w:val="nil"/>
              <w:left w:val="nil"/>
              <w:bottom w:val="nil"/>
              <w:right w:val="nil"/>
            </w:tcBorders>
            <w:shd w:val="clear" w:color="auto" w:fill="auto"/>
            <w:noWrap/>
            <w:vAlign w:val="bottom"/>
            <w:hideMark/>
          </w:tcPr>
          <w:p w14:paraId="2CCF5AED"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1190</w:t>
            </w:r>
          </w:p>
        </w:tc>
      </w:tr>
      <w:tr w:rsidR="007078D0" w:rsidRPr="007078D0" w14:paraId="4AE759A8" w14:textId="77777777" w:rsidTr="008B185E">
        <w:trPr>
          <w:trHeight w:val="300"/>
        </w:trPr>
        <w:tc>
          <w:tcPr>
            <w:tcW w:w="1710" w:type="dxa"/>
            <w:tcBorders>
              <w:top w:val="nil"/>
              <w:left w:val="nil"/>
              <w:bottom w:val="nil"/>
              <w:right w:val="nil"/>
            </w:tcBorders>
            <w:shd w:val="clear" w:color="auto" w:fill="auto"/>
            <w:noWrap/>
            <w:vAlign w:val="bottom"/>
            <w:hideMark/>
          </w:tcPr>
          <w:p w14:paraId="0FA5E2D8"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p>
        </w:tc>
        <w:tc>
          <w:tcPr>
            <w:tcW w:w="860" w:type="dxa"/>
            <w:tcBorders>
              <w:top w:val="nil"/>
              <w:left w:val="nil"/>
              <w:bottom w:val="nil"/>
              <w:right w:val="nil"/>
            </w:tcBorders>
            <w:shd w:val="clear" w:color="auto" w:fill="auto"/>
            <w:noWrap/>
            <w:vAlign w:val="bottom"/>
            <w:hideMark/>
          </w:tcPr>
          <w:p w14:paraId="69FC432C"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0DA9CC80"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4616F1FD"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794E462E"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r>
      <w:tr w:rsidR="007078D0" w:rsidRPr="007078D0" w14:paraId="0911D1BA" w14:textId="77777777" w:rsidTr="008B185E">
        <w:trPr>
          <w:trHeight w:val="300"/>
        </w:trPr>
        <w:tc>
          <w:tcPr>
            <w:tcW w:w="1710" w:type="dxa"/>
            <w:tcBorders>
              <w:top w:val="nil"/>
              <w:left w:val="nil"/>
              <w:bottom w:val="nil"/>
              <w:right w:val="nil"/>
            </w:tcBorders>
            <w:shd w:val="clear" w:color="auto" w:fill="auto"/>
            <w:noWrap/>
            <w:vAlign w:val="bottom"/>
            <w:hideMark/>
          </w:tcPr>
          <w:p w14:paraId="2867611E"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accuracy</w:t>
            </w:r>
          </w:p>
        </w:tc>
        <w:tc>
          <w:tcPr>
            <w:tcW w:w="860" w:type="dxa"/>
            <w:tcBorders>
              <w:top w:val="nil"/>
              <w:left w:val="nil"/>
              <w:bottom w:val="nil"/>
              <w:right w:val="nil"/>
            </w:tcBorders>
            <w:shd w:val="clear" w:color="auto" w:fill="auto"/>
            <w:noWrap/>
            <w:vAlign w:val="bottom"/>
            <w:hideMark/>
          </w:tcPr>
          <w:p w14:paraId="210582A2"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14:paraId="6B71464F"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73A32D25"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5607ECBC"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2391</w:t>
            </w:r>
          </w:p>
        </w:tc>
      </w:tr>
      <w:tr w:rsidR="007078D0" w:rsidRPr="007078D0" w14:paraId="3D568DCB" w14:textId="77777777" w:rsidTr="008B185E">
        <w:trPr>
          <w:trHeight w:val="300"/>
        </w:trPr>
        <w:tc>
          <w:tcPr>
            <w:tcW w:w="1710" w:type="dxa"/>
            <w:tcBorders>
              <w:top w:val="nil"/>
              <w:left w:val="nil"/>
              <w:bottom w:val="nil"/>
              <w:right w:val="nil"/>
            </w:tcBorders>
            <w:shd w:val="clear" w:color="auto" w:fill="auto"/>
            <w:noWrap/>
            <w:vAlign w:val="bottom"/>
            <w:hideMark/>
          </w:tcPr>
          <w:p w14:paraId="0BA76F7E"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macro avg</w:t>
            </w:r>
          </w:p>
        </w:tc>
        <w:tc>
          <w:tcPr>
            <w:tcW w:w="860" w:type="dxa"/>
            <w:tcBorders>
              <w:top w:val="nil"/>
              <w:left w:val="nil"/>
              <w:bottom w:val="nil"/>
              <w:right w:val="nil"/>
            </w:tcBorders>
            <w:shd w:val="clear" w:color="auto" w:fill="auto"/>
            <w:noWrap/>
            <w:vAlign w:val="bottom"/>
            <w:hideMark/>
          </w:tcPr>
          <w:p w14:paraId="316CDA9D"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0.85</w:t>
            </w:r>
          </w:p>
        </w:tc>
        <w:tc>
          <w:tcPr>
            <w:tcW w:w="960" w:type="dxa"/>
            <w:tcBorders>
              <w:top w:val="nil"/>
              <w:left w:val="nil"/>
              <w:bottom w:val="nil"/>
              <w:right w:val="nil"/>
            </w:tcBorders>
            <w:shd w:val="clear" w:color="auto" w:fill="auto"/>
            <w:noWrap/>
            <w:vAlign w:val="bottom"/>
            <w:hideMark/>
          </w:tcPr>
          <w:p w14:paraId="380B8876"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0.83</w:t>
            </w:r>
          </w:p>
        </w:tc>
        <w:tc>
          <w:tcPr>
            <w:tcW w:w="960" w:type="dxa"/>
            <w:tcBorders>
              <w:top w:val="nil"/>
              <w:left w:val="nil"/>
              <w:bottom w:val="nil"/>
              <w:right w:val="nil"/>
            </w:tcBorders>
            <w:shd w:val="clear" w:color="auto" w:fill="auto"/>
            <w:noWrap/>
            <w:vAlign w:val="bottom"/>
            <w:hideMark/>
          </w:tcPr>
          <w:p w14:paraId="2D7EDF06"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0.84</w:t>
            </w:r>
          </w:p>
        </w:tc>
        <w:tc>
          <w:tcPr>
            <w:tcW w:w="960" w:type="dxa"/>
            <w:tcBorders>
              <w:top w:val="nil"/>
              <w:left w:val="nil"/>
              <w:bottom w:val="nil"/>
              <w:right w:val="nil"/>
            </w:tcBorders>
            <w:shd w:val="clear" w:color="auto" w:fill="auto"/>
            <w:noWrap/>
            <w:vAlign w:val="bottom"/>
            <w:hideMark/>
          </w:tcPr>
          <w:p w14:paraId="773EBFF2"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2391</w:t>
            </w:r>
          </w:p>
        </w:tc>
      </w:tr>
      <w:tr w:rsidR="007078D0" w:rsidRPr="007078D0" w14:paraId="12AE089F" w14:textId="77777777" w:rsidTr="008B185E">
        <w:trPr>
          <w:trHeight w:val="300"/>
        </w:trPr>
        <w:tc>
          <w:tcPr>
            <w:tcW w:w="1710" w:type="dxa"/>
            <w:tcBorders>
              <w:top w:val="nil"/>
              <w:left w:val="nil"/>
              <w:bottom w:val="nil"/>
              <w:right w:val="nil"/>
            </w:tcBorders>
            <w:shd w:val="clear" w:color="auto" w:fill="auto"/>
            <w:noWrap/>
            <w:vAlign w:val="bottom"/>
            <w:hideMark/>
          </w:tcPr>
          <w:p w14:paraId="3C8A675C"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weighted avg</w:t>
            </w:r>
          </w:p>
        </w:tc>
        <w:tc>
          <w:tcPr>
            <w:tcW w:w="860" w:type="dxa"/>
            <w:tcBorders>
              <w:top w:val="nil"/>
              <w:left w:val="nil"/>
              <w:bottom w:val="nil"/>
              <w:right w:val="nil"/>
            </w:tcBorders>
            <w:shd w:val="clear" w:color="auto" w:fill="auto"/>
            <w:noWrap/>
            <w:vAlign w:val="bottom"/>
            <w:hideMark/>
          </w:tcPr>
          <w:p w14:paraId="24ABFA42"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74AC748A"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16FFC5AD"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6D4F34EB"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2391</w:t>
            </w:r>
          </w:p>
        </w:tc>
      </w:tr>
    </w:tbl>
    <w:p w14:paraId="4AF05771" w14:textId="77777777" w:rsidR="007078D0" w:rsidRDefault="007078D0" w:rsidP="00C47F79"/>
    <w:p w14:paraId="5AAE66A1" w14:textId="70E80BB9" w:rsidR="002A0940" w:rsidRDefault="002A0940" w:rsidP="001F1599">
      <w:r>
        <w:rPr>
          <w:noProof/>
        </w:rPr>
        <w:drawing>
          <wp:inline distT="0" distB="0" distL="0" distR="0" wp14:anchorId="1116A874" wp14:editId="5A25B6B1">
            <wp:extent cx="3240005"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3310" cy="2894572"/>
                    </a:xfrm>
                    <a:prstGeom prst="rect">
                      <a:avLst/>
                    </a:prstGeom>
                  </pic:spPr>
                </pic:pic>
              </a:graphicData>
            </a:graphic>
          </wp:inline>
        </w:drawing>
      </w:r>
    </w:p>
    <w:p w14:paraId="394CCFF6" w14:textId="4245DA98" w:rsidR="00CC456C" w:rsidRPr="00CC456C" w:rsidRDefault="00CC456C" w:rsidP="001F1599">
      <w:r>
        <w:t xml:space="preserve">This was followed by performing a randomized search by leveraging a </w:t>
      </w:r>
      <w:proofErr w:type="spellStart"/>
      <w:r>
        <w:rPr>
          <w:b/>
          <w:bCs/>
        </w:rPr>
        <w:t>RandomizedSearchCV</w:t>
      </w:r>
      <w:proofErr w:type="spellEnd"/>
      <w:r>
        <w:rPr>
          <w:b/>
          <w:bCs/>
        </w:rPr>
        <w:t xml:space="preserve"> </w:t>
      </w:r>
      <w:r>
        <w:t>model selector</w:t>
      </w:r>
      <w:r w:rsidR="008B185E">
        <w:t>. Interestingly, this did not result in an improvement in accuracy</w:t>
      </w:r>
      <w:r w:rsidR="0071450D">
        <w:t>.</w:t>
      </w:r>
      <w:r>
        <w:t xml:space="preserve"> </w:t>
      </w:r>
    </w:p>
    <w:p w14:paraId="1F89CE56" w14:textId="77777777" w:rsidR="00A93657" w:rsidRDefault="00A93657" w:rsidP="00A14DAC">
      <w:pPr>
        <w:pStyle w:val="Heading3"/>
        <w:rPr>
          <w:rStyle w:val="Heading3Char"/>
          <w:b/>
          <w:bCs/>
        </w:rPr>
      </w:pPr>
    </w:p>
    <w:p w14:paraId="73A39638" w14:textId="461558AD" w:rsidR="00A14DAC" w:rsidRPr="003F7CBD" w:rsidRDefault="00A14DAC" w:rsidP="00A14DAC">
      <w:pPr>
        <w:pStyle w:val="Heading3"/>
      </w:pPr>
      <w:r>
        <w:rPr>
          <w:rStyle w:val="Heading3Char"/>
          <w:b/>
          <w:bCs/>
        </w:rPr>
        <w:t>Research</w:t>
      </w:r>
      <w:r w:rsidR="00CC456C">
        <w:rPr>
          <w:rStyle w:val="Heading3Char"/>
          <w:b/>
          <w:bCs/>
        </w:rPr>
        <w:t xml:space="preserve"> Questions</w:t>
      </w:r>
    </w:p>
    <w:p w14:paraId="65C6D236" w14:textId="555AB448" w:rsidR="00A14DAC" w:rsidRDefault="00CC456C" w:rsidP="00CC456C">
      <w:pPr>
        <w:pStyle w:val="ListParagraph"/>
        <w:numPr>
          <w:ilvl w:val="0"/>
          <w:numId w:val="14"/>
        </w:numPr>
      </w:pPr>
      <w:r>
        <w:t>Regarding the decision to exclude the 8 categorical variables, can you elaborate on what they represented?</w:t>
      </w:r>
    </w:p>
    <w:p w14:paraId="13C309F2" w14:textId="753972AD" w:rsidR="00CC456C" w:rsidRDefault="00CC456C" w:rsidP="00CC456C">
      <w:pPr>
        <w:pStyle w:val="ListParagraph"/>
        <w:numPr>
          <w:ilvl w:val="0"/>
          <w:numId w:val="14"/>
        </w:numPr>
      </w:pPr>
      <w:r>
        <w:t>In retrospect, would any of them add any value to the model’s accuracy?</w:t>
      </w:r>
    </w:p>
    <w:p w14:paraId="37F1472A" w14:textId="241373FA" w:rsidR="00CC456C" w:rsidRDefault="00CC456C" w:rsidP="00CC456C">
      <w:pPr>
        <w:pStyle w:val="ListParagraph"/>
        <w:numPr>
          <w:ilvl w:val="0"/>
          <w:numId w:val="14"/>
        </w:numPr>
      </w:pPr>
      <w:r>
        <w:t>Why did you decide to employ a standard scaler, as opposed to say, a min/max scaler?</w:t>
      </w:r>
    </w:p>
    <w:p w14:paraId="124F5E89" w14:textId="6CEF373E" w:rsidR="00CA66FC" w:rsidRDefault="00CA66FC" w:rsidP="00CC456C">
      <w:pPr>
        <w:pStyle w:val="ListParagraph"/>
        <w:numPr>
          <w:ilvl w:val="0"/>
          <w:numId w:val="14"/>
        </w:numPr>
      </w:pPr>
      <w:r>
        <w:t>In your initial proposal, you were going to train the model on subsets based on the 6 categories. What changed your mind?</w:t>
      </w:r>
    </w:p>
    <w:p w14:paraId="302725E2" w14:textId="4C8C1872" w:rsidR="00CA66FC" w:rsidRDefault="00CA66FC" w:rsidP="00CC456C">
      <w:pPr>
        <w:pStyle w:val="ListParagraph"/>
        <w:numPr>
          <w:ilvl w:val="0"/>
          <w:numId w:val="14"/>
        </w:numPr>
      </w:pPr>
      <w:r>
        <w:t>Do you feel this is still something worth pursuing?</w:t>
      </w:r>
    </w:p>
    <w:p w14:paraId="3592AFF2" w14:textId="3F25D875" w:rsidR="00CA66FC" w:rsidRDefault="00CA66FC" w:rsidP="00CC456C">
      <w:pPr>
        <w:pStyle w:val="ListParagraph"/>
        <w:numPr>
          <w:ilvl w:val="0"/>
          <w:numId w:val="14"/>
        </w:numPr>
      </w:pPr>
      <w:r>
        <w:t>Why did you decide to employ a Random Forest Classifier?</w:t>
      </w:r>
    </w:p>
    <w:p w14:paraId="29EDD3D3" w14:textId="75A02350" w:rsidR="00CA66FC" w:rsidRDefault="00CA66FC" w:rsidP="00CC456C">
      <w:pPr>
        <w:pStyle w:val="ListParagraph"/>
        <w:numPr>
          <w:ilvl w:val="0"/>
          <w:numId w:val="14"/>
        </w:numPr>
      </w:pPr>
      <w:r>
        <w:t>Are there any other models you feel may give you better results?</w:t>
      </w:r>
    </w:p>
    <w:p w14:paraId="1B77BA90" w14:textId="0CDFC50D" w:rsidR="00CA66FC" w:rsidRDefault="00CA66FC" w:rsidP="00CC456C">
      <w:pPr>
        <w:pStyle w:val="ListParagraph"/>
        <w:numPr>
          <w:ilvl w:val="0"/>
          <w:numId w:val="14"/>
        </w:numPr>
      </w:pPr>
      <w:r>
        <w:t>What other methods might you employ to improve the accuracy of your model?</w:t>
      </w:r>
    </w:p>
    <w:p w14:paraId="7F97304D" w14:textId="44EFBB3E" w:rsidR="0071450D" w:rsidRDefault="0071450D" w:rsidP="00CC456C">
      <w:pPr>
        <w:pStyle w:val="ListParagraph"/>
        <w:numPr>
          <w:ilvl w:val="0"/>
          <w:numId w:val="14"/>
        </w:numPr>
      </w:pPr>
      <w:r>
        <w:t>You state in your paper that a randomized grid search did not result in model improvement. Had you considered applying a genetic algorithm to perform hyperparameter tuning?</w:t>
      </w:r>
    </w:p>
    <w:p w14:paraId="44184F36" w14:textId="77777777" w:rsidR="00A14DAC" w:rsidRDefault="00A14DAC" w:rsidP="0093586F"/>
    <w:p w14:paraId="5E80EED8" w14:textId="2B92924B" w:rsidR="003F7CBD" w:rsidRPr="002A0940" w:rsidRDefault="009D2A20" w:rsidP="003F7CBD">
      <w:pPr>
        <w:pStyle w:val="Heading5"/>
      </w:pPr>
      <w:r w:rsidRPr="009D2A20">
        <w:rPr>
          <w:b/>
          <w:bCs/>
          <w:i w:val="0"/>
          <w:iCs w:val="0"/>
        </w:rPr>
        <w:t>Conclusions</w:t>
      </w:r>
      <w:r w:rsidR="002A0940">
        <w:rPr>
          <w:b/>
          <w:bCs/>
          <w:i w:val="0"/>
          <w:iCs w:val="0"/>
        </w:rPr>
        <w:t xml:space="preserve"> </w:t>
      </w:r>
    </w:p>
    <w:p w14:paraId="698E8EF1" w14:textId="6C7A2E1B" w:rsidR="0030718E" w:rsidRDefault="00C65FBC" w:rsidP="00C65FBC">
      <w:pPr>
        <w:ind w:left="720"/>
      </w:pPr>
      <w:r>
        <w:t xml:space="preserve">While 86% accuracy is not exemplary, that was achieved with a simple baseline model. I am confident greater accuracy is possible, either by fine-tuning the hyperparameters for the Random Forest Classifier, or by investigating other models, such as </w:t>
      </w:r>
      <w:proofErr w:type="spellStart"/>
      <w:r>
        <w:rPr>
          <w:b/>
          <w:bCs/>
        </w:rPr>
        <w:t>XGBoost</w:t>
      </w:r>
      <w:proofErr w:type="spellEnd"/>
      <w:r w:rsidR="0071450D">
        <w:t xml:space="preserve"> or Convolutional Neural Networks. Given that Machine Learning algorithms can process data faster than humans by an order of magnitude, deployment of such a </w:t>
      </w:r>
      <w:r w:rsidR="0071450D">
        <w:lastRenderedPageBreak/>
        <w:t xml:space="preserve">model that can classify observations of the trillions of solar objects present in the observable universe </w:t>
      </w:r>
      <w:r w:rsidR="007104CD">
        <w:t>with blinding speed will free up astronomers for more creative endeavors; one area where humans still dominate.</w:t>
      </w:r>
    </w:p>
    <w:p w14:paraId="257E31CB" w14:textId="77777777" w:rsidR="007104CD" w:rsidRDefault="007104CD" w:rsidP="007104CD">
      <w:pPr>
        <w:ind w:left="1440" w:firstLine="0"/>
      </w:pPr>
      <w:r>
        <w:t>“</w:t>
      </w:r>
      <w:r w:rsidRPr="001D5D0D">
        <w:t>Whether life exists beyond Earth is one of the most profound questions of all time. The answer will change us forever, whether it reveals a universe rich with life, one in which life is rare and fragile, or even a universe in which we can find no other life at all.</w:t>
      </w:r>
      <w:r>
        <w:t>” [3]</w:t>
      </w:r>
    </w:p>
    <w:p w14:paraId="2647A47E" w14:textId="77777777" w:rsidR="007104CD" w:rsidRPr="00225655" w:rsidRDefault="007104CD" w:rsidP="00C65FBC">
      <w:pPr>
        <w:ind w:left="720"/>
      </w:pPr>
    </w:p>
    <w:sdt>
      <w:sdtPr>
        <w:rPr>
          <w:rFonts w:asciiTheme="minorHAnsi" w:eastAsiaTheme="minorEastAsia" w:hAnsiTheme="minorHAnsi" w:cstheme="minorBidi"/>
        </w:rPr>
        <w:id w:val="-1096949615"/>
        <w:docPartObj>
          <w:docPartGallery w:val="Bibliographies"/>
          <w:docPartUnique/>
        </w:docPartObj>
      </w:sdtPr>
      <w:sdtEndPr/>
      <w:sdtContent>
        <w:p w14:paraId="7ADA040D" w14:textId="77777777" w:rsidR="00097169" w:rsidRPr="009D2A20" w:rsidRDefault="00097169" w:rsidP="00097169">
          <w:pPr>
            <w:pStyle w:val="SectionTitle"/>
            <w:rPr>
              <w:b/>
              <w:bCs/>
              <w:u w:val="single"/>
            </w:rPr>
          </w:pPr>
          <w:r w:rsidRPr="009D2A20">
            <w:rPr>
              <w:b/>
              <w:bCs/>
              <w:u w:val="single"/>
            </w:rPr>
            <w:t>References</w:t>
          </w:r>
        </w:p>
        <w:sdt>
          <w:sdtPr>
            <w:id w:val="-573587230"/>
            <w:bibliography/>
          </w:sdtPr>
          <w:sdtEndPr/>
          <w:sdtContent>
            <w:p w14:paraId="44DA2033" w14:textId="7CA56D15" w:rsidR="008D2660" w:rsidRDefault="008D2660" w:rsidP="008D2660">
              <w:pPr>
                <w:spacing w:line="240" w:lineRule="auto"/>
                <w:ind w:firstLine="0"/>
              </w:pPr>
              <w:r>
                <w:t xml:space="preserve">[1] NASA Exoplanet Archive – NASA Exoplanet Science Institute </w:t>
              </w:r>
              <w:hyperlink r:id="rId13" w:history="1">
                <w:r w:rsidRPr="00702623">
                  <w:rPr>
                    <w:rStyle w:val="Hyperlink"/>
                  </w:rPr>
                  <w:t>https://exoplanetarchive.ipac.caltech.edu/index.html</w:t>
                </w:r>
              </w:hyperlink>
            </w:p>
            <w:p w14:paraId="504684A9" w14:textId="21F1FC55" w:rsidR="00C65FBC" w:rsidRDefault="00C65FBC" w:rsidP="00C65FBC">
              <w:pPr>
                <w:ind w:firstLine="0"/>
              </w:pPr>
            </w:p>
            <w:p w14:paraId="6F48B378" w14:textId="60FFD919" w:rsidR="00C65FBC" w:rsidRDefault="00C65FBC" w:rsidP="00C65FBC">
              <w:pPr>
                <w:ind w:firstLine="0"/>
              </w:pPr>
              <w:r>
                <w:t xml:space="preserve">[2] </w:t>
              </w:r>
              <w:hyperlink r:id="rId14" w:history="1">
                <w:r>
                  <w:rPr>
                    <w:rStyle w:val="Hyperlink"/>
                  </w:rPr>
                  <w:t>What Is an Exoplanet? | NASA Space Place – NASA Science for Kids</w:t>
                </w:r>
              </w:hyperlink>
            </w:p>
            <w:p w14:paraId="6B020469" w14:textId="20D69919" w:rsidR="00C65FBC" w:rsidRDefault="00C65FBC" w:rsidP="00C65FBC">
              <w:pPr>
                <w:spacing w:line="240" w:lineRule="auto"/>
                <w:ind w:firstLine="0"/>
                <w:rPr>
                  <w:rStyle w:val="Hyperlink"/>
                </w:rPr>
              </w:pPr>
              <w:r>
                <w:t xml:space="preserve">[3] </w:t>
              </w:r>
              <w:hyperlink r:id="rId15" w:history="1">
                <w:r>
                  <w:rPr>
                    <w:rStyle w:val="Hyperlink"/>
                  </w:rPr>
                  <w:t>Overview | What is an Exoplanet? – Exoplanet Exploration: Planets Beyond our Solar System (nasa.gov)</w:t>
                </w:r>
              </w:hyperlink>
            </w:p>
            <w:p w14:paraId="63BC0635" w14:textId="3F470CF3" w:rsidR="00A5392F" w:rsidRDefault="00A5392F" w:rsidP="00C65FBC">
              <w:pPr>
                <w:spacing w:line="240" w:lineRule="auto"/>
                <w:ind w:firstLine="0"/>
                <w:rPr>
                  <w:rStyle w:val="Hyperlink"/>
                </w:rPr>
              </w:pPr>
            </w:p>
            <w:p w14:paraId="555B8D04" w14:textId="3FDECA33" w:rsidR="00A5392F" w:rsidRDefault="00A5392F" w:rsidP="00A5392F">
              <w:pPr>
                <w:ind w:firstLine="0"/>
              </w:pPr>
              <w:r>
                <w:t xml:space="preserve">[4] </w:t>
              </w:r>
              <w:r w:rsidRPr="00C65FBC">
                <w:t>https://www.zooniverse.org/projects/nora-dot-eisner/planet-hunters-tess/about/research</w:t>
              </w:r>
            </w:p>
            <w:p w14:paraId="23C89D1F" w14:textId="08DB0500" w:rsidR="00A5392F" w:rsidRDefault="00A5392F" w:rsidP="00C65FBC">
              <w:pPr>
                <w:spacing w:line="240" w:lineRule="auto"/>
                <w:ind w:firstLine="0"/>
                <w:rPr>
                  <w:rStyle w:val="Hyperlink"/>
                </w:rPr>
              </w:pPr>
            </w:p>
            <w:p w14:paraId="0F8B6E53" w14:textId="1EC2F5DF" w:rsidR="00097169" w:rsidRDefault="00097169" w:rsidP="00097169">
              <w:pPr>
                <w:pStyle w:val="Bibliography"/>
              </w:pPr>
            </w:p>
            <w:p w14:paraId="7314296F" w14:textId="77777777" w:rsidR="00097169" w:rsidRDefault="001046AD"/>
          </w:sdtContent>
        </w:sdt>
      </w:sdtContent>
    </w:sdt>
    <w:p w14:paraId="2D337E67" w14:textId="088632D7" w:rsidR="004D6B86" w:rsidRDefault="00594E1B">
      <w:pPr>
        <w:pStyle w:val="SectionTitle"/>
      </w:pPr>
      <w:r>
        <w:lastRenderedPageBreak/>
        <w:t>Appendix</w:t>
      </w:r>
    </w:p>
    <w:p w14:paraId="1F591C1A" w14:textId="704885B8" w:rsidR="00A14DAC" w:rsidRPr="00A14DAC" w:rsidRDefault="00A14DAC" w:rsidP="00A14DAC">
      <w:pPr>
        <w:rPr>
          <w:u w:val="single"/>
        </w:rPr>
      </w:pPr>
      <w:r w:rsidRPr="00A14DAC">
        <w:rPr>
          <w:u w:val="single"/>
        </w:rPr>
        <w:t>Figures</w:t>
      </w:r>
    </w:p>
    <w:p w14:paraId="0D90F865" w14:textId="77777777" w:rsidR="0030718E" w:rsidRDefault="0030718E" w:rsidP="00A14DAC">
      <w:pPr>
        <w:ind w:firstLine="0"/>
      </w:pPr>
      <w:r w:rsidRPr="0093586F">
        <w:rPr>
          <w:noProof/>
        </w:rPr>
        <w:drawing>
          <wp:inline distT="0" distB="0" distL="0" distR="0" wp14:anchorId="4AEA6449" wp14:editId="1D1622EE">
            <wp:extent cx="594360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1355"/>
                    </a:xfrm>
                    <a:prstGeom prst="rect">
                      <a:avLst/>
                    </a:prstGeom>
                  </pic:spPr>
                </pic:pic>
              </a:graphicData>
            </a:graphic>
          </wp:inline>
        </w:drawing>
      </w:r>
    </w:p>
    <w:p w14:paraId="0D95E7CD" w14:textId="274EC56D" w:rsidR="0030718E" w:rsidRDefault="0030718E" w:rsidP="00A14DAC">
      <w:pPr>
        <w:rPr>
          <w:rFonts w:ascii="Helvetica" w:hAnsi="Helvetica"/>
          <w:color w:val="5A6470"/>
          <w:sz w:val="22"/>
          <w:szCs w:val="22"/>
        </w:rPr>
      </w:pPr>
      <w:r>
        <w:rPr>
          <w:rFonts w:ascii="Helvetica" w:hAnsi="Helvetica"/>
          <w:color w:val="5A6470"/>
          <w:sz w:val="22"/>
          <w:szCs w:val="22"/>
        </w:rPr>
        <w:t>Image credit: NASA/JPL-Caltech/Lizbeth B. De La Torre</w:t>
      </w:r>
    </w:p>
    <w:p w14:paraId="490F7974" w14:textId="5AD4FD48" w:rsidR="00A14DAC" w:rsidRPr="00C65FBC" w:rsidRDefault="00C65FBC" w:rsidP="00A14DAC">
      <w:pPr>
        <w:pStyle w:val="NormalWeb"/>
        <w:ind w:firstLine="720"/>
        <w:rPr>
          <w:rFonts w:asciiTheme="minorHAnsi" w:hAnsiTheme="minorHAnsi" w:cstheme="minorBidi"/>
        </w:rPr>
      </w:pPr>
      <w:r>
        <w:rPr>
          <w:rFonts w:asciiTheme="minorHAnsi" w:hAnsiTheme="minorHAnsi" w:cstheme="minorBidi"/>
        </w:rPr>
        <w:t>A</w:t>
      </w:r>
      <w:r w:rsidR="00A14DAC" w:rsidRPr="00C65FBC">
        <w:rPr>
          <w:rFonts w:asciiTheme="minorHAnsi" w:hAnsiTheme="minorHAnsi" w:cstheme="minorBidi"/>
        </w:rPr>
        <w:t xml:space="preserve"> simplified example of what the </w:t>
      </w:r>
      <w:proofErr w:type="spellStart"/>
      <w:r w:rsidR="00A14DAC" w:rsidRPr="00C65FBC">
        <w:rPr>
          <w:rFonts w:asciiTheme="minorHAnsi" w:hAnsiTheme="minorHAnsi" w:cstheme="minorBidi"/>
        </w:rPr>
        <w:t>lightcurve</w:t>
      </w:r>
      <w:proofErr w:type="spellEnd"/>
      <w:r w:rsidR="00A14DAC" w:rsidRPr="00C65FBC">
        <w:rPr>
          <w:rFonts w:asciiTheme="minorHAnsi" w:hAnsiTheme="minorHAnsi" w:cstheme="minorBidi"/>
        </w:rPr>
        <w:t xml:space="preserve"> from a transit looks like. It shows that as the planet passes in front of its host star, the light receive</w:t>
      </w:r>
      <w:r>
        <w:rPr>
          <w:rFonts w:asciiTheme="minorHAnsi" w:hAnsiTheme="minorHAnsi" w:cstheme="minorBidi"/>
        </w:rPr>
        <w:t>d</w:t>
      </w:r>
      <w:r w:rsidR="00A14DAC" w:rsidRPr="00C65FBC">
        <w:rPr>
          <w:rFonts w:asciiTheme="minorHAnsi" w:hAnsiTheme="minorHAnsi" w:cstheme="minorBidi"/>
        </w:rPr>
        <w:t xml:space="preserve"> decreases.</w:t>
      </w:r>
      <w:r>
        <w:rPr>
          <w:rFonts w:asciiTheme="minorHAnsi" w:hAnsiTheme="minorHAnsi" w:cstheme="minorBidi"/>
        </w:rPr>
        <w:t xml:space="preserve"> [</w:t>
      </w:r>
      <w:r w:rsidR="00A5392F">
        <w:rPr>
          <w:rFonts w:asciiTheme="minorHAnsi" w:hAnsiTheme="minorHAnsi" w:cstheme="minorBidi"/>
        </w:rPr>
        <w:t>4</w:t>
      </w:r>
      <w:r>
        <w:rPr>
          <w:rFonts w:asciiTheme="minorHAnsi" w:hAnsiTheme="minorHAnsi" w:cstheme="minorBidi"/>
        </w:rPr>
        <w:t>]</w:t>
      </w:r>
    </w:p>
    <w:p w14:paraId="13F8C0F7" w14:textId="77777777" w:rsidR="00A14DAC" w:rsidRDefault="00A14DAC" w:rsidP="00A14DAC"/>
    <w:p w14:paraId="0823792A" w14:textId="77777777" w:rsidR="0030718E" w:rsidRDefault="0030718E" w:rsidP="0030718E">
      <w:pPr>
        <w:pStyle w:val="NormalWeb"/>
        <w:rPr>
          <w:rFonts w:ascii="Arial" w:hAnsi="Arial" w:cs="Arial"/>
          <w:color w:val="000000"/>
          <w:sz w:val="23"/>
          <w:szCs w:val="23"/>
        </w:rPr>
      </w:pPr>
      <w:r>
        <w:rPr>
          <w:rFonts w:ascii="Arial" w:hAnsi="Arial" w:cs="Arial"/>
          <w:noProof/>
          <w:color w:val="000000"/>
          <w:sz w:val="23"/>
          <w:szCs w:val="23"/>
        </w:rPr>
        <w:drawing>
          <wp:inline distT="0" distB="0" distL="0" distR="0" wp14:anchorId="06E7B699" wp14:editId="0254C9DB">
            <wp:extent cx="57150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p w14:paraId="53EBF981" w14:textId="77777777" w:rsidR="0030718E" w:rsidRDefault="0030718E" w:rsidP="0030718E">
      <w:pPr>
        <w:pStyle w:val="Heading6"/>
        <w:spacing w:before="0"/>
        <w:rPr>
          <w:rFonts w:ascii="Arial" w:hAnsi="Arial" w:cs="Arial"/>
          <w:color w:val="0C4881"/>
          <w:sz w:val="15"/>
          <w:szCs w:val="15"/>
        </w:rPr>
      </w:pPr>
      <w:r>
        <w:rPr>
          <w:rFonts w:ascii="Arial" w:hAnsi="Arial" w:cs="Arial"/>
          <w:color w:val="0C4881"/>
        </w:rPr>
        <w:lastRenderedPageBreak/>
        <w:t>Photo credits: Nora Eisner</w:t>
      </w:r>
    </w:p>
    <w:p w14:paraId="1ECF9B03" w14:textId="3A8F83E2" w:rsidR="0030718E" w:rsidRDefault="0030718E" w:rsidP="0030718E">
      <w:pPr>
        <w:pStyle w:val="NormalWeb"/>
        <w:rPr>
          <w:rFonts w:ascii="Arial" w:hAnsi="Arial" w:cs="Arial"/>
          <w:color w:val="000000"/>
          <w:sz w:val="23"/>
          <w:szCs w:val="23"/>
        </w:rPr>
      </w:pPr>
      <w:proofErr w:type="gramStart"/>
      <w:r w:rsidRPr="007104CD">
        <w:rPr>
          <w:rFonts w:asciiTheme="minorHAnsi" w:hAnsiTheme="minorHAnsi" w:cstheme="minorBidi"/>
        </w:rPr>
        <w:t>In order for</w:t>
      </w:r>
      <w:proofErr w:type="gramEnd"/>
      <w:r w:rsidRPr="007104CD">
        <w:rPr>
          <w:rFonts w:asciiTheme="minorHAnsi" w:hAnsiTheme="minorHAnsi" w:cstheme="minorBidi"/>
        </w:rPr>
        <w:t xml:space="preserve"> us to be able to observe a transit we require the planetary system to be oriented so that the </w:t>
      </w:r>
      <w:r w:rsidRPr="007104CD">
        <w:rPr>
          <w:rFonts w:asciiTheme="minorHAnsi" w:hAnsiTheme="minorHAnsi" w:cstheme="minorBidi"/>
          <w:b/>
          <w:bCs/>
        </w:rPr>
        <w:t>planet passes between us and the host star</w:t>
      </w:r>
      <w:r w:rsidRPr="007104CD">
        <w:rPr>
          <w:rFonts w:asciiTheme="minorHAnsi" w:hAnsiTheme="minorHAnsi" w:cstheme="minorBidi"/>
        </w:rPr>
        <w:t xml:space="preserve"> (as shown on the </w:t>
      </w:r>
      <w:r w:rsidR="007104CD" w:rsidRPr="007104CD">
        <w:rPr>
          <w:rFonts w:asciiTheme="minorHAnsi" w:hAnsiTheme="minorHAnsi" w:cstheme="minorBidi"/>
        </w:rPr>
        <w:t>right-hand</w:t>
      </w:r>
      <w:r w:rsidRPr="007104CD">
        <w:rPr>
          <w:rFonts w:asciiTheme="minorHAnsi" w:hAnsiTheme="minorHAnsi" w:cstheme="minorBidi"/>
        </w:rPr>
        <w:t xml:space="preserve"> side of the image below). If this is the case, we will see a dip every time that the planet completes one full orbit around the star. If the planet does not cross our line of sight, we will miss the transit (shown on the left).</w:t>
      </w:r>
      <w:r w:rsidR="00C65FBC">
        <w:rPr>
          <w:rFonts w:ascii="Arial" w:hAnsi="Arial" w:cs="Arial"/>
          <w:color w:val="000000"/>
          <w:sz w:val="23"/>
          <w:szCs w:val="23"/>
        </w:rPr>
        <w:t xml:space="preserve"> [</w:t>
      </w:r>
      <w:r w:rsidR="00A5392F">
        <w:rPr>
          <w:rFonts w:ascii="Arial" w:hAnsi="Arial" w:cs="Arial"/>
          <w:color w:val="000000"/>
          <w:sz w:val="23"/>
          <w:szCs w:val="23"/>
        </w:rPr>
        <w:t>4</w:t>
      </w:r>
      <w:r w:rsidR="00C65FBC">
        <w:rPr>
          <w:rFonts w:ascii="Arial" w:hAnsi="Arial" w:cs="Arial"/>
          <w:color w:val="000000"/>
          <w:sz w:val="23"/>
          <w:szCs w:val="23"/>
        </w:rPr>
        <w:t>]</w:t>
      </w:r>
    </w:p>
    <w:p w14:paraId="1D7A9111" w14:textId="77777777" w:rsidR="0030718E" w:rsidRDefault="0030718E" w:rsidP="0030718E">
      <w:pPr>
        <w:pStyle w:val="NormalWeb"/>
        <w:rPr>
          <w:rFonts w:ascii="Arial" w:hAnsi="Arial" w:cs="Arial"/>
          <w:color w:val="000000"/>
          <w:sz w:val="23"/>
          <w:szCs w:val="23"/>
        </w:rPr>
      </w:pPr>
      <w:r>
        <w:rPr>
          <w:rFonts w:ascii="Arial" w:hAnsi="Arial" w:cs="Arial"/>
          <w:noProof/>
          <w:color w:val="000000"/>
          <w:sz w:val="23"/>
          <w:szCs w:val="23"/>
        </w:rPr>
        <w:drawing>
          <wp:inline distT="0" distB="0" distL="0" distR="0" wp14:anchorId="09D0787F" wp14:editId="1DAB4F39">
            <wp:extent cx="57150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14:paraId="021BFDE4" w14:textId="77777777" w:rsidR="0030718E" w:rsidRDefault="0030718E" w:rsidP="0030718E">
      <w:pPr>
        <w:pStyle w:val="Heading6"/>
        <w:spacing w:before="0"/>
        <w:rPr>
          <w:rFonts w:ascii="Arial" w:hAnsi="Arial" w:cs="Arial"/>
          <w:color w:val="0C4881"/>
          <w:sz w:val="15"/>
          <w:szCs w:val="15"/>
        </w:rPr>
      </w:pPr>
      <w:r>
        <w:rPr>
          <w:rFonts w:ascii="Arial" w:hAnsi="Arial" w:cs="Arial"/>
          <w:color w:val="0C4881"/>
        </w:rPr>
        <w:t>Photo credits: Nora Eisner</w:t>
      </w:r>
    </w:p>
    <w:sectPr w:rsidR="0030718E">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EDC5F" w14:textId="77777777" w:rsidR="001046AD" w:rsidRDefault="001046AD">
      <w:pPr>
        <w:spacing w:line="240" w:lineRule="auto"/>
      </w:pPr>
      <w:r>
        <w:separator/>
      </w:r>
    </w:p>
    <w:p w14:paraId="4AB91A8D" w14:textId="77777777" w:rsidR="001046AD" w:rsidRDefault="001046AD"/>
  </w:endnote>
  <w:endnote w:type="continuationSeparator" w:id="0">
    <w:p w14:paraId="3DD17239" w14:textId="77777777" w:rsidR="001046AD" w:rsidRDefault="001046AD">
      <w:pPr>
        <w:spacing w:line="240" w:lineRule="auto"/>
      </w:pPr>
      <w:r>
        <w:continuationSeparator/>
      </w:r>
    </w:p>
    <w:p w14:paraId="2717C8DA" w14:textId="77777777" w:rsidR="001046AD" w:rsidRDefault="001046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ED8FC" w14:textId="77777777" w:rsidR="001046AD" w:rsidRDefault="001046AD">
      <w:pPr>
        <w:spacing w:line="240" w:lineRule="auto"/>
      </w:pPr>
      <w:r>
        <w:separator/>
      </w:r>
    </w:p>
    <w:p w14:paraId="3BE6FBFC" w14:textId="77777777" w:rsidR="001046AD" w:rsidRDefault="001046AD"/>
  </w:footnote>
  <w:footnote w:type="continuationSeparator" w:id="0">
    <w:p w14:paraId="55AD35AB" w14:textId="77777777" w:rsidR="001046AD" w:rsidRDefault="001046AD">
      <w:pPr>
        <w:spacing w:line="240" w:lineRule="auto"/>
      </w:pPr>
      <w:r>
        <w:continuationSeparator/>
      </w:r>
    </w:p>
    <w:p w14:paraId="70F0C9CB" w14:textId="77777777" w:rsidR="001046AD" w:rsidRDefault="001046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5BDA2E16"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EED5E7A" w14:textId="7FAE39B8" w:rsidR="004D6B86" w:rsidRPr="00170521" w:rsidRDefault="001046AD"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2A00CE">
                <w:t>Predicting Exoplanets</w:t>
              </w:r>
            </w:sdtContent>
          </w:sdt>
        </w:p>
      </w:tc>
      <w:tc>
        <w:tcPr>
          <w:tcW w:w="1080" w:type="dxa"/>
        </w:tcPr>
        <w:p w14:paraId="334E3F2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C26D72F"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0AC51B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880C2E4" w14:textId="63CBB98F" w:rsidR="004D6B86" w:rsidRPr="009F0414" w:rsidRDefault="001046AD" w:rsidP="00504F88">
          <w:pPr>
            <w:pStyle w:val="Header"/>
          </w:pP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2A00CE">
                <w:t>Predicting Exoplanets</w:t>
              </w:r>
            </w:sdtContent>
          </w:sdt>
        </w:p>
      </w:tc>
      <w:tc>
        <w:tcPr>
          <w:tcW w:w="1080" w:type="dxa"/>
        </w:tcPr>
        <w:p w14:paraId="5EC18230"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DC7B10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7B5010A"/>
    <w:multiLevelType w:val="hybridMultilevel"/>
    <w:tmpl w:val="2F183C0C"/>
    <w:lvl w:ilvl="0" w:tplc="30EE6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790B37"/>
    <w:multiLevelType w:val="hybridMultilevel"/>
    <w:tmpl w:val="FBCC8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7A4218C"/>
    <w:multiLevelType w:val="multilevel"/>
    <w:tmpl w:val="827C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660"/>
    <w:rsid w:val="00006BBA"/>
    <w:rsid w:val="0001010E"/>
    <w:rsid w:val="000217F5"/>
    <w:rsid w:val="00032AA1"/>
    <w:rsid w:val="00097169"/>
    <w:rsid w:val="001046AD"/>
    <w:rsid w:val="00114BFA"/>
    <w:rsid w:val="001602E3"/>
    <w:rsid w:val="00160C0C"/>
    <w:rsid w:val="001664A2"/>
    <w:rsid w:val="00170521"/>
    <w:rsid w:val="001B4848"/>
    <w:rsid w:val="001F1599"/>
    <w:rsid w:val="001F447A"/>
    <w:rsid w:val="001F7399"/>
    <w:rsid w:val="00212319"/>
    <w:rsid w:val="00225BE3"/>
    <w:rsid w:val="00226757"/>
    <w:rsid w:val="00274E0A"/>
    <w:rsid w:val="002A00CE"/>
    <w:rsid w:val="002A0940"/>
    <w:rsid w:val="002B6153"/>
    <w:rsid w:val="002C627C"/>
    <w:rsid w:val="0030718E"/>
    <w:rsid w:val="00307586"/>
    <w:rsid w:val="00336906"/>
    <w:rsid w:val="00345333"/>
    <w:rsid w:val="00357AED"/>
    <w:rsid w:val="003A06C6"/>
    <w:rsid w:val="003E36B1"/>
    <w:rsid w:val="003E4162"/>
    <w:rsid w:val="003F7CBD"/>
    <w:rsid w:val="00481CF8"/>
    <w:rsid w:val="00492C2D"/>
    <w:rsid w:val="004A3D87"/>
    <w:rsid w:val="004B18A9"/>
    <w:rsid w:val="004D4148"/>
    <w:rsid w:val="004D4F8C"/>
    <w:rsid w:val="004D6B86"/>
    <w:rsid w:val="004E0CCB"/>
    <w:rsid w:val="00504F88"/>
    <w:rsid w:val="0055242C"/>
    <w:rsid w:val="00594E1B"/>
    <w:rsid w:val="00595412"/>
    <w:rsid w:val="0061747E"/>
    <w:rsid w:val="00641876"/>
    <w:rsid w:val="00645290"/>
    <w:rsid w:val="00684C26"/>
    <w:rsid w:val="006B015B"/>
    <w:rsid w:val="006C162F"/>
    <w:rsid w:val="006D7EE9"/>
    <w:rsid w:val="007078D0"/>
    <w:rsid w:val="007104CD"/>
    <w:rsid w:val="0071450D"/>
    <w:rsid w:val="007244DE"/>
    <w:rsid w:val="00766A72"/>
    <w:rsid w:val="0081390C"/>
    <w:rsid w:val="00816831"/>
    <w:rsid w:val="00837D67"/>
    <w:rsid w:val="008747E8"/>
    <w:rsid w:val="008A2A83"/>
    <w:rsid w:val="008A78F1"/>
    <w:rsid w:val="008B185E"/>
    <w:rsid w:val="008D2660"/>
    <w:rsid w:val="00910F0E"/>
    <w:rsid w:val="0093586F"/>
    <w:rsid w:val="00961AE5"/>
    <w:rsid w:val="009A2C38"/>
    <w:rsid w:val="009D2A20"/>
    <w:rsid w:val="009F0414"/>
    <w:rsid w:val="00A14DAC"/>
    <w:rsid w:val="00A4757D"/>
    <w:rsid w:val="00A5392F"/>
    <w:rsid w:val="00A77F6B"/>
    <w:rsid w:val="00A81BB2"/>
    <w:rsid w:val="00A93657"/>
    <w:rsid w:val="00AA5C05"/>
    <w:rsid w:val="00B03BA4"/>
    <w:rsid w:val="00C3438C"/>
    <w:rsid w:val="00C47F79"/>
    <w:rsid w:val="00C5686B"/>
    <w:rsid w:val="00C65FBC"/>
    <w:rsid w:val="00C74024"/>
    <w:rsid w:val="00C83B15"/>
    <w:rsid w:val="00C925C8"/>
    <w:rsid w:val="00CA66FC"/>
    <w:rsid w:val="00CB7F84"/>
    <w:rsid w:val="00CC456C"/>
    <w:rsid w:val="00CF1B55"/>
    <w:rsid w:val="00DB2E59"/>
    <w:rsid w:val="00DB358F"/>
    <w:rsid w:val="00DC44F1"/>
    <w:rsid w:val="00DF6D26"/>
    <w:rsid w:val="00E7305D"/>
    <w:rsid w:val="00EA780C"/>
    <w:rsid w:val="00EB69D3"/>
    <w:rsid w:val="00EB7C76"/>
    <w:rsid w:val="00F31D66"/>
    <w:rsid w:val="00F363EC"/>
    <w:rsid w:val="00F413A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99E34"/>
  <w15:chartTrackingRefBased/>
  <w15:docId w15:val="{ED2C2789-9952-4B65-9361-0942E2594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8D2660"/>
    <w:rPr>
      <w:color w:val="0000FF"/>
      <w:u w:val="single"/>
    </w:rPr>
  </w:style>
  <w:style w:type="character" w:styleId="UnresolvedMention">
    <w:name w:val="Unresolved Mention"/>
    <w:basedOn w:val="DefaultParagraphFont"/>
    <w:uiPriority w:val="99"/>
    <w:semiHidden/>
    <w:unhideWhenUsed/>
    <w:rsid w:val="008D2660"/>
    <w:rPr>
      <w:color w:val="605E5C"/>
      <w:shd w:val="clear" w:color="auto" w:fill="E1DFDD"/>
    </w:rPr>
  </w:style>
  <w:style w:type="character" w:styleId="Strong">
    <w:name w:val="Strong"/>
    <w:basedOn w:val="DefaultParagraphFont"/>
    <w:uiPriority w:val="22"/>
    <w:qFormat/>
    <w:rsid w:val="009358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708459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981804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920996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xoplanetarchive.ipac.caltech.edu/index.html" TargetMode="External"/><Relationship Id="rId18"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exoplanets.nasa.gov/what-is-an-exoplanet/overview/" TargetMode="External"/><Relationship Id="rId10" Type="http://schemas.openxmlformats.org/officeDocument/2006/relationships/hyperlink" Target="https://exoplanetarchive.ipac.caltech.edu/cgi-bin/TblView/nph-tblView?app=ExoTbls&amp;config=cumulative"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exoplanetarchive.ipac.caltech.edu/docs/API_kepcandidate_columns.html" TargetMode="External"/><Relationship Id="rId14" Type="http://schemas.openxmlformats.org/officeDocument/2006/relationships/hyperlink" Target="https://spaceplace.nasa.gov/all-about-exoplanets/en/"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w:rsidRDefault="008D2660"&gt;&lt;w:r&gt;&lt;w:t&gt;Predicting Exoplanets&lt;/w:t&gt;&lt;/w:r&gt;&lt;/w:p&gt;&lt;w:sectPr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TotalTime>
  <Pages>10</Pages>
  <Words>1222</Words>
  <Characters>6969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Kinney</dc:creator>
  <cp:keywords/>
  <dc:description/>
  <cp:lastModifiedBy>David Kinney</cp:lastModifiedBy>
  <cp:revision>2</cp:revision>
  <dcterms:created xsi:type="dcterms:W3CDTF">2021-04-11T19:57:00Z</dcterms:created>
  <dcterms:modified xsi:type="dcterms:W3CDTF">2021-04-11T19:57:00Z</dcterms:modified>
</cp:coreProperties>
</file>